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178435</wp:posOffset>
            </wp:positionV>
            <wp:extent cx="857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Commission file number: 001-38423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SUNLANDS TECHNOLOGY GROUP</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141605</wp:posOffset>
            </wp:positionV>
            <wp:extent cx="857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Building 6, Chaolai Science Park, No. 36</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Chuangyuan Road, Chaoyang District</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Beijing, 100012, the People’s Republic of China</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+86-10-52413738</w:t>
      </w:r>
    </w:p>
    <w:p>
      <w:pPr>
        <w:spacing w:after="0" w:line="2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154305</wp:posOffset>
            </wp:positionV>
            <wp:extent cx="857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line="207" w:lineRule="exact"/>
        <w:tabs>
          <w:tab w:leader="none" w:pos="8460" w:val="left"/>
          <w:tab w:leader="none" w:pos="980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tab/>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894" w:right="7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9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w:t>
            </w:r>
          </w:p>
        </w:tc>
      </w:tr>
      <w:tr>
        <w:trPr>
          <w:trHeight w:val="553"/>
        </w:trPr>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8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Sunlands Technology Group</w:t>
            </w:r>
          </w:p>
        </w:tc>
      </w:tr>
      <w:tr>
        <w:trPr>
          <w:trHeight w:val="64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7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Tongbo Liu</w:t>
            </w:r>
          </w:p>
        </w:tc>
      </w:tr>
      <w:tr>
        <w:trPr>
          <w:trHeight w:val="191"/>
        </w:trPr>
        <w:tc>
          <w:tcPr>
            <w:tcW w:w="540" w:type="dxa"/>
            <w:vAlign w:val="bottom"/>
          </w:tcPr>
          <w:p>
            <w:pPr>
              <w:spacing w:after="0"/>
              <w:rPr>
                <w:sz w:val="16"/>
                <w:szCs w:val="16"/>
                <w:color w:val="auto"/>
              </w:rPr>
            </w:pPr>
          </w:p>
        </w:tc>
        <w:tc>
          <w:tcPr>
            <w:tcW w:w="3020" w:type="dxa"/>
            <w:vAlign w:val="bottom"/>
            <w:tcBorders>
              <w:top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5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Tongbo Liu</w:t>
            </w:r>
          </w:p>
        </w:tc>
      </w:t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553"/>
        </w:trPr>
        <w:tc>
          <w:tcPr>
            <w:tcW w:w="5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321945</wp:posOffset>
            </wp:positionV>
            <wp:extent cx="138874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874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Sunlands Technology Group Announces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May 26,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Sunlands Technology Group </w:t>
      </w:r>
      <w:r>
        <w:rPr>
          <w:rFonts w:ascii="Times New Roman" w:cs="Times New Roman" w:eastAsia="Times New Roman" w:hAnsi="Times New Roman"/>
          <w:sz w:val="18"/>
          <w:szCs w:val="18"/>
          <w:color w:val="auto"/>
        </w:rPr>
        <w:t>(NYSE: STG) (“Sunlands” or the “Company”), a leader in China’s adult online education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and China’s adult personal interest learning market, today announced its unaudited financial results for the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and Operational Snapshots</w:t>
      </w:r>
    </w:p>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were RMB440.7 million (US$63.9 million), compared to RMB487.6 million in the first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billings (non-GAAP) were RMB304.8 million (US$44.2 million), compared to RMB412.3 million in the first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profit was RMB381.1 million (US$55.3 million), compared to RMB415.3 million in the first quarter of 2025.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was RMB76.8 million (US$11.1 million), compared to RMB75.2 million in the first quarter of 2025.</w:t>
      </w:r>
    </w:p>
    <w:p>
      <w:pPr>
        <w:spacing w:after="0" w:line="227"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17.4%, compared to 15.4% in the first quarter of 2025.</w:t>
      </w:r>
    </w:p>
    <w:p>
      <w:pPr>
        <w:spacing w:after="0" w:line="139"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New student enrollments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were 102,127, compared to 169,083 in the first quarter of 2025.</w:t>
      </w:r>
    </w:p>
    <w:p>
      <w:pPr>
        <w:spacing w:after="0" w:line="135"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the Company’s deferred revenue balance was RMB500.5 million (US$72.6 million), compared to RMB585.3 million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0712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7"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margin is defined as net income as a percentage of net revenues.</w:t>
      </w:r>
    </w:p>
    <w:p>
      <w:pPr>
        <w:spacing w:after="0" w:line="238" w:lineRule="exact"/>
        <w:rPr>
          <w:sz w:val="20"/>
          <w:szCs w:val="20"/>
          <w:color w:val="auto"/>
        </w:rPr>
      </w:pPr>
    </w:p>
    <w:p>
      <w:pPr>
        <w:jc w:val="both"/>
        <w:ind w:firstLine="8"/>
        <w:spacing w:after="0" w:line="219" w:lineRule="auto"/>
        <w:tabs>
          <w:tab w:leader="none" w:pos="137"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New student enrollments for a given period refer to the total number of orders placed by students that newly enroll in at least one course during that period, including those students that enroll and then terminate their enrollment with us, excluding orders of our low-price courses, such as “mini courses” and “RMB1 courses”, which we offer in the form of recorded videos or short live streaming, to strengthen our competitiveness and improve customer experience.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“We opened 2026 with net revenues of RMB440.7 million and net income of RMB76.8 million, our 20th consecutive profitable quarter. Net income margin remained stable at 17.4%, and selling expenses declined 19.5% — the largest single-quarter reduction we have recorded in recent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results reflect choices we have been making consistently: raising the bar on learner quality, letting AI compound across the acquisition and delivery workflow, and improving retention in our senior-learning business. The operating platform we have built positions us well for when market conditions turn more supportive. We are building with that horizon in mind.”said Mr. Tongbo Liu, Chief Executive Officer of Sunlands.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Hangyu Li, Finance Director of Sunlands, commented, “The first quarter continued the profitability trajectory we have been building toward, driven by deliberate choices made over several years rather than short-term tactical adjustments. Net income reached RMB76.8 million, while net income margin expanded to 17.4%. A key operational driver of this bottom-line resilience was our disciplined cost management, highlighted by a 19.5% year-over-year decline in selling expenses, the largest single-quarter reduction we have recorded in recent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balance sheet remains in a stable position, which gives us flexibility in how we operate. We concluded the quarter with RMB545.7 million of cash and cash equivalents, alongside RMB236.0 million of short-term investments. This liquidity buffer gives us the flexibility to invest in technology and new business directions without being constrained by near-term financial pressure. Looking ahead, we continue to execute our operational plan with financial discipline, while actively monitoring the market environment to adjust our business activities as needed.”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the First Quarter of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2026, net revenues decreased by 9.6% to RMB440.7 million (US$63.9 million) from RMB487.6 million in the first quarter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the year-over-year decline in gross billings.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decreased by 17.7% to RMB59.5 million (US$8.6 million) in the first quarter of 2026 from RMB72.3 million in the first quarter of 2025. The decrease was mainly due to declined cost of revenues from sales of goods such as learning materials and books and service fees paid to educational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by 8.2% to RMB381.1 million (US$55.3 million) in the first quarter of 2026 from RMB415.3 million in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operating expenses were RMB284.3 million (US$41.2 million), representing a 16.7% decrease from RMB341.1 million in the first quarter of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19.5% to RMB241.9 million (US$35.1 million) in the first quarter of 2026 from RMB300.4 million in the first quarter of 2025. The decrease was mainly due to the decrease of compensation for sales personnel and the spending on branding and marketing activities focused on interest courses offerings.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4.1% to RMB35.9 million (US$5.2 million) in the first quarter of 2026 from RMB34.5 million in the first quarter of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development expenses increased by 5.6% to RMB6.6 million (US$1.0 million) in the first quarter of 2026 from RMB6.2 million in the first quarter of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first quarter of 2026 was RMB76.8 million (US$11.1 million), as compared to RMB75.2 million in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RMB11.48 (US$1.66) in the first quarter of 2026, as compared to RMB11.12 in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RMB547.2 million (US$79.3 million) of cash, cash equivalents and restricted cash and RMB236.0 million (US$34.2 million) of short-term investments, as compared to RMB576.8 million of cash, cash equivalents and restricted cash and RMB235.9 million of short-term investments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 deferred revenue balance of RMB500.5 million (US$72.6 million), as compared to RMB585.3 million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2026, Sunlands currently expects net revenues to be between RMB410 million to RMB430 million, which would represent a decrease of between 20.2% to 23.9% year-over-year. The above outlook is based on the current market conditions and reflects the Company’s current and preliminary estimates of market and operating conditions and customer demand, which are all subject to substantial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is primarily conducted in China and all revenues are denominated in Renminbi (“RMB”). This announcement contains currency conversions of RMB amounts into U.S. dollars (“US$”) solely for the convenience of the reader. Unless otherwise noted, all translations from RMB to US$ are made at a rate of RMB6.8980 to US$1.00, the effective noon buying rate for March 31, 2026 as set forth in the H.10 statistical release of the Federal Reserve Board. No representation is made that the RMB amounts could have been, or could be, converted, realized or settled into US$ at that rate on March 31, 2026, or at any other rate.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Sunlands’ management team will host a conference call at 6:30 AM U.S. Eastern Time, (6:30 PM Beijing/Hong Kong time) on May 26, 2026, following the quarterly results announcement.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participants who wish to join the call, please access the link provided below to complete online registration 15 minutes prior to the scheduled call start time. Upon registration, participants will receive details for the conference call, including dial-in numbers, a personal PIN and an e-mail with detailed instructions to join the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https://register-conf.media-server.com/register/BI195d2f2c80dc47428cd4e4d9f1981291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 live webcast and archive of the conference call will be available on the Investor Relations section of Sunlands' website at https://ir.sunlands.com/.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Sunlands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Sunlands Technology Group (NYSE: STG) (“Sunlands” or the “Company”), formerly known as Sunlands Online Education Group, is a leader in China’s adult online education market and China’s adult personal interest learning market. With a one to many live streaming platform, Sunlands offers various degree- or diploma-oriented post-secondary courses as well as professional certification preparation, professional skills and interest courses. Students can access the Company's services either through PC or mobile applications. The Company's online platform cultivates a personalized, interactive 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Company's proprietary knowledge management system. Sunlands has a deep understanding of the educational needs of its prospective students and offers solutions that help them achieve their goals.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gross billings, EBITDA, non-GAAP operating cost and expenses, non-GAAP income from operations and non-GAAP net income per share, each a non-GAAP financial measure, in evaluating our operating results and for financial and operational decision-making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gross billings for a specific period as the total amount of cash received for the sale of course packages, net of the total amount of refunds paid in such period. Our management uses gross billings as a performance measurement because we generally bill our students for the entire course tuition at the time of sale of our course packages and recognize revenue proportionally over a period. EBITDA is defined as net income excluding depreciation and amortization, interest expense, interest income, and income tax expenses. Adjusted EBITDA is defined as net income excluding depreciation and amortization, interest expense, interest income, income tax expenses and impairment loss on long-lived assets. We believe that gross billings, EBITDA and adjusted EBITDA provide valuable insight into the sales of our course packages and the performance of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non-GAAP financial measures should not be considered in isolation from, or as a substitute for, their most directly comparable financial measures prepared in accordance with GAAP. A reconciliation of the historical non-GAAP financial measures to their respective most directly comparable GAAP measure has been provided in the tables included below. Investors are encouraged to review the reconciliation of the historical non-GAAP financial measures to their respective most directly comparable GAAP financial measures. As gross billings, EBITDA, adjusted EBITDA, operating cost and expenses excluding share-based compensation expenses, general and administrative expenses excluding share-based compensation expenses, sales and marketing expenses excluding share-based compensation expenses, product development expenses excluding share-based compensation expenses, income from operations excluding share-based compensation expenses, and basic and diluted net income per share excluding share-based compensation expenses have material limitations as an analytical metric and may not be calculated in the same manner by all companies, it may not be comparable to other similarly titled measures used by other companies. In light of the foregoing limitations, you should not consider gross billings, EBITDA and adjusted EBITDA as a substitute for, or superior to, their respective most directly comparable financial measures prepared in accordance with GAAP. We encourage investors and others to review our financial information in its entirety and not rely on a single financial measure.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Sunlands'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enquiries,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Sunlands Technology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sl-ir@sunlands.com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Sunlands Technology Group</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SUNLANDS TECHNOLOGY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82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As of December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37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7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As of March 31,</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76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34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9"/>
                <w:szCs w:val="19"/>
                <w:color w:val="auto"/>
              </w:rPr>
            </w:pPr>
          </w:p>
        </w:tc>
        <w:tc>
          <w:tcPr>
            <w:tcW w:w="1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RMB</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98"/>
        </w:trPr>
        <w:tc>
          <w:tcPr>
            <w:tcW w:w="464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575,740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545,679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79,107</w:t>
            </w: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235,937</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235,974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34,209</w:t>
            </w: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80,740</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11,705</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costs, current</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22,125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9"/>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Held for sale assets</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127,912</w:t>
            </w:r>
          </w:p>
        </w:tc>
        <w:tc>
          <w:tcPr>
            <w:tcW w:w="10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18,543</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340" w:type="dxa"/>
            <w:vAlign w:val="bottom"/>
            <w:tcBorders>
              <w:bottom w:val="single" w:sz="8" w:color="D5EAEA"/>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917,391</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1,009,294</w:t>
            </w:r>
          </w:p>
        </w:tc>
        <w:tc>
          <w:tcPr>
            <w:tcW w:w="100" w:type="dxa"/>
            <w:vAlign w:val="bottom"/>
            <w:tcBorders>
              <w:bottom w:val="single" w:sz="8" w:color="D5EAEA"/>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146,317</w:t>
            </w:r>
          </w:p>
        </w:tc>
        <w:tc>
          <w:tcPr>
            <w:tcW w:w="0" w:type="dxa"/>
            <w:vAlign w:val="bottom"/>
          </w:tcPr>
          <w:p>
            <w:pPr>
              <w:spacing w:after="0"/>
              <w:rPr>
                <w:sz w:val="1"/>
                <w:szCs w:val="1"/>
                <w:color w:val="auto"/>
              </w:rPr>
            </w:pPr>
          </w:p>
        </w:tc>
      </w:tr>
      <w:tr>
        <w:trPr>
          <w:trHeight w:val="209"/>
        </w:trPr>
        <w:tc>
          <w:tcPr>
            <w:tcW w:w="46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3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662,178</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77,276</w:t>
            </w: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99,111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13,918</w:t>
            </w: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318,791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46,270</w:t>
            </w: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19,750</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09"/>
        </w:trPr>
        <w:tc>
          <w:tcPr>
            <w:tcW w:w="464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34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1,129,827</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989,096</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bottom w:val="single" w:sz="8" w:color="auto"/>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143,389</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tcBorders>
              <w:bottom w:val="single" w:sz="8" w:color="D5EAEA"/>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2,047,218</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1,998,390</w:t>
            </w:r>
          </w:p>
        </w:tc>
        <w:tc>
          <w:tcPr>
            <w:tcW w:w="100" w:type="dxa"/>
            <w:vAlign w:val="bottom"/>
            <w:tcBorders>
              <w:bottom w:val="single" w:sz="8" w:color="D5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289,706</w:t>
            </w:r>
          </w:p>
        </w:tc>
        <w:tc>
          <w:tcPr>
            <w:tcW w:w="0" w:type="dxa"/>
            <w:vAlign w:val="bottom"/>
          </w:tcPr>
          <w:p>
            <w:pPr>
              <w:spacing w:after="0"/>
              <w:rPr>
                <w:sz w:val="1"/>
                <w:szCs w:val="1"/>
                <w:color w:val="auto"/>
              </w:rPr>
            </w:pPr>
          </w:p>
        </w:tc>
      </w:tr>
      <w:tr>
        <w:trPr>
          <w:trHeight w:val="197"/>
        </w:trPr>
        <w:tc>
          <w:tcPr>
            <w:tcW w:w="4640" w:type="dxa"/>
            <w:vAlign w:val="bottom"/>
            <w:shd w:val="clear" w:color="auto" w:fill="D5EAEA"/>
          </w:tcPr>
          <w:p>
            <w:pPr>
              <w:spacing w:after="0"/>
              <w:rPr>
                <w:sz w:val="17"/>
                <w:szCs w:val="17"/>
                <w:color w:val="auto"/>
              </w:rPr>
            </w:pPr>
          </w:p>
        </w:tc>
        <w:tc>
          <w:tcPr>
            <w:tcW w:w="234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spacing w:after="0"/>
              <w:rPr>
                <w:sz w:val="18"/>
                <w:szCs w:val="18"/>
                <w:color w:val="auto"/>
              </w:rPr>
            </w:pPr>
          </w:p>
        </w:tc>
        <w:tc>
          <w:tcPr>
            <w:tcW w:w="23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366,011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49,300</w:t>
            </w:r>
          </w:p>
        </w:tc>
        <w:tc>
          <w:tcPr>
            <w:tcW w:w="0" w:type="dxa"/>
            <w:vAlign w:val="bottom"/>
          </w:tcPr>
          <w:p>
            <w:pPr>
              <w:spacing w:after="0"/>
              <w:rPr>
                <w:sz w:val="1"/>
                <w:szCs w:val="1"/>
                <w:color w:val="auto"/>
              </w:rPr>
            </w:pPr>
          </w:p>
        </w:tc>
      </w:tr>
      <w:tr>
        <w:trPr>
          <w:trHeight w:val="216"/>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384,334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321,044</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46,542</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464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Held for sale liabilities</w:t>
            </w:r>
          </w:p>
        </w:tc>
        <w:tc>
          <w:tcPr>
            <w:tcW w:w="372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759,449</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674,768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97,820</w:t>
            </w:r>
          </w:p>
        </w:tc>
        <w:tc>
          <w:tcPr>
            <w:tcW w:w="0" w:type="dxa"/>
            <w:vAlign w:val="bottom"/>
          </w:tcPr>
          <w:p>
            <w:pPr>
              <w:spacing w:after="0"/>
              <w:rPr>
                <w:sz w:val="1"/>
                <w:szCs w:val="1"/>
                <w:color w:val="auto"/>
              </w:rPr>
            </w:pPr>
          </w:p>
        </w:tc>
      </w:tr>
      <w:tr>
        <w:trPr>
          <w:trHeight w:val="533"/>
        </w:trPr>
        <w:tc>
          <w:tcPr>
            <w:tcW w:w="4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SUNLANDS TECHNOLOGY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of December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As of March 31,</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9"/>
                <w:szCs w:val="19"/>
                <w:color w:val="auto"/>
              </w:rPr>
            </w:pPr>
          </w:p>
        </w:tc>
        <w:tc>
          <w:tcPr>
            <w:tcW w:w="1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RMB</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98"/>
        </w:trPr>
        <w:tc>
          <w:tcPr>
            <w:tcW w:w="69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200,960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179,504</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26,023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129,564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121,838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10,324</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Borders>
              <w:bottom w:val="single" w:sz="8" w:color="D5EAE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343,702</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317,838</w:t>
            </w:r>
          </w:p>
        </w:tc>
        <w:tc>
          <w:tcPr>
            <w:tcW w:w="100" w:type="dxa"/>
            <w:vAlign w:val="bottom"/>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46,078</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1,103,151</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992,606</w:t>
            </w:r>
          </w:p>
        </w:tc>
        <w:tc>
          <w:tcPr>
            <w:tcW w:w="100" w:type="dxa"/>
            <w:vAlign w:val="bottom"/>
            <w:tcBorders>
              <w:bottom w:val="single" w:sz="8" w:color="D5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143,898</w:t>
            </w:r>
          </w:p>
        </w:tc>
        <w:tc>
          <w:tcPr>
            <w:tcW w:w="0" w:type="dxa"/>
            <w:vAlign w:val="bottom"/>
          </w:tcPr>
          <w:p>
            <w:pPr>
              <w:spacing w:after="0"/>
              <w:rPr>
                <w:sz w:val="1"/>
                <w:szCs w:val="1"/>
                <w:color w:val="auto"/>
              </w:rPr>
            </w:pPr>
          </w:p>
        </w:tc>
      </w:tr>
      <w:tr>
        <w:trPr>
          <w:trHeight w:val="197"/>
        </w:trPr>
        <w:tc>
          <w:tcPr>
            <w:tcW w:w="698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Class A ordinary shares (par value of US$0.00005, 796,062,195 shares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3,131,807 and 3,131,807 shares issued as of December 31, 2025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and March 31, 2026, respectively; 2,538,047 and 2,538,047 shares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March 31, 2026, respectively)</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Class B ordinary shares (par value of US$0.00005, 826,389 shares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826,389 and 826,389 shares issued and outstanding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as of December 31, 2025 and March 31, 2026, respectively)</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C ordinary shares (par value of US$0.00005, 203,111,416 shares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authorized; 3,332,062 and 3,332,062 shares issued and outstanding</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2025 and March 31, 2026, respectively)</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22,440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(1,486,011)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(1,409,164)</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(204,286)</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2,287,553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2,287,553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331,626</w:t>
            </w: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121,570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106,440</w:t>
            </w:r>
          </w:p>
        </w:tc>
        <w:tc>
          <w:tcPr>
            <w:tcW w:w="100" w:type="dxa"/>
            <w:vAlign w:val="bottom"/>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15,431</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Sunlands Technology Group shareholders’ equity</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945,554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1,007,271</w:t>
            </w:r>
          </w:p>
        </w:tc>
        <w:tc>
          <w:tcPr>
            <w:tcW w:w="10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146,024</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944,067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1,005,784</w:t>
            </w:r>
          </w:p>
        </w:tc>
        <w:tc>
          <w:tcPr>
            <w:tcW w:w="10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145,808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2,047,218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1,998,390</w:t>
            </w:r>
          </w:p>
        </w:tc>
        <w:tc>
          <w:tcPr>
            <w:tcW w:w="100" w:type="dxa"/>
            <w:vAlign w:val="bottom"/>
            <w:tcBorders>
              <w:bottom w:val="single" w:sz="8" w:color="D5EAEA"/>
            </w:tcBorders>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289,706</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98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SUNLANDS TECHNOLOGY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For the Three Months Ended March 31,</w:t>
            </w:r>
          </w:p>
        </w:tc>
      </w:tr>
      <w:tr>
        <w:trPr>
          <w:trHeight w:val="223"/>
        </w:trPr>
        <w:tc>
          <w:tcPr>
            <w:tcW w:w="4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spacing w:after="0"/>
              <w:rPr>
                <w:sz w:val="19"/>
                <w:szCs w:val="19"/>
                <w:color w:val="auto"/>
              </w:rPr>
            </w:pPr>
          </w:p>
        </w:tc>
      </w:tr>
      <w:tr>
        <w:trPr>
          <w:trHeight w:val="209"/>
        </w:trPr>
        <w:tc>
          <w:tcPr>
            <w:tcW w:w="4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17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RMB</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49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40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487,625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440,660</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63,882</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(72,336)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09"/>
        </w:trPr>
        <w:tc>
          <w:tcPr>
            <w:tcW w:w="496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415,289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381,121</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bottom w:val="single" w:sz="8" w:color="auto"/>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55,251</w:t>
            </w:r>
          </w:p>
        </w:tc>
      </w:tr>
      <w:tr>
        <w:trPr>
          <w:trHeight w:val="209"/>
        </w:trPr>
        <w:tc>
          <w:tcPr>
            <w:tcW w:w="4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(300,444)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(35,062)</w:t>
            </w:r>
          </w:p>
        </w:tc>
      </w:tr>
      <w:tr>
        <w:trPr>
          <w:trHeight w:val="216"/>
        </w:trPr>
        <w:tc>
          <w:tcPr>
            <w:tcW w:w="496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340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10"/>
        </w:trPr>
        <w:tc>
          <w:tcPr>
            <w:tcW w:w="496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(341,145)</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(284,323)</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bottom w:val="single" w:sz="8" w:color="auto"/>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(41,218)</w:t>
            </w:r>
          </w:p>
        </w:tc>
      </w:tr>
      <w:tr>
        <w:trPr>
          <w:trHeight w:val="209"/>
        </w:trPr>
        <w:tc>
          <w:tcPr>
            <w:tcW w:w="496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2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74,144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96,798</w:t>
            </w:r>
          </w:p>
        </w:tc>
        <w:tc>
          <w:tcPr>
            <w:tcW w:w="10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14,033</w:t>
            </w:r>
          </w:p>
        </w:tc>
      </w:tr>
      <w:tr>
        <w:trPr>
          <w:trHeight w:val="209"/>
        </w:trPr>
        <w:tc>
          <w:tcPr>
            <w:tcW w:w="49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expenses</w:t>
            </w:r>
          </w:p>
        </w:tc>
        <w:tc>
          <w:tcPr>
            <w:tcW w:w="20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30"/>
        </w:trPr>
        <w:tc>
          <w:tcPr>
            <w:tcW w:w="496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and loss from equity method investments</w:t>
            </w:r>
          </w:p>
        </w:tc>
        <w:tc>
          <w:tcPr>
            <w:tcW w:w="340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85,761</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106,659</w:t>
            </w:r>
          </w:p>
        </w:tc>
        <w:tc>
          <w:tcPr>
            <w:tcW w:w="10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15,463</w:t>
            </w: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0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29"/>
        </w:trPr>
        <w:tc>
          <w:tcPr>
            <w:tcW w:w="49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40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496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tcBorders>
              <w:bottom w:val="single" w:sz="8" w:color="D5EAEA"/>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75,176</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76,847</w:t>
            </w:r>
          </w:p>
        </w:tc>
        <w:tc>
          <w:tcPr>
            <w:tcW w:w="100" w:type="dxa"/>
            <w:vAlign w:val="bottom"/>
            <w:tcBorders>
              <w:bottom w:val="single" w:sz="8" w:color="D5EAEA"/>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11,141</w:t>
            </w:r>
          </w:p>
        </w:tc>
      </w:tr>
      <w:tr>
        <w:trPr>
          <w:trHeight w:val="197"/>
        </w:trPr>
        <w:tc>
          <w:tcPr>
            <w:tcW w:w="4960" w:type="dxa"/>
            <w:vAlign w:val="bottom"/>
            <w:shd w:val="clear" w:color="auto" w:fill="D5EAEA"/>
          </w:tcPr>
          <w:p>
            <w:pPr>
              <w:spacing w:after="0"/>
              <w:rPr>
                <w:sz w:val="17"/>
                <w:szCs w:val="17"/>
                <w:color w:val="auto"/>
              </w:rPr>
            </w:pPr>
          </w:p>
        </w:tc>
        <w:tc>
          <w:tcPr>
            <w:tcW w:w="20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6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income attributable to Sunlands Technology Group</w:t>
            </w:r>
          </w:p>
        </w:tc>
        <w:tc>
          <w:tcPr>
            <w:tcW w:w="20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75,176</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76,847</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bottom w:val="single" w:sz="8" w:color="auto"/>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11,141</w:t>
            </w: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ordinary shareholders of</w:t>
            </w:r>
          </w:p>
        </w:tc>
        <w:tc>
          <w:tcPr>
            <w:tcW w:w="2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6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Sunlands Technology Group:</w:t>
            </w:r>
          </w:p>
        </w:tc>
        <w:tc>
          <w:tcPr>
            <w:tcW w:w="20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9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income</w:t>
            </w:r>
          </w:p>
        </w:tc>
        <w:tc>
          <w:tcPr>
            <w:tcW w:w="20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ordinary share:</w:t>
            </w:r>
          </w:p>
        </w:tc>
        <w:tc>
          <w:tcPr>
            <w:tcW w:w="2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96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6,759,187</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6,696,498</w:t>
            </w:r>
          </w:p>
        </w:tc>
        <w:tc>
          <w:tcPr>
            <w:tcW w:w="10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6,696,498</w:t>
            </w:r>
          </w:p>
        </w:tc>
      </w:tr>
      <w:tr>
        <w:trPr>
          <w:trHeight w:val="533"/>
        </w:trPr>
        <w:tc>
          <w:tcPr>
            <w:tcW w:w="4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SUNLANDS TECHNOLOGY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For the Three Months Ended March 31,</w:t>
            </w:r>
          </w:p>
        </w:tc>
      </w:tr>
      <w:tr>
        <w:trPr>
          <w:trHeight w:val="223"/>
        </w:trPr>
        <w:tc>
          <w:tcPr>
            <w:tcW w:w="5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spacing w:after="0"/>
              <w:rPr>
                <w:sz w:val="19"/>
                <w:szCs w:val="19"/>
                <w:color w:val="auto"/>
              </w:rPr>
            </w:pPr>
          </w:p>
        </w:tc>
      </w:tr>
      <w:tr>
        <w:trPr>
          <w:trHeight w:val="209"/>
        </w:trPr>
        <w:tc>
          <w:tcPr>
            <w:tcW w:w="5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17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RMB</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54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0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75,176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76,847</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11,141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 effect of nil:</w:t>
            </w: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46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Change in cumulative foreign currency translation adjustments</w:t>
            </w:r>
          </w:p>
        </w:tc>
        <w:tc>
          <w:tcPr>
            <w:tcW w:w="290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investments, net of tax effect of nil</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09"/>
        </w:trPr>
        <w:tc>
          <w:tcPr>
            <w:tcW w:w="546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5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60,321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61,717</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bottom w:val="single" w:sz="8" w:color="auto"/>
            </w:tcBorders>
            <w:shd w:val="clear" w:color="auto" w:fill="D5EAEA"/>
          </w:tcPr>
          <w:p>
            <w:pPr>
              <w:spacing w:after="0"/>
              <w:rPr>
                <w:sz w:val="18"/>
                <w:szCs w:val="18"/>
                <w:color w:val="auto"/>
              </w:rPr>
            </w:pPr>
          </w:p>
        </w:tc>
        <w:tc>
          <w:tcPr>
            <w:tcW w:w="10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8,948</w:t>
            </w:r>
          </w:p>
        </w:tc>
      </w:tr>
      <w:tr>
        <w:trPr>
          <w:trHeight w:val="210"/>
        </w:trPr>
        <w:tc>
          <w:tcPr>
            <w:tcW w:w="546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52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6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Comprehensive income attributable to Sunlands Technology Group</w:t>
            </w:r>
          </w:p>
        </w:tc>
        <w:tc>
          <w:tcPr>
            <w:tcW w:w="1520" w:type="dxa"/>
            <w:vAlign w:val="bottom"/>
            <w:shd w:val="clear" w:color="auto" w:fill="D5EAEA"/>
          </w:tcPr>
          <w:p>
            <w:pPr>
              <w:spacing w:after="0"/>
              <w:rPr>
                <w:sz w:val="18"/>
                <w:szCs w:val="18"/>
                <w:color w:val="auto"/>
              </w:rPr>
            </w:pP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60,321</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61,717</w:t>
            </w:r>
          </w:p>
        </w:tc>
        <w:tc>
          <w:tcPr>
            <w:tcW w:w="100" w:type="dxa"/>
            <w:vAlign w:val="bottom"/>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8,948</w:t>
            </w:r>
          </w:p>
        </w:tc>
      </w:tr>
      <w:tr>
        <w:trPr>
          <w:trHeight w:val="533"/>
        </w:trPr>
        <w:tc>
          <w:tcPr>
            <w:tcW w:w="5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702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SUNLANDS TECHNOLOGY GROUP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702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RECONCILIATION OF GAAP AND NON-GAAP RESULTS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702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1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For the Three Months Ended March</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7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RMB</w:t>
            </w:r>
          </w:p>
        </w:tc>
        <w:tc>
          <w:tcPr>
            <w:tcW w:w="0" w:type="dxa"/>
            <w:vAlign w:val="bottom"/>
          </w:tcPr>
          <w:p>
            <w:pPr>
              <w:spacing w:after="0"/>
              <w:rPr>
                <w:sz w:val="1"/>
                <w:szCs w:val="1"/>
                <w:color w:val="auto"/>
              </w:rPr>
            </w:pPr>
          </w:p>
        </w:tc>
      </w:tr>
      <w:tr>
        <w:trPr>
          <w:trHeight w:val="229"/>
        </w:trPr>
        <w:tc>
          <w:tcPr>
            <w:tcW w:w="31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6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487,625</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440,660</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Less: other revenues</w:t>
            </w:r>
          </w:p>
        </w:tc>
        <w:tc>
          <w:tcPr>
            <w:tcW w:w="5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(60,529)</w:t>
            </w:r>
          </w:p>
        </w:tc>
        <w:tc>
          <w:tcPr>
            <w:tcW w:w="0" w:type="dxa"/>
            <w:vAlign w:val="bottom"/>
          </w:tcPr>
          <w:p>
            <w:pPr>
              <w:spacing w:after="0"/>
              <w:rPr>
                <w:sz w:val="1"/>
                <w:szCs w:val="1"/>
                <w:color w:val="auto"/>
              </w:rPr>
            </w:pPr>
          </w:p>
        </w:tc>
      </w:tr>
      <w:tr>
        <w:trPr>
          <w:trHeight w:val="216"/>
        </w:trPr>
        <w:tc>
          <w:tcPr>
            <w:tcW w:w="31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Add: tax and surcharges</w:t>
            </w:r>
          </w:p>
        </w:tc>
        <w:tc>
          <w:tcPr>
            <w:tcW w:w="666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22,290</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16,223</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Add: ending deferred revenue</w:t>
            </w:r>
          </w:p>
        </w:tc>
        <w:tc>
          <w:tcPr>
            <w:tcW w:w="6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891,617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500,548</w:t>
            </w:r>
          </w:p>
        </w:tc>
        <w:tc>
          <w:tcPr>
            <w:tcW w:w="0" w:type="dxa"/>
            <w:vAlign w:val="bottom"/>
          </w:tcPr>
          <w:p>
            <w:pPr>
              <w:spacing w:after="0"/>
              <w:rPr>
                <w:sz w:val="1"/>
                <w:szCs w:val="1"/>
                <w:color w:val="auto"/>
              </w:rPr>
            </w:pPr>
          </w:p>
        </w:tc>
      </w:tr>
      <w:tr>
        <w:trPr>
          <w:trHeight w:val="216"/>
        </w:trPr>
        <w:tc>
          <w:tcPr>
            <w:tcW w:w="31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Add: ending refund liability</w:t>
            </w:r>
          </w:p>
        </w:tc>
        <w:tc>
          <w:tcPr>
            <w:tcW w:w="666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98,516</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57,553</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Less: beginning deferred revenue</w:t>
            </w: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(916,510)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(585,294)</w:t>
            </w:r>
          </w:p>
        </w:tc>
        <w:tc>
          <w:tcPr>
            <w:tcW w:w="0" w:type="dxa"/>
            <w:vAlign w:val="bottom"/>
          </w:tcPr>
          <w:p>
            <w:pPr>
              <w:spacing w:after="0"/>
              <w:rPr>
                <w:sz w:val="1"/>
                <w:szCs w:val="1"/>
                <w:color w:val="auto"/>
              </w:rPr>
            </w:pPr>
          </w:p>
        </w:tc>
      </w:tr>
      <w:tr>
        <w:trPr>
          <w:trHeight w:val="229"/>
        </w:trPr>
        <w:tc>
          <w:tcPr>
            <w:tcW w:w="31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Less: beginning refund liability</w:t>
            </w:r>
          </w:p>
        </w:tc>
        <w:tc>
          <w:tcPr>
            <w:tcW w:w="6660" w:type="dxa"/>
            <w:vAlign w:val="bottom"/>
            <w:gridSpan w:val="2"/>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(112,342)</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(64,393)</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Gross billings (non-GAAP)</w:t>
            </w:r>
          </w:p>
        </w:tc>
        <w:tc>
          <w:tcPr>
            <w:tcW w:w="53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412,276</w:t>
            </w:r>
          </w:p>
        </w:tc>
        <w:tc>
          <w:tcPr>
            <w:tcW w:w="100" w:type="dxa"/>
            <w:vAlign w:val="bottom"/>
            <w:tcBorders>
              <w:bottom w:val="single" w:sz="8" w:color="D5EAEA"/>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304,768</w:t>
            </w:r>
          </w:p>
        </w:tc>
        <w:tc>
          <w:tcPr>
            <w:tcW w:w="0" w:type="dxa"/>
            <w:vAlign w:val="bottom"/>
          </w:tcPr>
          <w:p>
            <w:pPr>
              <w:spacing w:after="0"/>
              <w:rPr>
                <w:sz w:val="1"/>
                <w:szCs w:val="1"/>
                <w:color w:val="auto"/>
              </w:rPr>
            </w:pPr>
          </w:p>
        </w:tc>
      </w:tr>
      <w:tr>
        <w:trPr>
          <w:trHeight w:val="197"/>
        </w:trPr>
        <w:tc>
          <w:tcPr>
            <w:tcW w:w="3140" w:type="dxa"/>
            <w:vAlign w:val="bottom"/>
            <w:shd w:val="clear" w:color="auto" w:fill="D5EAEA"/>
          </w:tcPr>
          <w:p>
            <w:pPr>
              <w:spacing w:after="0"/>
              <w:rPr>
                <w:sz w:val="17"/>
                <w:szCs w:val="17"/>
                <w:color w:val="auto"/>
              </w:rPr>
            </w:pPr>
          </w:p>
        </w:tc>
        <w:tc>
          <w:tcPr>
            <w:tcW w:w="53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D5EAEA"/>
          </w:tcPr>
          <w:p>
            <w:pPr>
              <w:spacing w:after="0"/>
              <w:rPr>
                <w:sz w:val="18"/>
                <w:szCs w:val="18"/>
                <w:color w:val="auto"/>
              </w:rPr>
            </w:pPr>
          </w:p>
        </w:tc>
        <w:tc>
          <w:tcPr>
            <w:tcW w:w="53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76,847</w:t>
            </w:r>
          </w:p>
        </w:tc>
        <w:tc>
          <w:tcPr>
            <w:tcW w:w="0" w:type="dxa"/>
            <w:vAlign w:val="bottom"/>
          </w:tcPr>
          <w:p>
            <w:pPr>
              <w:spacing w:after="0"/>
              <w:rPr>
                <w:sz w:val="1"/>
                <w:szCs w:val="1"/>
                <w:color w:val="auto"/>
              </w:rPr>
            </w:pPr>
          </w:p>
        </w:tc>
      </w:tr>
      <w:tr>
        <w:trPr>
          <w:trHeight w:val="209"/>
        </w:trPr>
        <w:tc>
          <w:tcPr>
            <w:tcW w:w="314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Add: income tax expenses</w:t>
            </w:r>
          </w:p>
        </w:tc>
        <w:tc>
          <w:tcPr>
            <w:tcW w:w="53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auto"/>
            </w:tcBorders>
            <w:shd w:val="clear" w:color="auto" w:fill="D5EAEA"/>
          </w:tcPr>
          <w:p>
            <w:pPr>
              <w:spacing w:after="0"/>
              <w:rPr>
                <w:sz w:val="18"/>
                <w:szCs w:val="18"/>
                <w:color w:val="auto"/>
              </w:rPr>
            </w:pPr>
          </w:p>
        </w:tc>
        <w:tc>
          <w:tcPr>
            <w:tcW w:w="108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28,805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6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16"/>
        </w:trPr>
        <w:tc>
          <w:tcPr>
            <w:tcW w:w="314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Add: interest expense</w:t>
            </w:r>
          </w:p>
        </w:tc>
        <w:tc>
          <w:tcPr>
            <w:tcW w:w="6660" w:type="dxa"/>
            <w:vAlign w:val="bottom"/>
            <w:gridSpan w:val="2"/>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09"/>
        </w:trPr>
        <w:tc>
          <w:tcPr>
            <w:tcW w:w="314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EBITDA (non-GAAP)</w:t>
            </w:r>
          </w:p>
        </w:tc>
        <w:tc>
          <w:tcPr>
            <w:tcW w:w="53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87,168</w:t>
            </w:r>
          </w:p>
        </w:tc>
        <w:tc>
          <w:tcPr>
            <w:tcW w:w="100" w:type="dxa"/>
            <w:vAlign w:val="bottom"/>
            <w:tcBorders>
              <w:top w:val="single" w:sz="8" w:color="D5EAEA"/>
            </w:tcBorders>
            <w:shd w:val="clear" w:color="auto" w:fill="D5EAEA"/>
          </w:tcPr>
          <w:p>
            <w:pPr>
              <w:spacing w:after="0"/>
              <w:rPr>
                <w:sz w:val="18"/>
                <w:szCs w:val="18"/>
                <w:color w:val="auto"/>
              </w:rPr>
            </w:pPr>
          </w:p>
        </w:tc>
        <w:tc>
          <w:tcPr>
            <w:tcW w:w="260" w:type="dxa"/>
            <w:vAlign w:val="bottom"/>
            <w:tcBorders>
              <w:top w:val="single" w:sz="8" w:color="auto"/>
              <w:bottom w:val="single" w:sz="8" w:color="auto"/>
            </w:tcBorders>
            <w:shd w:val="clear" w:color="auto" w:fill="D5EAEA"/>
          </w:tcPr>
          <w:p>
            <w:pPr>
              <w:spacing w:after="0"/>
              <w:rPr>
                <w:sz w:val="18"/>
                <w:szCs w:val="18"/>
                <w:color w:val="auto"/>
              </w:rPr>
            </w:pPr>
          </w:p>
        </w:tc>
        <w:tc>
          <w:tcPr>
            <w:tcW w:w="108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107,602</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Add: Impairment loss on long-lived assets</w:t>
            </w:r>
          </w:p>
        </w:tc>
        <w:tc>
          <w:tcPr>
            <w:tcW w:w="53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53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87,168</w:t>
            </w:r>
          </w:p>
        </w:tc>
        <w:tc>
          <w:tcPr>
            <w:tcW w:w="100" w:type="dxa"/>
            <w:vAlign w:val="bottom"/>
            <w:tcBorders>
              <w:bottom w:val="single" w:sz="8" w:color="D5EAEA"/>
            </w:tcBorders>
            <w:shd w:val="clear" w:color="auto" w:fill="D5EAEA"/>
          </w:tcPr>
          <w:p>
            <w:pPr>
              <w:spacing w:after="0"/>
              <w:rPr>
                <w:sz w:val="19"/>
                <w:szCs w:val="19"/>
                <w:color w:val="auto"/>
              </w:rPr>
            </w:pPr>
          </w:p>
        </w:tc>
        <w:tc>
          <w:tcPr>
            <w:tcW w:w="260" w:type="dxa"/>
            <w:vAlign w:val="bottom"/>
            <w:tcBorders>
              <w:bottom w:val="single" w:sz="8" w:color="auto"/>
            </w:tcBorders>
            <w:shd w:val="clear" w:color="auto" w:fill="D5EAEA"/>
          </w:tcPr>
          <w:p>
            <w:pPr>
              <w:spacing w:after="0"/>
              <w:rPr>
                <w:sz w:val="19"/>
                <w:szCs w:val="19"/>
                <w:color w:val="auto"/>
              </w:rPr>
            </w:pPr>
          </w:p>
        </w:tc>
        <w:tc>
          <w:tcPr>
            <w:tcW w:w="108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107,602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3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12</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2026-05-26T05:33:39Z</dcterms:created>
  <dcterms:modified xsi:type="dcterms:W3CDTF">2026-05-26T05:33:39Z</dcterms:modified>
</cp:coreProperties>
</file>