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52100_6k.htm"/>
      <w:bookmarkStart w:id="1" w:name="ksdp252100_6k"/>
      <w:bookmarkEnd w:id="0"/>
      <w:bookmarkEnd w:id="1"/>
      <w:r>
        <w:rPr/>
        <w:t> </w:t>
      </w:r>
    </w:p>
    <w:p>
      <w:pPr>
        <w:pStyle w:val="TextBody"/>
        <w:bidi w:val="0"/>
        <w:spacing w:before="20" w:after="20"/>
        <w:jc w:val="left"/>
        <w:rPr>
          <w:bdr w:val="single" w:sz="28" w:space="1" w:color="000000"/>
        </w:rPr>
      </w:pPr>
      <w:r>
        <w:rPr>
          <w:bdr w:val="single" w:sz="2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ISSUER</w:t>
        <w:br/>
        <w:t>PURSUANT TO RULE 13a-16 OR 15d-16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001-38423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SUNLANDS TECHNOLOGY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Building 6, Chaolai Science Park, No. 36</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Chuangyuan Road, Chaoyang District</w:t>
        <w:br/>
        <w:t>Beijing, 100012, the People’s Republic of China</w:t>
        <w:br/>
        <w:t>+86-10-52413738</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shd w:fill="FFFFFF" w:val="clear"/>
        <w:tblLayout w:type="fixed"/>
        <w:tblCellMar>
          <w:top w:w="0" w:type="dxa"/>
          <w:left w:w="0" w:type="dxa"/>
          <w:bottom w:w="28" w:type="dxa"/>
          <w:right w:w="0" w:type="dxa"/>
        </w:tblCellMar>
      </w:tblPr>
      <w:tblGrid>
        <w:gridCol w:w="1205"/>
        <w:gridCol w:w="60"/>
        <w:gridCol w:w="1325"/>
      </w:tblGrid>
      <w:tr>
        <w:trPr/>
        <w:tc>
          <w:tcPr>
            <w:tcW w:w="1205" w:type="dxa"/>
            <w:tcBorders>
              <w:bottom w:val="single" w:sz="4"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1205" w:type="dxa"/>
            <w:tcBorders/>
            <w:shd w:fill="FFFFFF" w:val="clear"/>
            <w:tcMar>
              <w:bottom w:w="0" w:type="dxa"/>
            </w:tcMar>
            <w:vAlign w:val="center"/>
          </w:tcPr>
          <w:p>
            <w:pPr>
              <w:pStyle w:val="TableContents"/>
              <w:bidi w:val="0"/>
              <w:spacing w:before="0" w:after="283"/>
              <w:jc w:val="left"/>
              <w:rPr/>
            </w:pPr>
            <w:hyperlink w:anchor="dp252100_ex9901.htm">
              <w:r>
                <w:rPr>
                  <w:rStyle w:val="InternetLink"/>
                  <w:rFonts w:ascii="Times New Roman;Times;Serif" w:hAnsi="Times New Roman;Times;Serif"/>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hyperlink w:anchor="dp252100_ex9901.htm">
              <w:r>
                <w:rPr>
                  <w:rStyle w:val="InternetLink"/>
                  <w:rFonts w:ascii="Times New Roman;Times;Serif" w:hAnsi="Times New Roman;Times;Serif"/>
                </w:rPr>
                <w:t>Press Release</w:t>
              </w:r>
            </w:hyperlink>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470"/>
        <w:gridCol w:w="1610"/>
        <w:gridCol w:w="60"/>
        <w:gridCol w:w="320"/>
        <w:gridCol w:w="635"/>
        <w:gridCol w:w="1955"/>
      </w:tblGrid>
      <w:tr>
        <w:trPr/>
        <w:tc>
          <w:tcPr>
            <w:tcW w:w="20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Sunlands Technology Group</w:t>
            </w:r>
          </w:p>
        </w:tc>
      </w:tr>
      <w:tr>
        <w:trPr/>
        <w:tc>
          <w:tcPr>
            <w:tcW w:w="208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610" w:type="dxa"/>
            <w:tcBorders>
              <w:bottom w:val="single" w:sz="8" w:space="0" w:color="000000"/>
            </w:tcBorders>
            <w:tcMar>
              <w:bottom w:w="28" w:type="dxa"/>
            </w:tcMar>
            <w:vAlign w:val="center"/>
          </w:tcPr>
          <w:p>
            <w:pPr>
              <w:pStyle w:val="TableContents"/>
              <w:bidi w:val="0"/>
              <w:spacing w:before="0" w:after="283"/>
              <w:jc w:val="left"/>
              <w:rPr/>
            </w:pPr>
            <w:r>
              <w:rPr/>
              <w:t>August 20,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Tongbo Liu</w:t>
            </w:r>
          </w:p>
        </w:tc>
      </w:tr>
      <w:tr>
        <w:trPr/>
        <w:tc>
          <w:tcPr>
            <w:tcW w:w="47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Tongbo Liu</w:t>
            </w:r>
          </w:p>
        </w:tc>
      </w:tr>
      <w:tr>
        <w:trPr/>
        <w:tc>
          <w:tcPr>
            <w:tcW w:w="47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jc w:val="left"/>
        <w:rPr/>
      </w:pPr>
      <w:bookmarkStart w:id="2" w:name="dp252100_ex9901.htm"/>
      <w:bookmarkStart w:id="3" w:name="ksdp252100_ex9901"/>
      <w:bookmarkEnd w:id="2"/>
      <w:bookmarkEnd w:id="3"/>
      <w:r>
        <w:rPr/>
        <w:t> </w:t>
      </w:r>
      <w:r>
        <w:br w:type="page"/>
      </w:r>
    </w:p>
    <w:p>
      <w:pPr>
        <w:pStyle w:val="TextBody"/>
        <w:bidi w:val="0"/>
        <w:jc w:val="right"/>
        <w:rPr>
          <w:b/>
        </w:rPr>
      </w:pPr>
      <w:r>
        <w:rPr>
          <w:b/>
        </w:rPr>
        <w:t>Exhibit 99.1</w:t>
      </w:r>
    </w:p>
    <w:p>
      <w:pPr>
        <w:pStyle w:val="TextBody"/>
        <w:bidi w:val="0"/>
        <w:jc w:val="right"/>
        <w:rPr/>
      </w:pPr>
      <w:r>
        <w:rPr/>
        <w:t> </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 Announces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August 20</w:t>
      </w:r>
      <w:r>
        <w:rPr>
          <w:rFonts w:ascii="Times New Roman;Times;Serif" w:hAnsi="Times New Roman;Times;Serif"/>
          <w:b/>
          <w:i w:val="false"/>
          <w:caps w:val="false"/>
          <w:smallCaps w:val="false"/>
          <w:sz w:val="20"/>
          <w:shd w:fill="FFFFFF" w:val="clear"/>
        </w:rPr>
        <w:t>,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shd w:fill="FFFFFF" w:val="clear"/>
        </w:rPr>
        <w:t xml:space="preserve">Sunlands Technology Group </w:t>
      </w:r>
      <w:r>
        <w:rPr>
          <w:rFonts w:ascii="Times New Roman;Times;Serif" w:hAnsi="Times New Roman;Times;Serif"/>
          <w:b w:val="false"/>
          <w:i w:val="false"/>
          <w:caps w:val="false"/>
          <w:smallCaps w:val="false"/>
          <w:sz w:val="20"/>
          <w:shd w:fill="FFFFFF" w:val="clear"/>
        </w:rPr>
        <w:t>(NYSE: STG) (“Sunlands” or the “Company”), a leader in China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s adult online education market and China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s adult personal interest learning market,</w:t>
      </w:r>
      <w:r>
        <w:rPr>
          <w:rFonts w:ascii="Times New Roman;Times;Serif" w:hAnsi="Times New Roman;Times;Serif"/>
          <w:b w:val="false"/>
          <w:i w:val="false"/>
          <w:caps w:val="false"/>
          <w:smallCaps w:val="false"/>
          <w:sz w:val="20"/>
        </w:rPr>
        <w:t xml:space="preserve"> today announced its unaudited financial </w:t>
      </w:r>
      <w:r>
        <w:rPr>
          <w:rFonts w:ascii="Times New Roman;Times;Serif" w:hAnsi="Times New Roman;Times;Serif"/>
          <w:b w:val="false"/>
          <w:i w:val="false"/>
          <w:caps w:val="false"/>
          <w:smallCaps w:val="false"/>
          <w:sz w:val="20"/>
          <w:shd w:fill="FFFFFF" w:val="clear"/>
        </w:rPr>
        <w:t>results for the second quarter ended June 30,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and Operational Snapshots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revenues were RMB406.4 million (US$59.9 million), compared to RMB539.0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billings (non-GAAP) were RMB286.2 million (US$42.2 million), compared to RMB400.3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Gross profit was RMB349.2 million (US$51.5 million), compared to RMB469.4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Net income was RMB83.5 million (US$12.3 million), compared to RMB126.6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6"/>
        <w:gridCol w:w="163"/>
        <w:gridCol w:w="9986"/>
      </w:tblGrid>
      <w:tr>
        <w:trPr/>
        <w:tc>
          <w:tcPr>
            <w:tcW w:w="56" w:type="dxa"/>
            <w:tcBorders/>
            <w:shd w:fill="FFFFFF" w:val="clear"/>
            <w:vAlign w:val="center"/>
          </w:tcPr>
          <w:p>
            <w:pPr>
              <w:pStyle w:val="TableContents"/>
              <w:bidi w:val="0"/>
              <w:spacing w:before="0" w:after="283"/>
              <w:jc w:val="left"/>
              <w:rPr>
                <w:sz w:val="4"/>
                <w:szCs w:val="4"/>
              </w:rPr>
            </w:pPr>
            <w:r>
              <w:rPr>
                <w:sz w:val="4"/>
                <w:szCs w:val="4"/>
              </w:rPr>
            </w:r>
          </w:p>
        </w:tc>
        <w:tc>
          <w:tcPr>
            <w:tcW w:w="163"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9986" w:type="dxa"/>
            <w:tcBorders/>
            <w:shd w:fill="FFFFFF" w:val="clear"/>
            <w:vAlign w:val="center"/>
          </w:tcPr>
          <w:p>
            <w:pPr>
              <w:pStyle w:val="TableContents"/>
              <w:bidi w:val="0"/>
              <w:spacing w:before="0" w:after="283"/>
              <w:jc w:val="both"/>
              <w:rPr/>
            </w:pPr>
            <w:r>
              <w:rPr>
                <w:rFonts w:ascii="Times New Roman;Times;Serif" w:hAnsi="Times New Roman;Times;Serif"/>
                <w:sz w:val="20"/>
              </w:rPr>
              <w:t>Net income margin</w:t>
            </w:r>
            <w:r>
              <w:rPr>
                <w:position w:val="8"/>
                <w:sz w:val="19"/>
              </w:rPr>
              <w:t>1</w:t>
            </w:r>
            <w:r>
              <w:rPr/>
              <w:t xml:space="preserve"> </w:t>
            </w:r>
            <w:r>
              <w:rPr>
                <w:rFonts w:ascii="Times New Roman;Times;Serif" w:hAnsi="Times New Roman;Times;Serif"/>
                <w:sz w:val="20"/>
              </w:rPr>
              <w:t>was 20.5%, compared to 23.5%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0"/>
        <w:gridCol w:w="147"/>
        <w:gridCol w:w="10008"/>
      </w:tblGrid>
      <w:tr>
        <w:trPr/>
        <w:tc>
          <w:tcPr>
            <w:tcW w:w="50" w:type="dxa"/>
            <w:tcBorders/>
            <w:shd w:fill="FFFFFF" w:val="clear"/>
            <w:vAlign w:val="center"/>
          </w:tcPr>
          <w:p>
            <w:pPr>
              <w:pStyle w:val="TableContents"/>
              <w:bidi w:val="0"/>
              <w:spacing w:before="0" w:after="283"/>
              <w:jc w:val="left"/>
              <w:rPr>
                <w:sz w:val="4"/>
                <w:szCs w:val="4"/>
              </w:rPr>
            </w:pPr>
            <w:r>
              <w:rPr>
                <w:sz w:val="4"/>
                <w:szCs w:val="4"/>
              </w:rPr>
            </w:r>
          </w:p>
        </w:tc>
        <w:tc>
          <w:tcPr>
            <w:tcW w:w="147"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08" w:type="dxa"/>
            <w:tcBorders/>
            <w:shd w:fill="FFFFFF" w:val="clear"/>
            <w:vAlign w:val="center"/>
          </w:tcPr>
          <w:p>
            <w:pPr>
              <w:pStyle w:val="TableContents"/>
              <w:bidi w:val="0"/>
              <w:spacing w:before="0" w:after="283"/>
              <w:jc w:val="both"/>
              <w:rPr/>
            </w:pPr>
            <w:r>
              <w:rPr>
                <w:rFonts w:ascii="Times New Roman;Times;Serif" w:hAnsi="Times New Roman;Times;Serif"/>
                <w:sz w:val="20"/>
              </w:rPr>
              <w:t>New student enrollments</w:t>
            </w:r>
            <w:r>
              <w:rPr>
                <w:position w:val="8"/>
                <w:sz w:val="19"/>
              </w:rPr>
              <w:t>2</w:t>
            </w:r>
            <w:r>
              <w:rPr/>
              <w:t xml:space="preserve"> </w:t>
            </w:r>
            <w:r>
              <w:rPr>
                <w:rFonts w:ascii="Times New Roman;Times;Serif" w:hAnsi="Times New Roman;Times;Serif"/>
                <w:sz w:val="20"/>
              </w:rPr>
              <w:t>were 95,280, compared to 159,154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As of June 30, 2026, the Company’s deferred revenue balance was RMB433.5 million (US$63.9 million), compared to RMB585.3 million as of December 31, 2025.</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Net income margin is defined as net income as a percentage of 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New student enrollments for a given period refer to the total number of orders placed by students that newly enroll in at least one course during that period, including those students that enroll and then terminate their enrollment with us, excluding orders of our low-price courses, such as “mini courses” and “RMB1 courses”, which we offer in the form of recorded videos or short live streaming, to strengthen our competitiveness and improve customer experience.</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Tongbo Liu, Chief Executive Officer of Sunlands, commented, “During the second quarter of 2026, we continued to refine our course offerings and customer acquisition activities in response to evolving learner needs. Our focus remained on strengthening the quality and sustainability of the business while continuing to improve operating efficiency. In May 2026, we announced a new share repurchase program, reflecting our confidence in the Company’s long-term prospects and intrinsic value. Looking ahead, we will continue to improve our products and services and pursue new opportunities at a measured pace.”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Hangyu Li, Finance Director of Sunlands, added, “In the second quarter of 2026, net revenues were RMB406.4 million and net income was RMB83.5 million, representing a net income margin of 20.5%. We delivered our 21st consecutive profitable quarter, supported by disciplined cost management, while gross billings per new student enrollment increased by 19.4% year-over-year. With a solid liquidity position, we retain the flexibility to invest selectively in courses, services and technology, advance our share repurchase program, and maintain prudent capital allocation.”</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2026, net revenues decreased by 24.6% to RMB406.4 million (US$59.9 million) from RMB539.0 million in the second quarter of 2025. The decrease was primarily due to the year-over-year decline in gross billings.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by 17.9% to RMB57.2 million (US$8.4 million) in the second quarter of 2026 from RMB69.6 million in the second quarter of 2025. The decrease was mainly due to declined service fees paid to educational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25.6% to RMB349.2 million (US$51.5 million) in the second quarter of 2026 from RMB469.4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of 2026, operating expenses were RMB265.7 million (US$39.2 million), representing a 22.5% decrease from RMB342.6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24.5% to RMB228.4 million (US$33.7 million) in the second quarter of 2026 from RMB302.5 million in the second quarter of 2025. The decrease was mainly due to the decreases of compensation for sales personnel and the spending on branding and marketing activities focused on interest courses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4.0% to RMB31.8 million (US$4.7 million) in the second quarter of 2026 from RMB33.2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expenses decreased by 20.8% to RMB5.5 million (US$0.8 million) in the second quarter of 2026 from RMB6.9 million in the second quarter of 2025. The decrease was mainly due to declined compensation expenses related to the Company’s product development personnel.</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second quarter of 2026 was RMB83.5 million (US$12.3 million), as compared to RMB126.6 million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was RMB12.58 (US$1.85) in the second quarter of 2026, as compared to RMB18.75 in the second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RMB520.6 million (US$76.7 million) of cash, cash equivalents and RMB336.9 million (US$49.6 million) of short-term investments, as compared to RMB576.8 million of cash, cash equivalents and restricted cash and RMB235.9 million of short-term investments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Deferred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a deferred revenue balance of RMB433.5 million (US$63.9 million), as compared to RMB585.3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29, 2026, the Company’s board of directors authorized a share repurchase program, under which the Company may repurchase up to US$50.0 million of Class A ordinary shares in the form of ADSs over the next 36 months.  As of August 17, 2026, the Company had repurchased an aggregate of 680,353 ADSs for approximately US$2.3 million under the share repurchase program.</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First Six Months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six months of 2026, net revenues decreased by 17.5% to RMB847.0 million (US$124.8 million) from RMB1,026.6 million in the first six months of 2025. The decrease was primarily due to the year-over-year decline in gross billings.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by 17.8% to RMB116.7 million (US$17.2 million) in the first six months of 2026 from RMB142.0 million in the first six months of 2025. The decrease was mainly due to declined cost of revenues from sales of goods such as learning materials and books and decreased service fees paid to educational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decreased by 17.5% to RMB730.3 million (US$107.6 million) from RMB884.7 million in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first six months of 2026, operating expenses were RMB550.0 million (US$81.1 million), representing a 19.6% decrease from RMB683.8 million in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22.0% to RMB470.2 million (US$69.3 million) in the first six months of 2026 from RMB603.0 million in the first six months of 2025. The decrease was mainly due to the decreases of compensation for sales personnel and the spending on branding and marketing activities focused on interest courses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0.1% to RMB67.7 million (US$10.0 million) in the first six months of 2026 from RMB67.6 million in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expenses decreased by 8.3% to RMB12.1 million (US$1.8 million) in the first six months of 2026 from RMB13.2 million in the first six months of 2025.</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first six months of 2026 was RMB160.3 million (US$23.6 million), compared with RMB201.8 million in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was RMB24.05 (US$3.54) in the first six months of 2026, compared with RMB29.87 in the first six months of 2025.</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of 2026, Sunlands currently expects net revenues to be between RMB330 million to RMB350 million, which would represent a decrease of between 33.1% to 36.9% year-over-year. The above outlook is based on the current market conditions and reflects the Company’s current and preliminary estimates of market and operating conditions and customer demand, which are all subject to substantial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primarily conducted in China and all revenues are denominated in Renminbi (“RMB”). This announcement contains currency conversions of RMB amounts into U.S. dollars (“US$”) solely for the convenience of the reader. Unless otherwise noted, all translations from RMB to US$ are made at a rate of RMB6.7851 to US$1.00, the effective noon buying rate for June 30, 2026 as set forth in the H.10 statistical release of the Federal Reserve Board. No representation is made that the RMB amounts could have been, or could be, converted, realized or settled into US$ at that rate on June 30, 2026, or at any other rate.</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Sunlands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Sunlands Technology Group (NYSE: STG) (“Sunlands” or the “Company”), formerly known as Sunlands Online Education Group, is a leader in China’s adult online education market and China’s adult personal interest learning market. With a one to many live streaming platform, Sunlands offers various degree- or diploma-oriented post-secondary courses as well as professional certification preparation, professional skills and interest courses. Students can access the Company's services either through PC or mobile applications. The Company's online platform cultivates a personalized, interactive learning environment by featuring a virtual learning community and a vast library of educational content offerings that adapt to the learning habits of its students. Sunlands offers a unique approach to education research and development that organizes subject content into Learning Outcome Trees, the Company's proprietary knowledge management system. Sunlands has a deep understanding of the educational needs of its prospective students and offers solutions that help them achieve their goals.</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Non-GAAP Financial Measures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gross billings, EBITDA, </w:t>
      </w:r>
      <w:r>
        <w:rPr>
          <w:rFonts w:ascii="Times New Roman;Times;Serif" w:hAnsi="Times New Roman;Times;Serif"/>
          <w:b w:val="false"/>
          <w:i w:val="false"/>
          <w:caps w:val="false"/>
          <w:smallCaps w:val="false"/>
          <w:sz w:val="20"/>
          <w:shd w:fill="FFFFFF" w:val="clear"/>
        </w:rPr>
        <w:t>non-GAAP operating cost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expenses, non-GAAP income from operations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 xml:space="preserve">non-GAAP net income per share, </w:t>
      </w:r>
      <w:r>
        <w:rPr>
          <w:rFonts w:ascii="Times New Roman;Times;Serif" w:hAnsi="Times New Roman;Times;Serif"/>
          <w:b w:val="false"/>
          <w:i w:val="false"/>
          <w:caps w:val="false"/>
          <w:smallCaps w:val="false"/>
          <w:sz w:val="20"/>
        </w:rPr>
        <w:t>each a non-GAAP financial measure, in evaluating our operating results and for financial and operational decision-making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gross billings for a specific period as the total amount of cash received for the sale of course packages, net of the total amount of refunds paid in such period. Our management uses gross billings as a performance measurement because we generally bill our students for the entire course tuition at the time of sale of our course packages and recognize revenue proportionally over a period. EBITDA is defined as net income excluding depreciation and amortization, interest expense, interest income, and income tax expenses. Adjusted EBITDA is defined as net income excluding depreciation and amortization, interest expense, interest income, income tax expenses and impairment loss on long-lived assets. We believe that gross billings, EBITDA and adjusted EBITDA provide valuable insight into the sales of our course packages and the performance of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non-GAAP financial measures should not be considered in isolation from, or as a substitute for, their most directly comparable financial measures prepared in accordance with GAAP. A reconciliation of the historical non-GAAP financial measures to their respective most directly comparable GAAP measure has been provided in the tables included below. Investors are encouraged to review the reconciliation of the historical non-GAAP financial measures to their respective most directly comparable GAAP financial measures. As gross billings, EBITDA, adjusted EBITDA, </w:t>
      </w:r>
      <w:r>
        <w:rPr>
          <w:rFonts w:ascii="Times New Roman;Times;Serif" w:hAnsi="Times New Roman;Times;Serif"/>
          <w:b w:val="false"/>
          <w:i w:val="false"/>
          <w:caps w:val="false"/>
          <w:smallCaps w:val="false"/>
          <w:sz w:val="20"/>
          <w:shd w:fill="FFFFFF" w:val="clear"/>
        </w:rPr>
        <w:t xml:space="preserve">operating cost and expenses excluding share-based compensation expenses, general and administrative expenses excluding share-based compensation expenses, </w:t>
      </w:r>
      <w:r>
        <w:rPr>
          <w:rFonts w:ascii="Times New Roman;Times;Serif" w:hAnsi="Times New Roman;Times;Serif"/>
          <w:b w:val="false"/>
          <w:i w:val="false"/>
          <w:caps w:val="false"/>
          <w:smallCaps w:val="false"/>
          <w:sz w:val="20"/>
        </w:rPr>
        <w:t>s</w:t>
      </w:r>
      <w:r>
        <w:rPr>
          <w:rFonts w:ascii="Times New Roman;Times;Serif" w:hAnsi="Times New Roman;Times;Serif"/>
          <w:b w:val="false"/>
          <w:i w:val="false"/>
          <w:caps w:val="false"/>
          <w:smallCaps w:val="false"/>
          <w:sz w:val="20"/>
          <w:shd w:fill="FFFFFF" w:val="clear"/>
        </w:rPr>
        <w:t xml:space="preserve">ales and marketing expenses excluding share-based compensation expenses, </w:t>
      </w:r>
      <w:r>
        <w:rPr>
          <w:rFonts w:ascii="Times New Roman;Times;Serif" w:hAnsi="Times New Roman;Times;Serif"/>
          <w:b w:val="false"/>
          <w:i w:val="false"/>
          <w:caps w:val="false"/>
          <w:smallCaps w:val="false"/>
          <w:sz w:val="20"/>
        </w:rPr>
        <w:t xml:space="preserve">product development expenses </w:t>
      </w:r>
      <w:r>
        <w:rPr>
          <w:rFonts w:ascii="Times New Roman;Times;Serif" w:hAnsi="Times New Roman;Times;Serif"/>
          <w:b w:val="false"/>
          <w:i w:val="false"/>
          <w:caps w:val="false"/>
          <w:smallCaps w:val="false"/>
          <w:sz w:val="20"/>
          <w:shd w:fill="FFFFFF" w:val="clear"/>
        </w:rPr>
        <w:t>excluding share-based compensation expenses</w:t>
      </w:r>
      <w:r>
        <w:rPr>
          <w:rFonts w:ascii="Times New Roman;Times;Serif" w:hAnsi="Times New Roman;Times;Serif"/>
          <w:b w:val="false"/>
          <w:i w:val="false"/>
          <w:caps w:val="false"/>
          <w:smallCaps w:val="false"/>
          <w:sz w:val="20"/>
        </w:rPr>
        <w:t>, income from operations excluding share-based compensation expenses</w:t>
      </w:r>
      <w:r>
        <w:rPr>
          <w:rFonts w:ascii="Times New Roman;Times;Serif" w:hAnsi="Times New Roman;Times;Serif"/>
          <w:b w:val="false"/>
          <w:i w:val="false"/>
          <w:caps w:val="false"/>
          <w:smallCaps w:val="false"/>
          <w:sz w:val="20"/>
          <w:shd w:fill="FFFFFF" w:val="clear"/>
        </w:rPr>
        <w:t>, and basic and diluted net income per share excluding share-based compensation expenses </w:t>
      </w:r>
      <w:r>
        <w:rPr>
          <w:rFonts w:ascii="Times New Roman;Times;Serif" w:hAnsi="Times New Roman;Times;Serif"/>
          <w:b w:val="false"/>
          <w:i w:val="false"/>
          <w:caps w:val="false"/>
          <w:smallCaps w:val="false"/>
          <w:sz w:val="20"/>
        </w:rPr>
        <w:t>have material limitations as an analytical metric and may not be calculated in the same manner by all companies, it may not be comparable to other similarly titled measures used by other companies. In light of the foregoing limitations, you should not consider gross billings, EBITDA and adjusted EBITDA as a substitute for, or superior to, their respective most directly comparable financial measures prepared in accordance with GAAP. We encourage investors and others to review our financial information in its entirety and not rely on a single financial measure.</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made under the “safe harbor” provisions of Section 21E of the Securities Exchange Act of 1934, as amended, and the U.S. Private Securities Litigation Reform Act of 1995. These forward-looking statements can be identified by terminology such as “will,” “expects,” “anticipates,” “future,” “intends,” “plans,” “believes,” “estimates,” “confident” and similar statements. Sunlands may also make written or oral forward-looking statements in its reports filed with or furnished to the U.S. Securities and Exchange Commission, in its annual report to shareholders, in press releases and other written materials and in oral statements made by its officers, directors or employees to third parties. Any statements that are not historical facts, including statements about Sunlands' beliefs and expectations, are forward-looking statements that involve factors, risks and uncertainties that could cause actual results to differ materially from those in the forward-looking statements. Such factors and risks include, but not limited to the following: Sunlands' goals and strategies; its expectations regarding demand for and market acceptance of its brand and services; its ability to retain and increase student enrollments; its ability to offer new courses and educational content; its ability to improve teaching quality and students’ learning results; its ability to improve sales and marketing efficiency and effectiveness; its ability to engage, train and retain new faculty members; its future business development, results of operations and financial condition; its ability to maintain and improve technology infrastructure necessary to operate its business; competition in the online education industry in China; relevant government policies and regulations relating to Sunlands’ corporate structure, business and industry; and general economic and business condition in China. Further information regarding these and other risks, uncertainties or factors is included in Sunlands' filings with the U.S. Securities and Exchange Commission. All information provided in this press release is current as of the date of the press release, and Sunlands does not undertake any obligation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enquiries, please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Sunlands Technology Group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sl-ir@sunlands.com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Sunlands Technology Group</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5075"/>
        <w:gridCol w:w="60"/>
        <w:gridCol w:w="105"/>
        <w:gridCol w:w="1728"/>
        <w:gridCol w:w="105"/>
        <w:gridCol w:w="60"/>
        <w:gridCol w:w="60"/>
        <w:gridCol w:w="980"/>
        <w:gridCol w:w="60"/>
        <w:gridCol w:w="60"/>
        <w:gridCol w:w="60"/>
        <w:gridCol w:w="800"/>
        <w:gridCol w:w="255"/>
      </w:tblGrid>
      <w:tr>
        <w:trPr/>
        <w:tc>
          <w:tcPr>
            <w:tcW w:w="9408" w:type="dxa"/>
            <w:gridSpan w:val="13"/>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ableContents"/>
              <w:shd w:fill="FFFFFF" w:val="clear"/>
              <w:bidi w:val="0"/>
              <w:spacing w:before="0" w:after="0"/>
              <w:ind w:left="0" w:right="0" w:hanging="0"/>
              <w:jc w:val="center"/>
              <w:rPr>
                <w:caps w:val="false"/>
                <w:smallCaps w:val="false"/>
              </w:rPr>
            </w:pPr>
            <w:r>
              <w:rPr>
                <w:caps w:val="false"/>
                <w:smallCaps w:val="false"/>
              </w:rPr>
              <w:t> </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ableContents"/>
              <w:shd w:fill="FFFFFF" w:val="clear"/>
              <w:bidi w:val="0"/>
              <w:spacing w:before="0" w:after="0"/>
              <w:ind w:left="0" w:right="0" w:hanging="0"/>
              <w:jc w:val="center"/>
              <w:rPr>
                <w:caps w:val="false"/>
                <w:smallCaps w:val="false"/>
              </w:rPr>
            </w:pPr>
            <w:r>
              <w:rPr>
                <w:caps w:val="false"/>
                <w:smallCaps w:val="false"/>
              </w:rPr>
              <w:t> </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ableContents"/>
              <w:shd w:fill="FFFFFF" w:val="clear"/>
              <w:bidi w:val="0"/>
              <w:spacing w:before="0" w:after="0"/>
              <w:ind w:left="0" w:right="0" w:hanging="0"/>
              <w:jc w:val="center"/>
              <w:rPr>
                <w:caps w:val="false"/>
                <w:smallCaps w:val="false"/>
              </w:rPr>
            </w:pPr>
            <w:r>
              <w:rPr>
                <w:caps w:val="false"/>
                <w:smallCaps w:val="false"/>
              </w:rPr>
              <w:t> </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3"/>
            <w:tcBorders>
              <w:bottom w:val="single" w:sz="8" w:space="0" w:color="000000"/>
            </w:tcBorders>
            <w:tcMar>
              <w:bottom w:w="28" w:type="dxa"/>
            </w:tcMar>
            <w:vAlign w:val="center"/>
          </w:tcPr>
          <w:p>
            <w:pPr>
              <w:pStyle w:val="TableContents"/>
              <w:bidi w:val="0"/>
              <w:spacing w:before="0" w:after="283"/>
              <w:jc w:val="center"/>
              <w:rPr/>
            </w:pPr>
            <w:r>
              <w:rPr/>
              <w:t>As of December 31,</w:t>
            </w:r>
          </w:p>
        </w:tc>
        <w:tc>
          <w:tcPr>
            <w:tcW w:w="60" w:type="dxa"/>
            <w:tcBorders/>
            <w:vAlign w:val="center"/>
          </w:tcPr>
          <w:p>
            <w:pPr>
              <w:pStyle w:val="TableContents"/>
              <w:bidi w:val="0"/>
              <w:spacing w:before="0" w:after="283"/>
              <w:jc w:val="left"/>
              <w:rPr/>
            </w:pPr>
            <w:r>
              <w:rPr/>
              <w:t> </w:t>
            </w:r>
          </w:p>
        </w:tc>
        <w:tc>
          <w:tcPr>
            <w:tcW w:w="2275" w:type="dxa"/>
            <w:gridSpan w:val="7"/>
            <w:tcBorders>
              <w:bottom w:val="single" w:sz="8" w:space="0" w:color="000000"/>
            </w:tcBorders>
            <w:tcMar>
              <w:bottom w:w="28" w:type="dxa"/>
            </w:tcMar>
            <w:vAlign w:val="center"/>
          </w:tcPr>
          <w:p>
            <w:pPr>
              <w:pStyle w:val="TableContents"/>
              <w:bidi w:val="0"/>
              <w:spacing w:before="0" w:after="283"/>
              <w:jc w:val="center"/>
              <w:rPr/>
            </w:pPr>
            <w:r>
              <w:rPr/>
              <w:t>As of June 30,</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2275" w:type="dxa"/>
            <w:gridSpan w:val="7"/>
            <w:tcBorders>
              <w:bottom w:val="single" w:sz="8" w:space="0" w:color="000000"/>
            </w:tcBorders>
            <w:tcMar>
              <w:bottom w:w="28" w:type="dxa"/>
            </w:tcMar>
            <w:vAlign w:val="center"/>
          </w:tcPr>
          <w:p>
            <w:pPr>
              <w:pStyle w:val="TableContents"/>
              <w:bidi w:val="0"/>
              <w:spacing w:before="0" w:after="283"/>
              <w:jc w:val="center"/>
              <w:rPr/>
            </w:pPr>
            <w:r>
              <w:rPr/>
              <w:t>2026</w:t>
            </w:r>
          </w:p>
        </w:tc>
      </w:tr>
      <w:tr>
        <w:trPr/>
        <w:tc>
          <w:tcPr>
            <w:tcW w:w="5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jc w:val="center"/>
              <w:rPr/>
            </w:pPr>
            <w:r>
              <w:rPr/>
              <w:t>US$</w:t>
            </w:r>
          </w:p>
        </w:tc>
      </w:tr>
      <w:tr>
        <w:trPr/>
        <w:tc>
          <w:tcPr>
            <w:tcW w:w="5075" w:type="dxa"/>
            <w:tcBorders/>
            <w:vAlign w:val="center"/>
          </w:tcPr>
          <w:p>
            <w:pPr>
              <w:pStyle w:val="TableContents"/>
              <w:bidi w:val="0"/>
              <w:spacing w:before="0" w:after="283"/>
              <w:jc w:val="left"/>
              <w:rPr/>
            </w:pPr>
            <w:r>
              <w:rPr/>
              <w:t>ASSETS</w:t>
            </w:r>
          </w:p>
        </w:tc>
        <w:tc>
          <w:tcPr>
            <w:tcW w:w="60" w:type="dxa"/>
            <w:tcBorders/>
            <w:vAlign w:val="center"/>
          </w:tcPr>
          <w:p>
            <w:pPr>
              <w:pStyle w:val="TableContents"/>
              <w:bidi w:val="0"/>
              <w:spacing w:before="0" w:after="283"/>
              <w:jc w:val="left"/>
              <w:rPr/>
            </w:pPr>
            <w:r>
              <w:rPr/>
              <w:t> </w:t>
            </w:r>
          </w:p>
        </w:tc>
        <w:tc>
          <w:tcPr>
            <w:tcW w:w="1938"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3"/>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3"/>
            <w:tcBorders/>
            <w:vAlign w:val="center"/>
          </w:tcPr>
          <w:p>
            <w:pPr>
              <w:pStyle w:val="TableContents"/>
              <w:bidi w:val="0"/>
              <w:spacing w:before="0" w:after="283"/>
              <w:jc w:val="left"/>
              <w:rPr/>
            </w:pPr>
            <w:r>
              <w:rPr/>
              <w:t> </w:t>
            </w:r>
          </w:p>
        </w:tc>
      </w:tr>
      <w:tr>
        <w:trPr/>
        <w:tc>
          <w:tcPr>
            <w:tcW w:w="5075" w:type="dxa"/>
            <w:tcBorders/>
            <w:shd w:fill="D5EAEA" w:val="clear"/>
            <w:vAlign w:val="center"/>
          </w:tcPr>
          <w:p>
            <w:pPr>
              <w:pStyle w:val="TableContents"/>
              <w:bidi w:val="0"/>
              <w:spacing w:before="0" w:after="283"/>
              <w:jc w:val="left"/>
              <w:rPr/>
            </w:pPr>
            <w:r>
              <w:rPr/>
              <w:t>Current assets</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 </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 </w:t>
            </w:r>
          </w:p>
        </w:tc>
        <w:tc>
          <w:tcPr>
            <w:tcW w:w="255" w:type="dxa"/>
            <w:tcBorders/>
            <w:shd w:fill="D5EAEA" w:val="clear"/>
            <w:vAlign w:val="center"/>
          </w:tcPr>
          <w:p>
            <w:pPr>
              <w:pStyle w:val="TableContents"/>
              <w:bidi w:val="0"/>
              <w:spacing w:before="0" w:after="283"/>
              <w:ind w:left="0" w:right="0" w:firstLine="180"/>
              <w:jc w:val="left"/>
              <w:rPr/>
            </w:pPr>
            <w:r>
              <w:rPr/>
              <w:t> </w:t>
            </w:r>
          </w:p>
        </w:tc>
      </w:tr>
      <w:tr>
        <w:trPr/>
        <w:tc>
          <w:tcPr>
            <w:tcW w:w="507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575,740</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520,635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76,732</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5075" w:type="dxa"/>
            <w:tcBorders/>
            <w:shd w:fill="D5EAEA" w:val="clear"/>
            <w:vAlign w:val="center"/>
          </w:tcPr>
          <w:p>
            <w:pPr>
              <w:pStyle w:val="TableContents"/>
              <w:bidi w:val="0"/>
              <w:spacing w:before="0" w:after="283"/>
              <w:jc w:val="left"/>
              <w:rPr/>
            </w:pPr>
            <w:r>
              <w:rPr/>
              <w:t>Restricted cash</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1,023</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w:t>
            </w:r>
          </w:p>
        </w:tc>
        <w:tc>
          <w:tcPr>
            <w:tcW w:w="255" w:type="dxa"/>
            <w:tcBorders/>
            <w:shd w:fill="D5EAEA" w:val="clear"/>
            <w:vAlign w:val="center"/>
          </w:tcPr>
          <w:p>
            <w:pPr>
              <w:pStyle w:val="TableContents"/>
              <w:bidi w:val="0"/>
              <w:spacing w:before="0" w:after="283"/>
              <w:ind w:left="0" w:right="0" w:firstLine="180"/>
              <w:jc w:val="left"/>
              <w:rPr/>
            </w:pPr>
            <w:r>
              <w:rPr/>
              <w:t> </w:t>
            </w:r>
          </w:p>
        </w:tc>
      </w:tr>
      <w:tr>
        <w:trPr/>
        <w:tc>
          <w:tcPr>
            <w:tcW w:w="5075" w:type="dxa"/>
            <w:tcBorders/>
            <w:shd w:fill="FFFFFF" w:val="clear"/>
            <w:vAlign w:val="center"/>
          </w:tcPr>
          <w:p>
            <w:pPr>
              <w:pStyle w:val="TableContents"/>
              <w:bidi w:val="0"/>
              <w:spacing w:before="0" w:after="283"/>
              <w:jc w:val="left"/>
              <w:rPr/>
            </w:pPr>
            <w:r>
              <w:rPr/>
              <w:t>Short-term investments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235,937</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336,876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49,649</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5075" w:type="dxa"/>
            <w:tcBorders/>
            <w:shd w:fill="D5EAEA" w:val="clear"/>
            <w:vAlign w:val="center"/>
          </w:tcPr>
          <w:p>
            <w:pPr>
              <w:pStyle w:val="TableContents"/>
              <w:bidi w:val="0"/>
              <w:spacing w:before="0" w:after="283"/>
              <w:jc w:val="left"/>
              <w:rPr/>
            </w:pPr>
            <w:r>
              <w:rPr/>
              <w:t>Prepaid expenses and other current assets</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82,566</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93,852</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13,832</w:t>
            </w:r>
          </w:p>
        </w:tc>
        <w:tc>
          <w:tcPr>
            <w:tcW w:w="255" w:type="dxa"/>
            <w:tcBorders/>
            <w:shd w:fill="D5EAEA" w:val="clear"/>
            <w:vAlign w:val="center"/>
          </w:tcPr>
          <w:p>
            <w:pPr>
              <w:pStyle w:val="TableContents"/>
              <w:bidi w:val="0"/>
              <w:spacing w:before="0" w:after="283"/>
              <w:ind w:left="0" w:right="0" w:firstLine="180"/>
              <w:jc w:val="left"/>
              <w:rPr/>
            </w:pPr>
            <w:r>
              <w:rPr/>
              <w:t> </w:t>
            </w:r>
          </w:p>
        </w:tc>
      </w:tr>
      <w:tr>
        <w:trPr/>
        <w:tc>
          <w:tcPr>
            <w:tcW w:w="5075" w:type="dxa"/>
            <w:tcBorders/>
            <w:shd w:fill="FFFFFF" w:val="clear"/>
            <w:vAlign w:val="center"/>
          </w:tcPr>
          <w:p>
            <w:pPr>
              <w:pStyle w:val="TableContents"/>
              <w:bidi w:val="0"/>
              <w:spacing w:before="0" w:after="283"/>
              <w:jc w:val="left"/>
              <w:rPr/>
            </w:pPr>
            <w:r>
              <w:rPr/>
              <w:t>Deferred costs, current</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FFFFFF" w:val="clear"/>
            <w:tcMar>
              <w:bottom w:w="28" w:type="dxa"/>
            </w:tcMar>
            <w:vAlign w:val="center"/>
          </w:tcPr>
          <w:p>
            <w:pPr>
              <w:pStyle w:val="TableContents"/>
              <w:bidi w:val="0"/>
              <w:spacing w:before="0" w:after="283"/>
              <w:jc w:val="right"/>
              <w:rPr/>
            </w:pPr>
            <w:r>
              <w:rPr/>
              <w:t>22,125</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14,029</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2,068</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75" w:type="dxa"/>
            <w:tcBorders/>
            <w:shd w:fill="D5EAEA" w:val="clear"/>
            <w:vAlign w:val="center"/>
          </w:tcPr>
          <w:p>
            <w:pPr>
              <w:pStyle w:val="TableContents"/>
              <w:bidi w:val="0"/>
              <w:spacing w:before="0" w:after="283"/>
              <w:jc w:val="left"/>
              <w:rPr/>
            </w:pPr>
            <w:r>
              <w:rPr/>
              <w:t>Total current assets</w:t>
            </w:r>
          </w:p>
        </w:tc>
        <w:tc>
          <w:tcPr>
            <w:tcW w:w="60" w:type="dxa"/>
            <w:tcBorders/>
            <w:shd w:fill="D5EAEA" w:val="clear"/>
            <w:vAlign w:val="center"/>
          </w:tcPr>
          <w:p>
            <w:pPr>
              <w:pStyle w:val="TableContents"/>
              <w:bidi w:val="0"/>
              <w:spacing w:before="0" w:after="283"/>
              <w:jc w:val="left"/>
              <w:rPr/>
            </w:pPr>
            <w:r>
              <w:rPr/>
              <w:t> </w:t>
            </w:r>
          </w:p>
        </w:tc>
        <w:tc>
          <w:tcPr>
            <w:tcW w:w="10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D5EAEA" w:val="clear"/>
            <w:tcMar>
              <w:bottom w:w="28" w:type="dxa"/>
            </w:tcMar>
            <w:vAlign w:val="center"/>
          </w:tcPr>
          <w:p>
            <w:pPr>
              <w:pStyle w:val="TableContents"/>
              <w:bidi w:val="0"/>
              <w:spacing w:before="0" w:after="283"/>
              <w:jc w:val="right"/>
              <w:rPr/>
            </w:pPr>
            <w:r>
              <w:rPr/>
              <w:t>917,391</w:t>
            </w:r>
          </w:p>
        </w:tc>
        <w:tc>
          <w:tcPr>
            <w:tcW w:w="10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965,392</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D5EAEA" w:val="clear"/>
            <w:tcMar>
              <w:bottom w:w="28" w:type="dxa"/>
            </w:tcMar>
            <w:vAlign w:val="center"/>
          </w:tcPr>
          <w:p>
            <w:pPr>
              <w:pStyle w:val="TableContents"/>
              <w:bidi w:val="0"/>
              <w:spacing w:before="0" w:after="283"/>
              <w:jc w:val="right"/>
              <w:rPr/>
            </w:pPr>
            <w:r>
              <w:rPr/>
              <w:t>142,281</w:t>
            </w:r>
          </w:p>
        </w:tc>
        <w:tc>
          <w:tcPr>
            <w:tcW w:w="25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5075" w:type="dxa"/>
            <w:tcBorders/>
            <w:shd w:fill="D5EAEA" w:val="clear"/>
            <w:vAlign w:val="center"/>
          </w:tcPr>
          <w:p>
            <w:pPr>
              <w:pStyle w:val="TableContents"/>
              <w:bidi w:val="0"/>
              <w:spacing w:before="0" w:after="283"/>
              <w:jc w:val="left"/>
              <w:rPr/>
            </w:pPr>
            <w:r>
              <w:rPr/>
              <w:t>Property and equipment, net</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662,178</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528,254</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77,855</w:t>
            </w:r>
          </w:p>
        </w:tc>
        <w:tc>
          <w:tcPr>
            <w:tcW w:w="255" w:type="dxa"/>
            <w:tcBorders/>
            <w:shd w:fill="D5EAEA" w:val="clear"/>
            <w:vAlign w:val="center"/>
          </w:tcPr>
          <w:p>
            <w:pPr>
              <w:pStyle w:val="TableContents"/>
              <w:bidi w:val="0"/>
              <w:spacing w:before="0" w:after="283"/>
              <w:ind w:left="0" w:right="0" w:firstLine="180"/>
              <w:jc w:val="left"/>
              <w:rPr/>
            </w:pPr>
            <w:r>
              <w:rPr/>
              <w:t> </w:t>
            </w:r>
          </w:p>
        </w:tc>
      </w:tr>
      <w:tr>
        <w:trPr/>
        <w:tc>
          <w:tcPr>
            <w:tcW w:w="5075"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250</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14</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5075" w:type="dxa"/>
            <w:tcBorders/>
            <w:shd w:fill="D5EAEA" w:val="clear"/>
            <w:vAlign w:val="center"/>
          </w:tcPr>
          <w:p>
            <w:pPr>
              <w:pStyle w:val="TableContents"/>
              <w:bidi w:val="0"/>
              <w:spacing w:before="0" w:after="283"/>
              <w:jc w:val="left"/>
              <w:rPr/>
            </w:pPr>
            <w:r>
              <w:rPr/>
              <w:t>Right-of-use assets</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99,111</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94,324</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13,902</w:t>
            </w:r>
          </w:p>
        </w:tc>
        <w:tc>
          <w:tcPr>
            <w:tcW w:w="255" w:type="dxa"/>
            <w:tcBorders/>
            <w:shd w:fill="D5EAEA" w:val="clear"/>
            <w:vAlign w:val="center"/>
          </w:tcPr>
          <w:p>
            <w:pPr>
              <w:pStyle w:val="TableContents"/>
              <w:bidi w:val="0"/>
              <w:spacing w:before="0" w:after="283"/>
              <w:ind w:left="0" w:right="0" w:firstLine="180"/>
              <w:jc w:val="left"/>
              <w:rPr/>
            </w:pPr>
            <w:r>
              <w:rPr/>
              <w:t> </w:t>
            </w:r>
          </w:p>
        </w:tc>
      </w:tr>
      <w:tr>
        <w:trPr/>
        <w:tc>
          <w:tcPr>
            <w:tcW w:w="5075" w:type="dxa"/>
            <w:tcBorders/>
            <w:shd w:fill="FFFFFF" w:val="clear"/>
            <w:vAlign w:val="center"/>
          </w:tcPr>
          <w:p>
            <w:pPr>
              <w:pStyle w:val="TableContents"/>
              <w:bidi w:val="0"/>
              <w:spacing w:before="0" w:after="283"/>
              <w:jc w:val="left"/>
              <w:rPr/>
            </w:pPr>
            <w:r>
              <w:rPr/>
              <w:t>Deferred costs, non-current</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10,643</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958</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5075" w:type="dxa"/>
            <w:tcBorders/>
            <w:shd w:fill="D5EAEA" w:val="clear"/>
            <w:vAlign w:val="center"/>
          </w:tcPr>
          <w:p>
            <w:pPr>
              <w:pStyle w:val="TableContents"/>
              <w:bidi w:val="0"/>
              <w:spacing w:before="0" w:after="283"/>
              <w:jc w:val="left"/>
              <w:rPr/>
            </w:pPr>
            <w:r>
              <w:rPr/>
              <w:t>Long-term investments</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318,791</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339,178</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49,989</w:t>
            </w:r>
          </w:p>
        </w:tc>
        <w:tc>
          <w:tcPr>
            <w:tcW w:w="255" w:type="dxa"/>
            <w:tcBorders/>
            <w:shd w:fill="D5EAEA" w:val="clear"/>
            <w:vAlign w:val="center"/>
          </w:tcPr>
          <w:p>
            <w:pPr>
              <w:pStyle w:val="TableContents"/>
              <w:bidi w:val="0"/>
              <w:spacing w:before="0" w:after="283"/>
              <w:ind w:left="0" w:right="0" w:firstLine="180"/>
              <w:jc w:val="left"/>
              <w:rPr/>
            </w:pPr>
            <w:r>
              <w:rPr/>
              <w:t> </w:t>
            </w:r>
          </w:p>
        </w:tc>
      </w:tr>
      <w:tr>
        <w:trPr/>
        <w:tc>
          <w:tcPr>
            <w:tcW w:w="5075"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19,104</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2,527</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5075" w:type="dxa"/>
            <w:tcBorders/>
            <w:shd w:fill="D5EAEA" w:val="clear"/>
            <w:vAlign w:val="center"/>
          </w:tcPr>
          <w:p>
            <w:pPr>
              <w:pStyle w:val="TableContents"/>
              <w:bidi w:val="0"/>
              <w:spacing w:before="0" w:after="283"/>
              <w:jc w:val="left"/>
              <w:rPr/>
            </w:pPr>
            <w:r>
              <w:rPr/>
              <w:t>Other non-current assets</w:t>
            </w:r>
          </w:p>
        </w:tc>
        <w:tc>
          <w:tcPr>
            <w:tcW w:w="60" w:type="dxa"/>
            <w:tcBorders/>
            <w:shd w:fill="D5EAEA" w:val="clear"/>
            <w:vAlign w:val="center"/>
          </w:tcPr>
          <w:p>
            <w:pPr>
              <w:pStyle w:val="TableContents"/>
              <w:bidi w:val="0"/>
              <w:spacing w:before="0" w:after="283"/>
              <w:jc w:val="left"/>
              <w:rPr/>
            </w:pPr>
            <w:r>
              <w:rPr/>
              <w:t> </w:t>
            </w:r>
          </w:p>
        </w:tc>
        <w:tc>
          <w:tcPr>
            <w:tcW w:w="10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D5EAEA" w:val="clear"/>
            <w:tcMar>
              <w:bottom w:w="28" w:type="dxa"/>
            </w:tcMar>
            <w:vAlign w:val="center"/>
          </w:tcPr>
          <w:p>
            <w:pPr>
              <w:pStyle w:val="TableContents"/>
              <w:bidi w:val="0"/>
              <w:spacing w:before="0" w:after="283"/>
              <w:jc w:val="right"/>
              <w:rPr/>
            </w:pPr>
            <w:r>
              <w:rPr/>
              <w:t>19,750</w:t>
            </w:r>
          </w:p>
        </w:tc>
        <w:tc>
          <w:tcPr>
            <w:tcW w:w="10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18,274</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D5EAEA" w:val="clear"/>
            <w:tcMar>
              <w:bottom w:w="28" w:type="dxa"/>
            </w:tcMar>
            <w:vAlign w:val="center"/>
          </w:tcPr>
          <w:p>
            <w:pPr>
              <w:pStyle w:val="TableContents"/>
              <w:bidi w:val="0"/>
              <w:spacing w:before="0" w:after="283"/>
              <w:jc w:val="right"/>
              <w:rPr/>
            </w:pPr>
            <w:r>
              <w:rPr/>
              <w:t>2,693</w:t>
            </w:r>
          </w:p>
        </w:tc>
        <w:tc>
          <w:tcPr>
            <w:tcW w:w="25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FFFFFF" w:val="clear"/>
            <w:tcMar>
              <w:bottom w:w="28" w:type="dxa"/>
            </w:tcMar>
            <w:vAlign w:val="center"/>
          </w:tcPr>
          <w:p>
            <w:pPr>
              <w:pStyle w:val="TableContents"/>
              <w:bidi w:val="0"/>
              <w:spacing w:before="0" w:after="283"/>
              <w:jc w:val="right"/>
              <w:rPr/>
            </w:pPr>
            <w:r>
              <w:rPr/>
              <w:t>1,129,827</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1,003,776</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147,938</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075" w:type="dxa"/>
            <w:tcBorders/>
            <w:shd w:fill="D5EAEA" w:val="clear"/>
            <w:vAlign w:val="center"/>
          </w:tcPr>
          <w:p>
            <w:pPr>
              <w:pStyle w:val="TableContents"/>
              <w:bidi w:val="0"/>
              <w:spacing w:before="0" w:after="283"/>
              <w:jc w:val="left"/>
              <w:rPr/>
            </w:pPr>
            <w:r>
              <w:rPr/>
              <w:t>TOTAL ASSETS</w:t>
            </w:r>
          </w:p>
        </w:tc>
        <w:tc>
          <w:tcPr>
            <w:tcW w:w="60" w:type="dxa"/>
            <w:tcBorders/>
            <w:shd w:fill="D5EAEA" w:val="clear"/>
            <w:vAlign w:val="center"/>
          </w:tcPr>
          <w:p>
            <w:pPr>
              <w:pStyle w:val="TableContents"/>
              <w:bidi w:val="0"/>
              <w:spacing w:before="0" w:after="283"/>
              <w:jc w:val="left"/>
              <w:rPr/>
            </w:pPr>
            <w:r>
              <w:rPr/>
              <w:t> </w:t>
            </w:r>
          </w:p>
        </w:tc>
        <w:tc>
          <w:tcPr>
            <w:tcW w:w="10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1728" w:type="dxa"/>
            <w:tcBorders>
              <w:bottom w:val="double" w:sz="6" w:space="0" w:color="000000"/>
            </w:tcBorders>
            <w:shd w:fill="D5EAEA" w:val="clear"/>
            <w:tcMar>
              <w:bottom w:w="28" w:type="dxa"/>
            </w:tcMar>
            <w:vAlign w:val="center"/>
          </w:tcPr>
          <w:p>
            <w:pPr>
              <w:pStyle w:val="TableContents"/>
              <w:bidi w:val="0"/>
              <w:spacing w:before="0" w:after="283"/>
              <w:jc w:val="right"/>
              <w:rPr/>
            </w:pPr>
            <w:r>
              <w:rPr/>
              <w:t>2,047,218</w:t>
            </w:r>
          </w:p>
        </w:tc>
        <w:tc>
          <w:tcPr>
            <w:tcW w:w="10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D5EAEA" w:val="clear"/>
            <w:tcMar>
              <w:bottom w:w="28" w:type="dxa"/>
            </w:tcMar>
            <w:vAlign w:val="center"/>
          </w:tcPr>
          <w:p>
            <w:pPr>
              <w:pStyle w:val="TableContents"/>
              <w:bidi w:val="0"/>
              <w:spacing w:before="0" w:after="283"/>
              <w:jc w:val="right"/>
              <w:rPr/>
            </w:pPr>
            <w:r>
              <w:rPr/>
              <w:t>1,969,168</w:t>
            </w:r>
          </w:p>
        </w:tc>
        <w:tc>
          <w:tcPr>
            <w:tcW w:w="60"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D5EAEA" w:val="clear"/>
            <w:tcMar>
              <w:bottom w:w="28" w:type="dxa"/>
            </w:tcMar>
            <w:vAlign w:val="center"/>
          </w:tcPr>
          <w:p>
            <w:pPr>
              <w:pStyle w:val="TableContents"/>
              <w:bidi w:val="0"/>
              <w:spacing w:before="0" w:after="283"/>
              <w:jc w:val="right"/>
              <w:rPr/>
            </w:pPr>
            <w:r>
              <w:rPr/>
              <w:t>290,219</w:t>
            </w:r>
          </w:p>
        </w:tc>
        <w:tc>
          <w:tcPr>
            <w:tcW w:w="25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5075" w:type="dxa"/>
            <w:tcBorders/>
            <w:shd w:fill="D5EAEA" w:val="clear"/>
            <w:vAlign w:val="center"/>
          </w:tcPr>
          <w:p>
            <w:pPr>
              <w:pStyle w:val="TableContents"/>
              <w:bidi w:val="0"/>
              <w:spacing w:before="0" w:after="283"/>
              <w:jc w:val="left"/>
              <w:rPr/>
            </w:pPr>
            <w:r>
              <w:rPr/>
              <w:t>LIABILITIES AND SHAREHOLDERS’ EQUITY</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 </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 </w:t>
            </w:r>
          </w:p>
        </w:tc>
        <w:tc>
          <w:tcPr>
            <w:tcW w:w="255" w:type="dxa"/>
            <w:tcBorders/>
            <w:shd w:fill="D5EAEA"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5075" w:type="dxa"/>
            <w:tcBorders/>
            <w:shd w:fill="D5EAEA" w:val="clear"/>
            <w:vAlign w:val="center"/>
          </w:tcPr>
          <w:p>
            <w:pPr>
              <w:pStyle w:val="TableContents"/>
              <w:bidi w:val="0"/>
              <w:spacing w:before="0" w:after="283"/>
              <w:jc w:val="left"/>
              <w:rPr/>
            </w:pPr>
            <w:r>
              <w:rPr/>
              <w:t>LIABILITIES</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 </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 </w:t>
            </w:r>
          </w:p>
        </w:tc>
        <w:tc>
          <w:tcPr>
            <w:tcW w:w="255" w:type="dxa"/>
            <w:tcBorders/>
            <w:shd w:fill="D5EAEA" w:val="cle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 </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5075" w:type="dxa"/>
            <w:tcBorders/>
            <w:shd w:fill="D5EAEA" w:val="clear"/>
            <w:vAlign w:val="center"/>
          </w:tcPr>
          <w:p>
            <w:pPr>
              <w:pStyle w:val="TableContents"/>
              <w:bidi w:val="0"/>
              <w:spacing w:before="0" w:after="283"/>
              <w:jc w:val="left"/>
              <w:rPr/>
            </w:pPr>
            <w:r>
              <w:rPr/>
              <w:t>Accrued expenses and other current liabilities</w:t>
            </w:r>
          </w:p>
        </w:tc>
        <w:tc>
          <w:tcPr>
            <w:tcW w:w="60" w:type="dxa"/>
            <w:tcBorders/>
            <w:shd w:fill="D5EAEA" w:val="clear"/>
            <w:vAlign w:val="center"/>
          </w:tcPr>
          <w:p>
            <w:pPr>
              <w:pStyle w:val="TableContents"/>
              <w:bidi w:val="0"/>
              <w:spacing w:before="0" w:after="283"/>
              <w:jc w:val="left"/>
              <w:rPr/>
            </w:pPr>
            <w:r>
              <w:rPr/>
              <w:t> </w:t>
            </w:r>
          </w:p>
        </w:tc>
        <w:tc>
          <w:tcPr>
            <w:tcW w:w="105" w:type="dxa"/>
            <w:tcBorders/>
            <w:shd w:fill="D5EAEA" w:val="clear"/>
            <w:vAlign w:val="center"/>
          </w:tcPr>
          <w:p>
            <w:pPr>
              <w:pStyle w:val="TableContents"/>
              <w:bidi w:val="0"/>
              <w:spacing w:before="0" w:after="283"/>
              <w:jc w:val="left"/>
              <w:rPr/>
            </w:pPr>
            <w:r>
              <w:rPr/>
              <w:t> </w:t>
            </w:r>
          </w:p>
        </w:tc>
        <w:tc>
          <w:tcPr>
            <w:tcW w:w="1728" w:type="dxa"/>
            <w:tcBorders/>
            <w:shd w:fill="D5EAEA" w:val="clear"/>
            <w:vAlign w:val="center"/>
          </w:tcPr>
          <w:p>
            <w:pPr>
              <w:pStyle w:val="TableContents"/>
              <w:bidi w:val="0"/>
              <w:spacing w:before="0" w:after="283"/>
              <w:jc w:val="right"/>
              <w:rPr/>
            </w:pPr>
            <w:r>
              <w:rPr/>
              <w:t>366,011</w:t>
            </w:r>
          </w:p>
        </w:tc>
        <w:tc>
          <w:tcPr>
            <w:tcW w:w="10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317,064</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00" w:type="dxa"/>
            <w:tcBorders/>
            <w:shd w:fill="D5EAEA" w:val="clear"/>
            <w:vAlign w:val="center"/>
          </w:tcPr>
          <w:p>
            <w:pPr>
              <w:pStyle w:val="TableContents"/>
              <w:bidi w:val="0"/>
              <w:spacing w:before="0" w:after="283"/>
              <w:jc w:val="right"/>
              <w:rPr/>
            </w:pPr>
            <w:r>
              <w:rPr/>
              <w:t>46,730</w:t>
            </w:r>
          </w:p>
        </w:tc>
        <w:tc>
          <w:tcPr>
            <w:tcW w:w="255" w:type="dxa"/>
            <w:tcBorders/>
            <w:shd w:fill="D5EAEA" w:val="clear"/>
            <w:vAlign w:val="center"/>
          </w:tcPr>
          <w:p>
            <w:pPr>
              <w:pStyle w:val="TableContents"/>
              <w:bidi w:val="0"/>
              <w:spacing w:before="0" w:after="283"/>
              <w:ind w:left="0" w:right="0" w:firstLine="180"/>
              <w:jc w:val="left"/>
              <w:rPr/>
            </w:pPr>
            <w:r>
              <w:rPr/>
              <w:t> </w:t>
            </w:r>
          </w:p>
        </w:tc>
      </w:tr>
      <w:tr>
        <w:trPr/>
        <w:tc>
          <w:tcPr>
            <w:tcW w:w="5075" w:type="dxa"/>
            <w:tcBorders/>
            <w:shd w:fill="FFFFFF" w:val="clear"/>
            <w:vAlign w:val="center"/>
          </w:tcPr>
          <w:p>
            <w:pPr>
              <w:pStyle w:val="TableContents"/>
              <w:bidi w:val="0"/>
              <w:spacing w:before="0" w:after="283"/>
              <w:jc w:val="left"/>
              <w:rPr/>
            </w:pPr>
            <w:r>
              <w:rPr/>
              <w:t>Deferred revenue, current portion</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728" w:type="dxa"/>
            <w:tcBorders/>
            <w:shd w:fill="FFFFFF" w:val="clear"/>
            <w:vAlign w:val="center"/>
          </w:tcPr>
          <w:p>
            <w:pPr>
              <w:pStyle w:val="TableContents"/>
              <w:bidi w:val="0"/>
              <w:spacing w:before="0" w:after="283"/>
              <w:jc w:val="right"/>
              <w:rPr/>
            </w:pPr>
            <w:r>
              <w:rPr/>
              <w:t>384,334</w:t>
            </w:r>
          </w:p>
        </w:tc>
        <w:tc>
          <w:tcPr>
            <w:tcW w:w="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266,443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39,269</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5075" w:type="dxa"/>
            <w:tcBorders/>
            <w:shd w:fill="D5EAEA" w:val="clear"/>
            <w:vAlign w:val="center"/>
          </w:tcPr>
          <w:p>
            <w:pPr>
              <w:pStyle w:val="TableContents"/>
              <w:bidi w:val="0"/>
              <w:spacing w:before="0" w:after="283"/>
              <w:jc w:val="left"/>
              <w:rPr/>
            </w:pPr>
            <w:r>
              <w:rPr/>
              <w:t>Lease liabilities, current portion</w:t>
            </w:r>
          </w:p>
        </w:tc>
        <w:tc>
          <w:tcPr>
            <w:tcW w:w="60" w:type="dxa"/>
            <w:tcBorders/>
            <w:shd w:fill="D5EAEA" w:val="clear"/>
            <w:vAlign w:val="center"/>
          </w:tcPr>
          <w:p>
            <w:pPr>
              <w:pStyle w:val="TableContents"/>
              <w:bidi w:val="0"/>
              <w:spacing w:before="0" w:after="283"/>
              <w:jc w:val="left"/>
              <w:rPr/>
            </w:pPr>
            <w:r>
              <w:rPr/>
              <w:t> </w:t>
            </w:r>
          </w:p>
        </w:tc>
        <w:tc>
          <w:tcPr>
            <w:tcW w:w="10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D5EAEA" w:val="clear"/>
            <w:tcMar>
              <w:bottom w:w="28" w:type="dxa"/>
            </w:tcMar>
            <w:vAlign w:val="center"/>
          </w:tcPr>
          <w:p>
            <w:pPr>
              <w:pStyle w:val="TableContents"/>
              <w:bidi w:val="0"/>
              <w:spacing w:before="0" w:after="283"/>
              <w:jc w:val="right"/>
              <w:rPr/>
            </w:pPr>
            <w:r>
              <w:rPr/>
              <w:t>9,104</w:t>
            </w:r>
          </w:p>
        </w:tc>
        <w:tc>
          <w:tcPr>
            <w:tcW w:w="10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9,347</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D5EAEA" w:val="clear"/>
            <w:tcMar>
              <w:bottom w:w="28" w:type="dxa"/>
            </w:tcMar>
            <w:vAlign w:val="center"/>
          </w:tcPr>
          <w:p>
            <w:pPr>
              <w:pStyle w:val="TableContents"/>
              <w:bidi w:val="0"/>
              <w:spacing w:before="0" w:after="283"/>
              <w:jc w:val="right"/>
              <w:rPr/>
            </w:pPr>
            <w:r>
              <w:rPr/>
              <w:t>1,378</w:t>
            </w:r>
          </w:p>
        </w:tc>
        <w:tc>
          <w:tcPr>
            <w:tcW w:w="25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075"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28" w:type="dxa"/>
            <w:tcBorders>
              <w:bottom w:val="single" w:sz="8" w:space="0" w:color="000000"/>
            </w:tcBorders>
            <w:shd w:fill="FFFFFF" w:val="clear"/>
            <w:tcMar>
              <w:bottom w:w="28" w:type="dxa"/>
            </w:tcMar>
            <w:vAlign w:val="center"/>
          </w:tcPr>
          <w:p>
            <w:pPr>
              <w:pStyle w:val="TableContents"/>
              <w:bidi w:val="0"/>
              <w:spacing w:before="0" w:after="283"/>
              <w:jc w:val="right"/>
              <w:rPr/>
            </w:pPr>
            <w:r>
              <w:rPr/>
              <w:t>759,449</w:t>
            </w:r>
          </w:p>
        </w:tc>
        <w:tc>
          <w:tcPr>
            <w:tcW w:w="1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592,854</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87,377</w:t>
            </w:r>
          </w:p>
        </w:tc>
        <w:tc>
          <w:tcPr>
            <w:tcW w:w="2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SHEETS-continued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2"/>
        <w:gridCol w:w="60"/>
        <w:gridCol w:w="85"/>
        <w:gridCol w:w="1502"/>
        <w:gridCol w:w="135"/>
        <w:gridCol w:w="60"/>
        <w:gridCol w:w="60"/>
        <w:gridCol w:w="1055"/>
        <w:gridCol w:w="95"/>
        <w:gridCol w:w="60"/>
        <w:gridCol w:w="60"/>
        <w:gridCol w:w="875"/>
        <w:gridCol w:w="436"/>
      </w:tblGrid>
      <w:tr>
        <w:trPr/>
        <w:tc>
          <w:tcPr>
            <w:tcW w:w="5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3"/>
            <w:tcBorders>
              <w:bottom w:val="single" w:sz="8" w:space="0" w:color="000000"/>
            </w:tcBorders>
            <w:tcMar>
              <w:bottom w:w="28" w:type="dxa"/>
            </w:tcMar>
            <w:vAlign w:val="center"/>
          </w:tcPr>
          <w:p>
            <w:pPr>
              <w:pStyle w:val="TableContents"/>
              <w:bidi w:val="0"/>
              <w:spacing w:before="0" w:after="283"/>
              <w:jc w:val="center"/>
              <w:rPr/>
            </w:pPr>
            <w:r>
              <w:rPr/>
              <w:t>As of December 31,</w:t>
            </w:r>
          </w:p>
        </w:tc>
        <w:tc>
          <w:tcPr>
            <w:tcW w:w="60" w:type="dxa"/>
            <w:tcBorders/>
            <w:vAlign w:val="center"/>
          </w:tcPr>
          <w:p>
            <w:pPr>
              <w:pStyle w:val="TableContents"/>
              <w:bidi w:val="0"/>
              <w:spacing w:before="0" w:after="283"/>
              <w:jc w:val="left"/>
              <w:rPr/>
            </w:pPr>
            <w:r>
              <w:rPr/>
              <w:t> </w:t>
            </w:r>
          </w:p>
        </w:tc>
        <w:tc>
          <w:tcPr>
            <w:tcW w:w="2641" w:type="dxa"/>
            <w:gridSpan w:val="7"/>
            <w:tcBorders>
              <w:bottom w:val="single" w:sz="8" w:space="0" w:color="000000"/>
            </w:tcBorders>
            <w:tcMar>
              <w:bottom w:w="28" w:type="dxa"/>
            </w:tcMar>
            <w:vAlign w:val="center"/>
          </w:tcPr>
          <w:p>
            <w:pPr>
              <w:pStyle w:val="TableContents"/>
              <w:bidi w:val="0"/>
              <w:spacing w:before="0" w:after="283"/>
              <w:jc w:val="center"/>
              <w:rPr/>
            </w:pPr>
            <w:r>
              <w:rPr/>
              <w:t>As of June 30,</w:t>
            </w:r>
          </w:p>
        </w:tc>
      </w:tr>
      <w:tr>
        <w:trPr/>
        <w:tc>
          <w:tcPr>
            <w:tcW w:w="5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2641" w:type="dxa"/>
            <w:gridSpan w:val="7"/>
            <w:tcBorders>
              <w:bottom w:val="single" w:sz="8" w:space="0" w:color="000000"/>
            </w:tcBorders>
            <w:tcMar>
              <w:bottom w:w="28" w:type="dxa"/>
            </w:tcMar>
            <w:vAlign w:val="center"/>
          </w:tcPr>
          <w:p>
            <w:pPr>
              <w:pStyle w:val="TableContents"/>
              <w:bidi w:val="0"/>
              <w:spacing w:before="0" w:after="283"/>
              <w:jc w:val="center"/>
              <w:rPr/>
            </w:pPr>
            <w:r>
              <w:rPr/>
              <w:t>2026</w:t>
            </w:r>
          </w:p>
        </w:tc>
      </w:tr>
      <w:tr>
        <w:trPr/>
        <w:tc>
          <w:tcPr>
            <w:tcW w:w="57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2" w:type="dxa"/>
            <w:gridSpan w:val="3"/>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left"/>
              <w:rPr/>
            </w:pPr>
            <w:r>
              <w:rPr/>
              <w:t> </w:t>
            </w:r>
          </w:p>
        </w:tc>
        <w:tc>
          <w:tcPr>
            <w:tcW w:w="1371" w:type="dxa"/>
            <w:gridSpan w:val="3"/>
            <w:tcBorders/>
            <w:vAlign w:val="center"/>
          </w:tcPr>
          <w:p>
            <w:pPr>
              <w:pStyle w:val="TableContents"/>
              <w:bidi w:val="0"/>
              <w:spacing w:before="0" w:after="283"/>
              <w:jc w:val="center"/>
              <w:rPr/>
            </w:pPr>
            <w:r>
              <w:rPr/>
              <w:t>US$</w:t>
            </w:r>
          </w:p>
        </w:tc>
      </w:tr>
      <w:tr>
        <w:trPr/>
        <w:tc>
          <w:tcPr>
            <w:tcW w:w="5722" w:type="dxa"/>
            <w:tcBorders/>
            <w:vAlign w:val="center"/>
          </w:tcPr>
          <w:p>
            <w:pPr>
              <w:pStyle w:val="TableContents"/>
              <w:bidi w:val="0"/>
              <w:spacing w:before="0" w:after="283"/>
              <w:jc w:val="left"/>
              <w:rPr/>
            </w:pPr>
            <w:r>
              <w:rPr/>
              <w:t>Non-current liabilities</w:t>
            </w:r>
          </w:p>
        </w:tc>
        <w:tc>
          <w:tcPr>
            <w:tcW w:w="60" w:type="dxa"/>
            <w:tcBorders/>
            <w:vAlign w:val="center"/>
          </w:tcPr>
          <w:p>
            <w:pPr>
              <w:pStyle w:val="TableContents"/>
              <w:bidi w:val="0"/>
              <w:spacing w:before="0" w:after="283"/>
              <w:jc w:val="left"/>
              <w:rPr/>
            </w:pPr>
            <w:r>
              <w:rPr/>
              <w:t> </w:t>
            </w:r>
          </w:p>
        </w:tc>
        <w:tc>
          <w:tcPr>
            <w:tcW w:w="1722"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10" w:type="dxa"/>
            <w:gridSpan w:val="3"/>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371" w:type="dxa"/>
            <w:gridSpan w:val="3"/>
            <w:tcBorders/>
            <w:vAlign w:val="center"/>
          </w:tcPr>
          <w:p>
            <w:pPr>
              <w:pStyle w:val="TableContents"/>
              <w:bidi w:val="0"/>
              <w:spacing w:before="0" w:after="283"/>
              <w:ind w:left="0" w:right="0" w:firstLine="180"/>
              <w:jc w:val="right"/>
              <w:rPr/>
            </w:pPr>
            <w:r>
              <w:rPr/>
              <w:t> </w:t>
            </w:r>
          </w:p>
        </w:tc>
      </w:tr>
      <w:tr>
        <w:trPr/>
        <w:tc>
          <w:tcPr>
            <w:tcW w:w="5722" w:type="dxa"/>
            <w:tcBorders/>
            <w:shd w:fill="D5EAEA" w:val="clear"/>
            <w:vAlign w:val="center"/>
          </w:tcPr>
          <w:p>
            <w:pPr>
              <w:pStyle w:val="TableContents"/>
              <w:bidi w:val="0"/>
              <w:spacing w:before="0" w:after="283"/>
              <w:jc w:val="left"/>
              <w:rPr/>
            </w:pPr>
            <w:r>
              <w:rPr/>
              <w:t>Deferred revenue, non-current portion</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200,960</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167,011</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24,614</w:t>
            </w:r>
          </w:p>
        </w:tc>
        <w:tc>
          <w:tcPr>
            <w:tcW w:w="436" w:type="dxa"/>
            <w:tcBorders/>
            <w:shd w:fill="D5EAEA" w:val="clear"/>
            <w:vAlign w:val="center"/>
          </w:tcPr>
          <w:p>
            <w:pPr>
              <w:pStyle w:val="TableContents"/>
              <w:bidi w:val="0"/>
              <w:spacing w:before="0" w:after="283"/>
              <w:ind w:left="0" w:right="0" w:firstLine="180"/>
              <w:jc w:val="left"/>
              <w:rPr/>
            </w:pPr>
            <w:r>
              <w:rPr/>
              <w:t> </w:t>
            </w:r>
          </w:p>
        </w:tc>
      </w:tr>
      <w:tr>
        <w:trPr/>
        <w:tc>
          <w:tcPr>
            <w:tcW w:w="5722" w:type="dxa"/>
            <w:tcBorders/>
            <w:shd w:fill="FFFFFF" w:val="clear"/>
            <w:vAlign w:val="center"/>
          </w:tcPr>
          <w:p>
            <w:pPr>
              <w:pStyle w:val="TableContents"/>
              <w:bidi w:val="0"/>
              <w:spacing w:before="0" w:after="283"/>
              <w:jc w:val="left"/>
              <w:rPr/>
            </w:pPr>
            <w:r>
              <w:rPr/>
              <w:t>Lease liabilities, non-current portion</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129,564</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123,761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18,240</w:t>
            </w:r>
          </w:p>
        </w:tc>
        <w:tc>
          <w:tcPr>
            <w:tcW w:w="436" w:type="dxa"/>
            <w:tcBorders/>
            <w:shd w:fill="FFFFFF" w:val="clear"/>
            <w:vAlign w:val="center"/>
          </w:tcPr>
          <w:p>
            <w:pPr>
              <w:pStyle w:val="TableContents"/>
              <w:bidi w:val="0"/>
              <w:spacing w:before="0" w:after="283"/>
              <w:ind w:left="0" w:right="0" w:firstLine="180"/>
              <w:jc w:val="left"/>
              <w:rPr/>
            </w:pPr>
            <w:r>
              <w:rPr/>
              <w:t> </w:t>
            </w:r>
          </w:p>
        </w:tc>
      </w:tr>
      <w:tr>
        <w:trPr/>
        <w:tc>
          <w:tcPr>
            <w:tcW w:w="5722" w:type="dxa"/>
            <w:tcBorders/>
            <w:shd w:fill="D5EAEA" w:val="clear"/>
            <w:vAlign w:val="center"/>
          </w:tcPr>
          <w:p>
            <w:pPr>
              <w:pStyle w:val="TableContents"/>
              <w:bidi w:val="0"/>
              <w:spacing w:before="0" w:after="283"/>
              <w:jc w:val="left"/>
              <w:rPr/>
            </w:pPr>
            <w:r>
              <w:rPr/>
              <w:t>Deferred tax liabilities</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5,786</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9,596</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1,414</w:t>
            </w:r>
          </w:p>
        </w:tc>
        <w:tc>
          <w:tcPr>
            <w:tcW w:w="436" w:type="dxa"/>
            <w:tcBorders/>
            <w:shd w:fill="D5EAEA" w:val="clear"/>
            <w:vAlign w:val="center"/>
          </w:tcPr>
          <w:p>
            <w:pPr>
              <w:pStyle w:val="TableContents"/>
              <w:bidi w:val="0"/>
              <w:spacing w:before="0" w:after="283"/>
              <w:ind w:left="0" w:right="0" w:firstLine="180"/>
              <w:jc w:val="left"/>
              <w:rPr/>
            </w:pPr>
            <w:r>
              <w:rPr/>
              <w:t> </w:t>
            </w:r>
          </w:p>
        </w:tc>
      </w:tr>
      <w:tr>
        <w:trPr/>
        <w:tc>
          <w:tcPr>
            <w:tcW w:w="5722"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FFFFFF" w:val="clear"/>
            <w:tcMar>
              <w:bottom w:w="28" w:type="dxa"/>
            </w:tcMar>
            <w:vAlign w:val="center"/>
          </w:tcPr>
          <w:p>
            <w:pPr>
              <w:pStyle w:val="TableContents"/>
              <w:bidi w:val="0"/>
              <w:spacing w:before="0" w:after="283"/>
              <w:jc w:val="right"/>
              <w:rPr/>
            </w:pPr>
            <w:r>
              <w:rPr/>
              <w:t>7,392</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6,650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980</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22" w:type="dxa"/>
            <w:tcBorders/>
            <w:shd w:fill="D5EAEA" w:val="clear"/>
            <w:vAlign w:val="center"/>
          </w:tcPr>
          <w:p>
            <w:pPr>
              <w:pStyle w:val="TableContents"/>
              <w:bidi w:val="0"/>
              <w:spacing w:before="0" w:after="283"/>
              <w:jc w:val="left"/>
              <w:rPr/>
            </w:pPr>
            <w:r>
              <w:rPr/>
              <w:t>Total non-current liabilities</w:t>
            </w:r>
          </w:p>
        </w:tc>
        <w:tc>
          <w:tcPr>
            <w:tcW w:w="60" w:type="dxa"/>
            <w:tcBorders/>
            <w:shd w:fill="D5EAEA" w:val="clear"/>
            <w:vAlign w:val="center"/>
          </w:tcPr>
          <w:p>
            <w:pPr>
              <w:pStyle w:val="TableContents"/>
              <w:bidi w:val="0"/>
              <w:spacing w:before="0" w:after="283"/>
              <w:jc w:val="left"/>
              <w:rPr/>
            </w:pPr>
            <w:r>
              <w:rPr/>
              <w:t> </w:t>
            </w:r>
          </w:p>
        </w:tc>
        <w:tc>
          <w:tcPr>
            <w:tcW w:w="8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D5EAEA" w:val="clear"/>
            <w:tcMar>
              <w:bottom w:w="28" w:type="dxa"/>
            </w:tcMar>
            <w:vAlign w:val="center"/>
          </w:tcPr>
          <w:p>
            <w:pPr>
              <w:pStyle w:val="TableContents"/>
              <w:bidi w:val="0"/>
              <w:spacing w:before="0" w:after="283"/>
              <w:jc w:val="right"/>
              <w:rPr/>
            </w:pPr>
            <w:r>
              <w:rPr/>
              <w:t>343,702</w:t>
            </w:r>
          </w:p>
        </w:tc>
        <w:tc>
          <w:tcPr>
            <w:tcW w:w="13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D5EAEA" w:val="clear"/>
            <w:tcMar>
              <w:bottom w:w="28" w:type="dxa"/>
            </w:tcMar>
            <w:vAlign w:val="center"/>
          </w:tcPr>
          <w:p>
            <w:pPr>
              <w:pStyle w:val="TableContents"/>
              <w:bidi w:val="0"/>
              <w:spacing w:before="0" w:after="283"/>
              <w:jc w:val="right"/>
              <w:rPr/>
            </w:pPr>
            <w:r>
              <w:rPr/>
              <w:t>307,018</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D5EAEA" w:val="clear"/>
            <w:tcMar>
              <w:bottom w:w="28" w:type="dxa"/>
            </w:tcMar>
            <w:vAlign w:val="center"/>
          </w:tcPr>
          <w:p>
            <w:pPr>
              <w:pStyle w:val="TableContents"/>
              <w:bidi w:val="0"/>
              <w:spacing w:before="0" w:after="283"/>
              <w:jc w:val="right"/>
              <w:rPr/>
            </w:pPr>
            <w:r>
              <w:rPr/>
              <w:t>45,248</w:t>
            </w:r>
          </w:p>
        </w:tc>
        <w:tc>
          <w:tcPr>
            <w:tcW w:w="43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22"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02" w:type="dxa"/>
            <w:tcBorders>
              <w:bottom w:val="double" w:sz="6" w:space="0" w:color="000000"/>
            </w:tcBorders>
            <w:shd w:fill="FFFFFF" w:val="clear"/>
            <w:tcMar>
              <w:bottom w:w="28" w:type="dxa"/>
            </w:tcMar>
            <w:vAlign w:val="center"/>
          </w:tcPr>
          <w:p>
            <w:pPr>
              <w:pStyle w:val="TableContents"/>
              <w:bidi w:val="0"/>
              <w:spacing w:before="0" w:after="283"/>
              <w:jc w:val="right"/>
              <w:rPr/>
            </w:pPr>
            <w:r>
              <w:rPr/>
              <w:t>1,103,151</w:t>
            </w:r>
          </w:p>
        </w:tc>
        <w:tc>
          <w:tcPr>
            <w:tcW w:w="13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899,872</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132,625</w:t>
            </w:r>
          </w:p>
        </w:tc>
        <w:tc>
          <w:tcPr>
            <w:tcW w:w="4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722"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 </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 </w:t>
            </w:r>
          </w:p>
        </w:tc>
        <w:tc>
          <w:tcPr>
            <w:tcW w:w="436" w:type="dxa"/>
            <w:tcBorders/>
            <w:shd w:fill="D5EAEA" w:val="clear"/>
            <w:vAlign w:val="center"/>
          </w:tcPr>
          <w:p>
            <w:pPr>
              <w:pStyle w:val="TableContents"/>
              <w:bidi w:val="0"/>
              <w:spacing w:before="0" w:after="283"/>
              <w:jc w:val="left"/>
              <w:rPr/>
            </w:pPr>
            <w:r>
              <w:rPr/>
              <w:t> </w:t>
            </w:r>
          </w:p>
        </w:tc>
      </w:tr>
      <w:tr>
        <w:trPr/>
        <w:tc>
          <w:tcPr>
            <w:tcW w:w="5722" w:type="dxa"/>
            <w:tcBorders/>
            <w:shd w:fill="FFFFFF" w:val="clear"/>
            <w:vAlign w:val="center"/>
          </w:tcPr>
          <w:p>
            <w:pPr>
              <w:pStyle w:val="TableContents"/>
              <w:bidi w:val="0"/>
              <w:spacing w:before="0" w:after="283"/>
              <w:jc w:val="left"/>
              <w:rPr/>
            </w:pPr>
            <w:r>
              <w:rPr/>
              <w:t>SHAREHOLDERS’ EQUITY</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ind w:left="0" w:right="0" w:firstLine="180"/>
              <w:jc w:val="left"/>
              <w:rPr/>
            </w:pPr>
            <w:r>
              <w:rPr/>
              <w:t> </w:t>
            </w:r>
          </w:p>
        </w:tc>
      </w:tr>
      <w:tr>
        <w:trPr/>
        <w:tc>
          <w:tcPr>
            <w:tcW w:w="5722" w:type="dxa"/>
            <w:tcBorders/>
            <w:shd w:fill="D5EAEA" w:val="clear"/>
            <w:vAlign w:val="center"/>
          </w:tcPr>
          <w:p>
            <w:pPr>
              <w:pStyle w:val="TableContents"/>
              <w:bidi w:val="0"/>
              <w:spacing w:before="0" w:after="283"/>
              <w:jc w:val="left"/>
              <w:rPr/>
            </w:pPr>
            <w:r>
              <w:rPr/>
              <w:t>Class A ordinary shares (par value of US$0.00005, 796,062,195 shares</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 </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 </w:t>
            </w:r>
          </w:p>
        </w:tc>
        <w:tc>
          <w:tcPr>
            <w:tcW w:w="436" w:type="dxa"/>
            <w:tcBorders/>
            <w:shd w:fill="D5EAEA" w:val="clear"/>
            <w:vAlign w:val="center"/>
          </w:tcPr>
          <w:p>
            <w:pPr>
              <w:pStyle w:val="TableContents"/>
              <w:bidi w:val="0"/>
              <w:spacing w:before="0" w:after="283"/>
              <w:ind w:left="0" w:right="0" w:firstLine="360"/>
              <w:jc w:val="left"/>
              <w:rPr/>
            </w:pPr>
            <w:r>
              <w:rPr/>
              <w:t> </w:t>
            </w:r>
          </w:p>
        </w:tc>
      </w:tr>
      <w:tr>
        <w:trPr/>
        <w:tc>
          <w:tcPr>
            <w:tcW w:w="5722" w:type="dxa"/>
            <w:tcBorders/>
            <w:shd w:fill="FFFFFF" w:val="clear"/>
            <w:vAlign w:val="center"/>
          </w:tcPr>
          <w:p>
            <w:pPr>
              <w:pStyle w:val="TableContents"/>
              <w:bidi w:val="0"/>
              <w:spacing w:before="0" w:after="283"/>
              <w:jc w:val="left"/>
              <w:rPr/>
            </w:pPr>
            <w:r>
              <w:rPr/>
              <w:t>authorized; 3,131,807 and 3,131,807 shares issued as of December 31, 2025</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ind w:left="0" w:right="0" w:firstLine="360"/>
              <w:jc w:val="left"/>
              <w:rPr/>
            </w:pPr>
            <w:r>
              <w:rPr/>
              <w:t> </w:t>
            </w:r>
          </w:p>
        </w:tc>
      </w:tr>
      <w:tr>
        <w:trPr/>
        <w:tc>
          <w:tcPr>
            <w:tcW w:w="5722" w:type="dxa"/>
            <w:tcBorders/>
            <w:shd w:fill="D5EAEA" w:val="clear"/>
            <w:vAlign w:val="center"/>
          </w:tcPr>
          <w:p>
            <w:pPr>
              <w:pStyle w:val="TableContents"/>
              <w:bidi w:val="0"/>
              <w:spacing w:before="0" w:after="283"/>
              <w:jc w:val="left"/>
              <w:rPr/>
            </w:pPr>
            <w:r>
              <w:rPr/>
              <w:t>and June 30, 2026, respectively; 2,538,047 and 2,227,653 shares</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 </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 </w:t>
            </w:r>
          </w:p>
        </w:tc>
        <w:tc>
          <w:tcPr>
            <w:tcW w:w="436" w:type="dxa"/>
            <w:tcBorders/>
            <w:shd w:fill="D5EAEA" w:val="clear"/>
            <w:vAlign w:val="center"/>
          </w:tcPr>
          <w:p>
            <w:pPr>
              <w:pStyle w:val="TableContents"/>
              <w:bidi w:val="0"/>
              <w:spacing w:before="0" w:after="283"/>
              <w:ind w:left="0" w:right="0" w:firstLine="360"/>
              <w:jc w:val="left"/>
              <w:rPr/>
            </w:pPr>
            <w:r>
              <w:rPr/>
              <w:t> </w:t>
            </w:r>
          </w:p>
        </w:tc>
      </w:tr>
      <w:tr>
        <w:trPr/>
        <w:tc>
          <w:tcPr>
            <w:tcW w:w="5722" w:type="dxa"/>
            <w:tcBorders/>
            <w:shd w:fill="FFFFFF" w:val="clear"/>
            <w:vAlign w:val="center"/>
          </w:tcPr>
          <w:p>
            <w:pPr>
              <w:pStyle w:val="TableContents"/>
              <w:bidi w:val="0"/>
              <w:spacing w:before="0" w:after="283"/>
              <w:jc w:val="left"/>
              <w:rPr/>
            </w:pPr>
            <w:r>
              <w:rPr/>
              <w:t>outstanding 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1</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436" w:type="dxa"/>
            <w:tcBorders/>
            <w:shd w:fill="FFFFFF" w:val="clear"/>
            <w:vAlign w:val="center"/>
          </w:tcPr>
          <w:p>
            <w:pPr>
              <w:pStyle w:val="TableContents"/>
              <w:bidi w:val="0"/>
              <w:spacing w:before="0" w:after="283"/>
              <w:ind w:left="0" w:right="0" w:firstLine="180"/>
              <w:jc w:val="left"/>
              <w:rPr/>
            </w:pPr>
            <w:r>
              <w:rPr/>
              <w:t> </w:t>
            </w:r>
          </w:p>
        </w:tc>
      </w:tr>
      <w:tr>
        <w:trPr/>
        <w:tc>
          <w:tcPr>
            <w:tcW w:w="5722" w:type="dxa"/>
            <w:tcBorders/>
            <w:shd w:fill="D5EAEA" w:val="clear"/>
            <w:vAlign w:val="center"/>
          </w:tcPr>
          <w:p>
            <w:pPr>
              <w:pStyle w:val="TableContents"/>
              <w:bidi w:val="0"/>
              <w:spacing w:before="0" w:after="283"/>
              <w:jc w:val="left"/>
              <w:rPr/>
            </w:pPr>
            <w:r>
              <w:rPr/>
              <w:t>Class B ordinary shares (par value of US$0.00005, 826,389 shares</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 </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 </w:t>
            </w:r>
          </w:p>
        </w:tc>
        <w:tc>
          <w:tcPr>
            <w:tcW w:w="436" w:type="dxa"/>
            <w:tcBorders/>
            <w:shd w:fill="D5EAEA" w:val="clear"/>
            <w:vAlign w:val="center"/>
          </w:tcPr>
          <w:p>
            <w:pPr>
              <w:pStyle w:val="TableContents"/>
              <w:bidi w:val="0"/>
              <w:spacing w:before="0" w:after="283"/>
              <w:ind w:left="0" w:right="0" w:firstLine="360"/>
              <w:jc w:val="left"/>
              <w:rPr/>
            </w:pPr>
            <w:r>
              <w:rPr/>
              <w:t> </w:t>
            </w:r>
          </w:p>
        </w:tc>
      </w:tr>
      <w:tr>
        <w:trPr/>
        <w:tc>
          <w:tcPr>
            <w:tcW w:w="5722" w:type="dxa"/>
            <w:tcBorders/>
            <w:shd w:fill="FFFFFF" w:val="clear"/>
            <w:vAlign w:val="center"/>
          </w:tcPr>
          <w:p>
            <w:pPr>
              <w:pStyle w:val="TableContents"/>
              <w:bidi w:val="0"/>
              <w:spacing w:before="0" w:after="283"/>
              <w:jc w:val="left"/>
              <w:rPr/>
            </w:pPr>
            <w:r>
              <w:rPr/>
              <w:t>authorized; 826,389 and 826,389 shares issued and outstanding</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ind w:left="0" w:right="0" w:firstLine="360"/>
              <w:jc w:val="left"/>
              <w:rPr/>
            </w:pPr>
            <w:r>
              <w:rPr/>
              <w:t> </w:t>
            </w:r>
          </w:p>
        </w:tc>
      </w:tr>
      <w:tr>
        <w:trPr/>
        <w:tc>
          <w:tcPr>
            <w:tcW w:w="5722" w:type="dxa"/>
            <w:tcBorders/>
            <w:shd w:fill="D5EAEA" w:val="clear"/>
            <w:vAlign w:val="center"/>
          </w:tcPr>
          <w:p>
            <w:pPr>
              <w:pStyle w:val="TableContents"/>
              <w:bidi w:val="0"/>
              <w:spacing w:before="0" w:after="283"/>
              <w:jc w:val="left"/>
              <w:rPr/>
            </w:pPr>
            <w:r>
              <w:rPr/>
              <w:t>as of December 31, 2025 and June 30, 2026, respectively)</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w:t>
            </w:r>
          </w:p>
        </w:tc>
        <w:tc>
          <w:tcPr>
            <w:tcW w:w="436" w:type="dxa"/>
            <w:tcBorders/>
            <w:shd w:fill="D5EAEA" w:val="clear"/>
            <w:vAlign w:val="center"/>
          </w:tcPr>
          <w:p>
            <w:pPr>
              <w:pStyle w:val="TableContents"/>
              <w:bidi w:val="0"/>
              <w:spacing w:before="0" w:after="283"/>
              <w:ind w:left="0" w:right="0" w:firstLine="180"/>
              <w:jc w:val="left"/>
              <w:rPr/>
            </w:pPr>
            <w:r>
              <w:rPr/>
              <w:t> </w:t>
            </w:r>
          </w:p>
        </w:tc>
      </w:tr>
      <w:tr>
        <w:trPr/>
        <w:tc>
          <w:tcPr>
            <w:tcW w:w="5722" w:type="dxa"/>
            <w:tcBorders/>
            <w:shd w:fill="FFFFFF" w:val="clear"/>
            <w:vAlign w:val="center"/>
          </w:tcPr>
          <w:p>
            <w:pPr>
              <w:pStyle w:val="TableContents"/>
              <w:bidi w:val="0"/>
              <w:spacing w:before="0" w:after="283"/>
              <w:jc w:val="left"/>
              <w:rPr/>
            </w:pPr>
            <w:r>
              <w:rPr/>
              <w:t>Class C ordinary shares (par value of US$0.00005, 203,111,416 shares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 </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436" w:type="dxa"/>
            <w:tcBorders/>
            <w:shd w:fill="FFFFFF" w:val="clear"/>
            <w:vAlign w:val="center"/>
          </w:tcPr>
          <w:p>
            <w:pPr>
              <w:pStyle w:val="TableContents"/>
              <w:bidi w:val="0"/>
              <w:spacing w:before="0" w:after="283"/>
              <w:ind w:left="0" w:right="0" w:firstLine="360"/>
              <w:jc w:val="left"/>
              <w:rPr/>
            </w:pPr>
            <w:r>
              <w:rPr/>
              <w:t> </w:t>
            </w:r>
          </w:p>
        </w:tc>
      </w:tr>
      <w:tr>
        <w:trPr/>
        <w:tc>
          <w:tcPr>
            <w:tcW w:w="5722" w:type="dxa"/>
            <w:tcBorders/>
            <w:shd w:fill="D5EAEA" w:val="clear"/>
            <w:vAlign w:val="center"/>
          </w:tcPr>
          <w:p>
            <w:pPr>
              <w:pStyle w:val="TableContents"/>
              <w:bidi w:val="0"/>
              <w:spacing w:before="0" w:after="283"/>
              <w:jc w:val="left"/>
              <w:rPr/>
            </w:pPr>
            <w:r>
              <w:rPr/>
              <w:t>authorized; 3,332,062 and 3,332,062 shares issued and outstanding</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 </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 </w:t>
            </w:r>
          </w:p>
        </w:tc>
        <w:tc>
          <w:tcPr>
            <w:tcW w:w="436" w:type="dxa"/>
            <w:tcBorders/>
            <w:shd w:fill="D5EAEA" w:val="clear"/>
            <w:vAlign w:val="center"/>
          </w:tcPr>
          <w:p>
            <w:pPr>
              <w:pStyle w:val="TableContents"/>
              <w:bidi w:val="0"/>
              <w:spacing w:before="0" w:after="283"/>
              <w:ind w:left="0" w:right="0" w:firstLine="360"/>
              <w:jc w:val="left"/>
              <w:rPr/>
            </w:pPr>
            <w:r>
              <w:rPr/>
              <w:t> </w:t>
            </w:r>
          </w:p>
        </w:tc>
      </w:tr>
      <w:tr>
        <w:trPr/>
        <w:tc>
          <w:tcPr>
            <w:tcW w:w="5722" w:type="dxa"/>
            <w:tcBorders/>
            <w:shd w:fill="FFFFFF" w:val="clear"/>
            <w:vAlign w:val="center"/>
          </w:tcPr>
          <w:p>
            <w:pPr>
              <w:pStyle w:val="TableContents"/>
              <w:bidi w:val="0"/>
              <w:spacing w:before="0" w:after="283"/>
              <w:jc w:val="left"/>
              <w:rPr/>
            </w:pPr>
            <w:r>
              <w:rPr/>
              <w:t>as of December 31, 2025 and June 30, 2026, respectively)</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1</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436" w:type="dxa"/>
            <w:tcBorders/>
            <w:shd w:fill="FFFFFF" w:val="clear"/>
            <w:vAlign w:val="center"/>
          </w:tcPr>
          <w:p>
            <w:pPr>
              <w:pStyle w:val="TableContents"/>
              <w:bidi w:val="0"/>
              <w:spacing w:before="0" w:after="283"/>
              <w:ind w:left="0" w:right="0" w:firstLine="180"/>
              <w:jc w:val="left"/>
              <w:rPr/>
            </w:pPr>
            <w:r>
              <w:rPr/>
              <w:t> </w:t>
            </w:r>
          </w:p>
        </w:tc>
      </w:tr>
      <w:tr>
        <w:trPr/>
        <w:tc>
          <w:tcPr>
            <w:tcW w:w="5722" w:type="dxa"/>
            <w:tcBorders/>
            <w:shd w:fill="D5EAEA" w:val="clear"/>
            <w:vAlign w:val="center"/>
          </w:tcPr>
          <w:p>
            <w:pPr>
              <w:pStyle w:val="TableContents"/>
              <w:bidi w:val="0"/>
              <w:spacing w:before="0" w:after="283"/>
              <w:jc w:val="left"/>
              <w:rPr/>
            </w:pPr>
            <w:r>
              <w:rPr/>
              <w:t>Treasury stock</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w:t>
            </w:r>
          </w:p>
        </w:tc>
        <w:tc>
          <w:tcPr>
            <w:tcW w:w="13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w:t>
            </w:r>
          </w:p>
        </w:tc>
        <w:tc>
          <w:tcPr>
            <w:tcW w:w="436" w:type="dxa"/>
            <w:tcBorders/>
            <w:shd w:fill="D5EAEA" w:val="clear"/>
            <w:vAlign w:val="center"/>
          </w:tcPr>
          <w:p>
            <w:pPr>
              <w:pStyle w:val="TableContents"/>
              <w:bidi w:val="0"/>
              <w:spacing w:before="0" w:after="283"/>
              <w:ind w:left="0" w:right="0" w:firstLine="180"/>
              <w:jc w:val="left"/>
              <w:rPr/>
            </w:pPr>
            <w:r>
              <w:rPr/>
              <w:t> </w:t>
            </w:r>
          </w:p>
        </w:tc>
      </w:tr>
      <w:tr>
        <w:trPr/>
        <w:tc>
          <w:tcPr>
            <w:tcW w:w="5722" w:type="dxa"/>
            <w:tcBorders/>
            <w:shd w:fill="FFFFFF" w:val="clear"/>
            <w:vAlign w:val="center"/>
          </w:tcPr>
          <w:p>
            <w:pPr>
              <w:pStyle w:val="TableContents"/>
              <w:bidi w:val="0"/>
              <w:spacing w:before="0" w:after="283"/>
              <w:jc w:val="left"/>
              <w:rPr/>
            </w:pPr>
            <w:r>
              <w:rPr/>
              <w:t>Statutory reserves</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22,440</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3,307</w:t>
            </w:r>
          </w:p>
        </w:tc>
        <w:tc>
          <w:tcPr>
            <w:tcW w:w="436" w:type="dxa"/>
            <w:tcBorders/>
            <w:shd w:fill="FFFFFF" w:val="clear"/>
            <w:vAlign w:val="center"/>
          </w:tcPr>
          <w:p>
            <w:pPr>
              <w:pStyle w:val="TableContents"/>
              <w:bidi w:val="0"/>
              <w:spacing w:before="0" w:after="283"/>
              <w:ind w:left="0" w:right="0" w:firstLine="180"/>
              <w:jc w:val="left"/>
              <w:rPr/>
            </w:pPr>
            <w:r>
              <w:rPr/>
              <w:t> </w:t>
            </w:r>
          </w:p>
        </w:tc>
      </w:tr>
      <w:tr>
        <w:trPr/>
        <w:tc>
          <w:tcPr>
            <w:tcW w:w="5722" w:type="dxa"/>
            <w:tcBorders/>
            <w:shd w:fill="D5EAEA" w:val="clear"/>
            <w:vAlign w:val="center"/>
          </w:tcPr>
          <w:p>
            <w:pPr>
              <w:pStyle w:val="TableContents"/>
              <w:bidi w:val="0"/>
              <w:spacing w:before="0" w:after="283"/>
              <w:jc w:val="left"/>
              <w:rPr/>
            </w:pPr>
            <w:r>
              <w:rPr/>
              <w:t>Accumulated deficit</w:t>
            </w:r>
          </w:p>
        </w:tc>
        <w:tc>
          <w:tcPr>
            <w:tcW w:w="60" w:type="dxa"/>
            <w:tcBorders/>
            <w:shd w:fill="D5EAEA" w:val="clear"/>
            <w:vAlign w:val="center"/>
          </w:tcPr>
          <w:p>
            <w:pPr>
              <w:pStyle w:val="TableContents"/>
              <w:bidi w:val="0"/>
              <w:spacing w:before="0" w:after="283"/>
              <w:jc w:val="left"/>
              <w:rPr/>
            </w:pPr>
            <w:r>
              <w:rPr/>
              <w:t> </w:t>
            </w:r>
          </w:p>
        </w:tc>
        <w:tc>
          <w:tcPr>
            <w:tcW w:w="85" w:type="dxa"/>
            <w:tcBorders/>
            <w:shd w:fill="D5EAEA" w:val="clear"/>
            <w:vAlign w:val="center"/>
          </w:tcPr>
          <w:p>
            <w:pPr>
              <w:pStyle w:val="TableContents"/>
              <w:bidi w:val="0"/>
              <w:spacing w:before="0" w:after="283"/>
              <w:jc w:val="left"/>
              <w:rPr/>
            </w:pPr>
            <w:r>
              <w:rPr/>
              <w:t> </w:t>
            </w:r>
          </w:p>
        </w:tc>
        <w:tc>
          <w:tcPr>
            <w:tcW w:w="1502" w:type="dxa"/>
            <w:tcBorders/>
            <w:shd w:fill="D5EAEA" w:val="clear"/>
            <w:vAlign w:val="center"/>
          </w:tcPr>
          <w:p>
            <w:pPr>
              <w:pStyle w:val="TableContents"/>
              <w:bidi w:val="0"/>
              <w:spacing w:before="0" w:after="283"/>
              <w:jc w:val="right"/>
              <w:rPr/>
            </w:pPr>
            <w:r>
              <w:rPr/>
              <w:t>(1,486,011</w:t>
            </w:r>
          </w:p>
        </w:tc>
        <w:tc>
          <w:tcPr>
            <w:tcW w:w="13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055" w:type="dxa"/>
            <w:tcBorders/>
            <w:shd w:fill="D5EAEA" w:val="clear"/>
            <w:vAlign w:val="center"/>
          </w:tcPr>
          <w:p>
            <w:pPr>
              <w:pStyle w:val="TableContents"/>
              <w:bidi w:val="0"/>
              <w:spacing w:before="0" w:after="283"/>
              <w:jc w:val="right"/>
              <w:rPr/>
            </w:pPr>
            <w:r>
              <w:rPr/>
              <w:t>(1,325,704</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875" w:type="dxa"/>
            <w:tcBorders/>
            <w:shd w:fill="D5EAEA" w:val="clear"/>
            <w:vAlign w:val="center"/>
          </w:tcPr>
          <w:p>
            <w:pPr>
              <w:pStyle w:val="TableContents"/>
              <w:bidi w:val="0"/>
              <w:spacing w:before="0" w:after="283"/>
              <w:jc w:val="right"/>
              <w:rPr/>
            </w:pPr>
            <w:r>
              <w:rPr/>
              <w:t>(195,385</w:t>
            </w:r>
          </w:p>
        </w:tc>
        <w:tc>
          <w:tcPr>
            <w:tcW w:w="436" w:type="dxa"/>
            <w:tcBorders/>
            <w:shd w:fill="D5EAEA" w:val="clear"/>
            <w:vAlign w:val="center"/>
          </w:tcPr>
          <w:p>
            <w:pPr>
              <w:pStyle w:val="TableContents"/>
              <w:bidi w:val="0"/>
              <w:spacing w:before="0" w:after="283"/>
              <w:ind w:left="0" w:right="0" w:firstLine="180"/>
              <w:jc w:val="left"/>
              <w:rPr/>
            </w:pPr>
            <w:r>
              <w:rPr/>
              <w:t>)</w:t>
            </w:r>
          </w:p>
        </w:tc>
      </w:tr>
      <w:tr>
        <w:trPr/>
        <w:tc>
          <w:tcPr>
            <w:tcW w:w="572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1502" w:type="dxa"/>
            <w:tcBorders/>
            <w:shd w:fill="FFFFFF" w:val="clear"/>
            <w:vAlign w:val="center"/>
          </w:tcPr>
          <w:p>
            <w:pPr>
              <w:pStyle w:val="TableContents"/>
              <w:bidi w:val="0"/>
              <w:spacing w:before="0" w:after="283"/>
              <w:jc w:val="right"/>
              <w:rPr/>
            </w:pPr>
            <w:r>
              <w:rPr/>
              <w:t>2,287,553</w:t>
            </w:r>
          </w:p>
        </w:tc>
        <w:tc>
          <w:tcPr>
            <w:tcW w:w="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2,273,605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335,088</w:t>
            </w:r>
          </w:p>
        </w:tc>
        <w:tc>
          <w:tcPr>
            <w:tcW w:w="436" w:type="dxa"/>
            <w:tcBorders/>
            <w:shd w:fill="FFFFFF" w:val="clear"/>
            <w:vAlign w:val="center"/>
          </w:tcPr>
          <w:p>
            <w:pPr>
              <w:pStyle w:val="TableContents"/>
              <w:bidi w:val="0"/>
              <w:spacing w:before="0" w:after="283"/>
              <w:ind w:left="0" w:right="0" w:firstLine="180"/>
              <w:jc w:val="left"/>
              <w:rPr/>
            </w:pPr>
            <w:r>
              <w:rPr/>
              <w:t> </w:t>
            </w:r>
          </w:p>
        </w:tc>
      </w:tr>
      <w:tr>
        <w:trPr/>
        <w:tc>
          <w:tcPr>
            <w:tcW w:w="5722" w:type="dxa"/>
            <w:tcBorders/>
            <w:shd w:fill="D5EAEA" w:val="clear"/>
            <w:vAlign w:val="center"/>
          </w:tcPr>
          <w:p>
            <w:pPr>
              <w:pStyle w:val="TableContents"/>
              <w:bidi w:val="0"/>
              <w:spacing w:before="0" w:after="283"/>
              <w:jc w:val="left"/>
              <w:rPr/>
            </w:pPr>
            <w:r>
              <w:rPr/>
              <w:t>Accumulated other comprehensive income</w:t>
            </w:r>
          </w:p>
        </w:tc>
        <w:tc>
          <w:tcPr>
            <w:tcW w:w="60" w:type="dxa"/>
            <w:tcBorders/>
            <w:shd w:fill="D5EAEA" w:val="clear"/>
            <w:vAlign w:val="center"/>
          </w:tcPr>
          <w:p>
            <w:pPr>
              <w:pStyle w:val="TableContents"/>
              <w:bidi w:val="0"/>
              <w:spacing w:before="0" w:after="283"/>
              <w:jc w:val="left"/>
              <w:rPr/>
            </w:pPr>
            <w:r>
              <w:rPr/>
              <w:t> </w:t>
            </w:r>
          </w:p>
        </w:tc>
        <w:tc>
          <w:tcPr>
            <w:tcW w:w="8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D5EAEA" w:val="clear"/>
            <w:tcMar>
              <w:bottom w:w="28" w:type="dxa"/>
            </w:tcMar>
            <w:vAlign w:val="center"/>
          </w:tcPr>
          <w:p>
            <w:pPr>
              <w:pStyle w:val="TableContents"/>
              <w:bidi w:val="0"/>
              <w:spacing w:before="0" w:after="283"/>
              <w:jc w:val="right"/>
              <w:rPr/>
            </w:pPr>
            <w:r>
              <w:rPr/>
              <w:t>121,570</w:t>
            </w:r>
          </w:p>
        </w:tc>
        <w:tc>
          <w:tcPr>
            <w:tcW w:w="13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D5EAEA" w:val="clear"/>
            <w:tcMar>
              <w:bottom w:w="28" w:type="dxa"/>
            </w:tcMar>
            <w:vAlign w:val="center"/>
          </w:tcPr>
          <w:p>
            <w:pPr>
              <w:pStyle w:val="TableContents"/>
              <w:bidi w:val="0"/>
              <w:spacing w:before="0" w:after="283"/>
              <w:jc w:val="right"/>
              <w:rPr/>
            </w:pPr>
            <w:r>
              <w:rPr/>
              <w:t>100,440</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D5EAEA" w:val="clear"/>
            <w:tcMar>
              <w:bottom w:w="28" w:type="dxa"/>
            </w:tcMar>
            <w:vAlign w:val="center"/>
          </w:tcPr>
          <w:p>
            <w:pPr>
              <w:pStyle w:val="TableContents"/>
              <w:bidi w:val="0"/>
              <w:spacing w:before="0" w:after="283"/>
              <w:jc w:val="right"/>
              <w:rPr/>
            </w:pPr>
            <w:r>
              <w:rPr/>
              <w:t>14,803</w:t>
            </w:r>
          </w:p>
        </w:tc>
        <w:tc>
          <w:tcPr>
            <w:tcW w:w="43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22" w:type="dxa"/>
            <w:tcBorders/>
            <w:shd w:fill="FFFFFF" w:val="clear"/>
            <w:vAlign w:val="center"/>
          </w:tcPr>
          <w:p>
            <w:pPr>
              <w:pStyle w:val="TableContents"/>
              <w:bidi w:val="0"/>
              <w:spacing w:before="0" w:after="283"/>
              <w:jc w:val="left"/>
              <w:rPr/>
            </w:pPr>
            <w:r>
              <w:rPr/>
              <w:t>Total Sunlands Technology Group shareholders’ equity</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FFFFFF" w:val="clear"/>
            <w:tcMar>
              <w:bottom w:w="28" w:type="dxa"/>
            </w:tcMar>
            <w:vAlign w:val="center"/>
          </w:tcPr>
          <w:p>
            <w:pPr>
              <w:pStyle w:val="TableContents"/>
              <w:bidi w:val="0"/>
              <w:spacing w:before="0" w:after="283"/>
              <w:jc w:val="right"/>
              <w:rPr/>
            </w:pPr>
            <w:r>
              <w:rPr/>
              <w:t>945,554</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1,070,783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157,813</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22" w:type="dxa"/>
            <w:tcBorders/>
            <w:shd w:fill="D5EAEA" w:val="clear"/>
            <w:vAlign w:val="center"/>
          </w:tcPr>
          <w:p>
            <w:pPr>
              <w:pStyle w:val="TableContents"/>
              <w:bidi w:val="0"/>
              <w:spacing w:before="0" w:after="283"/>
              <w:jc w:val="left"/>
              <w:rPr/>
            </w:pPr>
            <w:r>
              <w:rPr/>
              <w:t>Non-controlling interest</w:t>
            </w:r>
          </w:p>
        </w:tc>
        <w:tc>
          <w:tcPr>
            <w:tcW w:w="60" w:type="dxa"/>
            <w:tcBorders/>
            <w:shd w:fill="D5EAEA" w:val="clear"/>
            <w:vAlign w:val="center"/>
          </w:tcPr>
          <w:p>
            <w:pPr>
              <w:pStyle w:val="TableContents"/>
              <w:bidi w:val="0"/>
              <w:spacing w:before="0" w:after="283"/>
              <w:jc w:val="left"/>
              <w:rPr/>
            </w:pPr>
            <w:r>
              <w:rPr/>
              <w:t> </w:t>
            </w:r>
          </w:p>
        </w:tc>
        <w:tc>
          <w:tcPr>
            <w:tcW w:w="8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D5EAEA" w:val="clear"/>
            <w:tcMar>
              <w:bottom w:w="28" w:type="dxa"/>
            </w:tcMar>
            <w:vAlign w:val="center"/>
          </w:tcPr>
          <w:p>
            <w:pPr>
              <w:pStyle w:val="TableContents"/>
              <w:bidi w:val="0"/>
              <w:spacing w:before="0" w:after="283"/>
              <w:jc w:val="right"/>
              <w:rPr/>
            </w:pPr>
            <w:r>
              <w:rPr/>
              <w:t>(1,487</w:t>
            </w:r>
          </w:p>
        </w:tc>
        <w:tc>
          <w:tcPr>
            <w:tcW w:w="13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D5EAEA" w:val="clear"/>
            <w:tcMar>
              <w:bottom w:w="28" w:type="dxa"/>
            </w:tcMar>
            <w:vAlign w:val="center"/>
          </w:tcPr>
          <w:p>
            <w:pPr>
              <w:pStyle w:val="TableContents"/>
              <w:bidi w:val="0"/>
              <w:spacing w:before="0" w:after="283"/>
              <w:jc w:val="right"/>
              <w:rPr/>
            </w:pPr>
            <w:r>
              <w:rPr/>
              <w:t>(1,487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D5EAEA" w:val="clear"/>
            <w:tcMar>
              <w:bottom w:w="28" w:type="dxa"/>
            </w:tcMar>
            <w:vAlign w:val="center"/>
          </w:tcPr>
          <w:p>
            <w:pPr>
              <w:pStyle w:val="TableContents"/>
              <w:bidi w:val="0"/>
              <w:spacing w:before="0" w:after="283"/>
              <w:jc w:val="right"/>
              <w:rPr/>
            </w:pPr>
            <w:r>
              <w:rPr/>
              <w:t>(219</w:t>
            </w:r>
          </w:p>
        </w:tc>
        <w:tc>
          <w:tcPr>
            <w:tcW w:w="436"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5722" w:type="dxa"/>
            <w:tcBorders/>
            <w:shd w:fill="FFFFFF" w:val="clear"/>
            <w:vAlign w:val="center"/>
          </w:tcPr>
          <w:p>
            <w:pPr>
              <w:pStyle w:val="TableContents"/>
              <w:bidi w:val="0"/>
              <w:spacing w:before="0" w:after="283"/>
              <w:jc w:val="left"/>
              <w:rPr/>
            </w:pPr>
            <w:r>
              <w:rPr/>
              <w:t>TOTAL SHAREHOLDERS’ EQUITY</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2" w:type="dxa"/>
            <w:tcBorders>
              <w:bottom w:val="single" w:sz="8" w:space="0" w:color="000000"/>
            </w:tcBorders>
            <w:shd w:fill="FFFFFF" w:val="clear"/>
            <w:tcMar>
              <w:bottom w:w="28" w:type="dxa"/>
            </w:tcMar>
            <w:vAlign w:val="center"/>
          </w:tcPr>
          <w:p>
            <w:pPr>
              <w:pStyle w:val="TableContents"/>
              <w:bidi w:val="0"/>
              <w:spacing w:before="0" w:after="283"/>
              <w:jc w:val="right"/>
              <w:rPr/>
            </w:pPr>
            <w:r>
              <w:rPr/>
              <w:t>944,067</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1,069,296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157,594</w:t>
            </w:r>
          </w:p>
        </w:tc>
        <w:tc>
          <w:tcPr>
            <w:tcW w:w="43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22" w:type="dxa"/>
            <w:tcBorders/>
            <w:shd w:fill="D5EAEA" w:val="clear"/>
            <w:vAlign w:val="center"/>
          </w:tcPr>
          <w:p>
            <w:pPr>
              <w:pStyle w:val="TableContents"/>
              <w:bidi w:val="0"/>
              <w:spacing w:before="0" w:after="283"/>
              <w:jc w:val="left"/>
              <w:rPr/>
            </w:pPr>
            <w:r>
              <w:rPr/>
              <w:t>TOTAL LIABILITIES AND SHAREHOLDERS’ EQUITY</w:t>
            </w:r>
          </w:p>
        </w:tc>
        <w:tc>
          <w:tcPr>
            <w:tcW w:w="60" w:type="dxa"/>
            <w:tcBorders/>
            <w:shd w:fill="D5EAEA" w:val="clear"/>
            <w:vAlign w:val="center"/>
          </w:tcPr>
          <w:p>
            <w:pPr>
              <w:pStyle w:val="TableContents"/>
              <w:bidi w:val="0"/>
              <w:spacing w:before="0" w:after="283"/>
              <w:jc w:val="left"/>
              <w:rPr/>
            </w:pPr>
            <w:r>
              <w:rPr/>
              <w:t> </w:t>
            </w:r>
          </w:p>
        </w:tc>
        <w:tc>
          <w:tcPr>
            <w:tcW w:w="8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1502" w:type="dxa"/>
            <w:tcBorders>
              <w:bottom w:val="double" w:sz="6" w:space="0" w:color="000000"/>
            </w:tcBorders>
            <w:shd w:fill="D5EAEA" w:val="clear"/>
            <w:tcMar>
              <w:bottom w:w="28" w:type="dxa"/>
            </w:tcMar>
            <w:vAlign w:val="center"/>
          </w:tcPr>
          <w:p>
            <w:pPr>
              <w:pStyle w:val="TableContents"/>
              <w:bidi w:val="0"/>
              <w:spacing w:before="0" w:after="283"/>
              <w:jc w:val="right"/>
              <w:rPr/>
            </w:pPr>
            <w:r>
              <w:rPr/>
              <w:t>2,047,218</w:t>
            </w:r>
          </w:p>
        </w:tc>
        <w:tc>
          <w:tcPr>
            <w:tcW w:w="13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D5EAEA" w:val="clear"/>
            <w:tcMar>
              <w:bottom w:w="28" w:type="dxa"/>
            </w:tcMar>
            <w:vAlign w:val="center"/>
          </w:tcPr>
          <w:p>
            <w:pPr>
              <w:pStyle w:val="TableContents"/>
              <w:bidi w:val="0"/>
              <w:spacing w:before="0" w:after="283"/>
              <w:jc w:val="right"/>
              <w:rPr/>
            </w:pPr>
            <w:r>
              <w:rPr/>
              <w:t>1,969,168</w:t>
            </w:r>
          </w:p>
        </w:tc>
        <w:tc>
          <w:tcPr>
            <w:tcW w:w="95"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D5EAEA" w:val="clear"/>
            <w:tcMar>
              <w:bottom w:w="28" w:type="dxa"/>
            </w:tcMar>
            <w:vAlign w:val="center"/>
          </w:tcPr>
          <w:p>
            <w:pPr>
              <w:pStyle w:val="TableContents"/>
              <w:bidi w:val="0"/>
              <w:spacing w:before="0" w:after="283"/>
              <w:jc w:val="right"/>
              <w:rPr/>
            </w:pPr>
            <w:r>
              <w:rPr/>
              <w:t>290,219</w:t>
            </w:r>
          </w:p>
        </w:tc>
        <w:tc>
          <w:tcPr>
            <w:tcW w:w="436"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5750"/>
        <w:gridCol w:w="60"/>
        <w:gridCol w:w="60"/>
        <w:gridCol w:w="980"/>
        <w:gridCol w:w="95"/>
        <w:gridCol w:w="60"/>
        <w:gridCol w:w="60"/>
        <w:gridCol w:w="980"/>
        <w:gridCol w:w="95"/>
        <w:gridCol w:w="60"/>
        <w:gridCol w:w="60"/>
        <w:gridCol w:w="980"/>
        <w:gridCol w:w="290"/>
      </w:tblGrid>
      <w:tr>
        <w:trPr/>
        <w:tc>
          <w:tcPr>
            <w:tcW w:w="9530" w:type="dxa"/>
            <w:gridSpan w:val="13"/>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ableContents"/>
              <w:shd w:fill="FFFFFF" w:val="clear"/>
              <w:bidi w:val="0"/>
              <w:spacing w:before="0" w:after="0"/>
              <w:ind w:left="0" w:right="0" w:hanging="0"/>
              <w:jc w:val="center"/>
              <w:rPr>
                <w:caps w:val="false"/>
                <w:smallCaps w:val="false"/>
              </w:rPr>
            </w:pPr>
            <w:r>
              <w:rPr>
                <w:caps w:val="false"/>
                <w:smallCaps w:val="false"/>
              </w:rPr>
              <w:t> </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ableContents"/>
              <w:shd w:fill="FFFFFF" w:val="clear"/>
              <w:bidi w:val="0"/>
              <w:spacing w:before="0" w:after="0"/>
              <w:ind w:left="0" w:right="0" w:hanging="0"/>
              <w:jc w:val="center"/>
              <w:rPr>
                <w:caps w:val="false"/>
                <w:smallCaps w:val="false"/>
              </w:rPr>
            </w:pPr>
            <w:r>
              <w:rPr>
                <w:caps w:val="false"/>
                <w:smallCaps w:val="false"/>
              </w:rPr>
              <w:t> </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ableContents"/>
              <w:shd w:fill="FFFFFF" w:val="clear"/>
              <w:bidi w:val="0"/>
              <w:spacing w:before="0" w:after="0"/>
              <w:ind w:left="0" w:right="0" w:hanging="0"/>
              <w:jc w:val="center"/>
              <w:rPr>
                <w:caps w:val="false"/>
                <w:smallCaps w:val="false"/>
              </w:rPr>
            </w:pPr>
            <w:r>
              <w:rPr>
                <w:caps w:val="false"/>
                <w:smallCaps w:val="false"/>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0" w:type="dxa"/>
            <w:gridSpan w:val="11"/>
            <w:tcBorders>
              <w:bottom w:val="single" w:sz="8" w:space="0" w:color="000000"/>
            </w:tcBorders>
            <w:tcMar>
              <w:bottom w:w="28" w:type="dxa"/>
            </w:tcMar>
            <w:vAlign w:val="center"/>
          </w:tcPr>
          <w:p>
            <w:pPr>
              <w:pStyle w:val="TableContents"/>
              <w:bidi w:val="0"/>
              <w:spacing w:before="0" w:after="283"/>
              <w:jc w:val="center"/>
              <w:rPr/>
            </w:pPr>
            <w:r>
              <w:rPr/>
              <w:t>For the Three Months Ended June 30,</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2525" w:type="dxa"/>
            <w:gridSpan w:val="7"/>
            <w:tcBorders>
              <w:bottom w:val="single" w:sz="8" w:space="0" w:color="000000"/>
            </w:tcBorders>
            <w:tcMar>
              <w:bottom w:w="28" w:type="dxa"/>
            </w:tcMar>
            <w:vAlign w:val="center"/>
          </w:tcPr>
          <w:p>
            <w:pPr>
              <w:pStyle w:val="TableContents"/>
              <w:bidi w:val="0"/>
              <w:spacing w:before="0" w:after="283"/>
              <w:jc w:val="center"/>
              <w:rPr/>
            </w:pPr>
            <w:r>
              <w:rPr/>
              <w:t>2026</w:t>
            </w:r>
          </w:p>
        </w:tc>
      </w:tr>
      <w:tr>
        <w:trPr/>
        <w:tc>
          <w:tcPr>
            <w:tcW w:w="57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sz w:val="20"/>
              </w:rPr>
            </w:pPr>
            <w:r>
              <w:rPr>
                <w:sz w:val="20"/>
              </w:rPr>
              <w:t>RMB</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sz w:val="20"/>
              </w:rPr>
            </w:pPr>
            <w:r>
              <w:rPr>
                <w:sz w:val="20"/>
              </w:rPr>
              <w:t>RMB</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sz w:val="20"/>
              </w:rPr>
            </w:pPr>
            <w:r>
              <w:rPr>
                <w:sz w:val="20"/>
              </w:rPr>
              <w:t>US$</w:t>
            </w:r>
          </w:p>
        </w:tc>
        <w:tc>
          <w:tcPr>
            <w:tcW w:w="290" w:type="dxa"/>
            <w:tcBorders/>
            <w:shd w:fill="D5EAEA"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Net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539,015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406,367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59,891</w:t>
            </w:r>
          </w:p>
        </w:tc>
        <w:tc>
          <w:tcPr>
            <w:tcW w:w="290" w:type="dxa"/>
            <w:tcBorders/>
            <w:shd w:fill="FFFFFF" w:val="cle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Cost of revenues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(69,641</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(57,201</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(8,430</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469,374</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349,166</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51,461</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290" w:type="dxa"/>
            <w:tcBorders/>
            <w:shd w:fill="D5EAEA"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750" w:type="dxa"/>
            <w:tcBorders/>
            <w:shd w:fill="D5EAEA" w:val="clear"/>
            <w:vAlign w:val="center"/>
          </w:tcPr>
          <w:p>
            <w:pPr>
              <w:pStyle w:val="TableContents"/>
              <w:bidi w:val="0"/>
              <w:spacing w:before="0" w:after="283"/>
              <w:jc w:val="left"/>
              <w:rPr/>
            </w:pPr>
            <w:r>
              <w:rPr/>
              <w:t>Sales and marketing expenses</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(302,527</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(228,378</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(33,659</w:t>
            </w:r>
          </w:p>
        </w:tc>
        <w:tc>
          <w:tcPr>
            <w:tcW w:w="290" w:type="dxa"/>
            <w:tcBorders/>
            <w:shd w:fill="D5EAEA" w:val="clear"/>
            <w:vAlign w:val="center"/>
          </w:tcPr>
          <w:p>
            <w:pPr>
              <w:pStyle w:val="TableContents"/>
              <w:bidi w:val="0"/>
              <w:spacing w:before="0" w:after="283"/>
              <w:ind w:left="0" w:right="0" w:firstLine="180"/>
              <w:jc w:val="left"/>
              <w:rPr/>
            </w:pPr>
            <w:r>
              <w:rPr/>
              <w:t>)</w:t>
            </w:r>
          </w:p>
        </w:tc>
      </w:tr>
      <w:tr>
        <w:trPr/>
        <w:tc>
          <w:tcPr>
            <w:tcW w:w="5750" w:type="dxa"/>
            <w:tcBorders/>
            <w:shd w:fill="FFFFFF" w:val="clear"/>
            <w:vAlign w:val="center"/>
          </w:tcPr>
          <w:p>
            <w:pPr>
              <w:pStyle w:val="TableContents"/>
              <w:bidi w:val="0"/>
              <w:spacing w:before="0" w:after="283"/>
              <w:jc w:val="left"/>
              <w:rPr/>
            </w:pPr>
            <w:r>
              <w:rPr/>
              <w:t>Product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(6,946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(810</w:t>
            </w:r>
          </w:p>
        </w:tc>
        <w:tc>
          <w:tcPr>
            <w:tcW w:w="290" w:type="dxa"/>
            <w:tcBorders/>
            <w:shd w:fill="FFFFFF" w:val="clear"/>
            <w:vAlign w:val="center"/>
          </w:tcPr>
          <w:p>
            <w:pPr>
              <w:pStyle w:val="TableContents"/>
              <w:bidi w:val="0"/>
              <w:spacing w:before="0" w:after="283"/>
              <w:ind w:left="0" w:right="0" w:firstLine="180"/>
              <w:jc w:val="left"/>
              <w:rPr/>
            </w:pPr>
            <w:r>
              <w:rPr/>
              <w:t>)</w:t>
            </w:r>
          </w:p>
        </w:tc>
      </w:tr>
      <w:tr>
        <w:trPr/>
        <w:tc>
          <w:tcPr>
            <w:tcW w:w="5750" w:type="dxa"/>
            <w:tcBorders/>
            <w:shd w:fill="D5EAEA" w:val="clear"/>
            <w:vAlign w:val="center"/>
          </w:tcPr>
          <w:p>
            <w:pPr>
              <w:pStyle w:val="TableContents"/>
              <w:bidi w:val="0"/>
              <w:spacing w:before="0" w:after="283"/>
              <w:jc w:val="left"/>
              <w:rPr/>
            </w:pPr>
            <w:r>
              <w:rPr/>
              <w:t>General and administrative expenses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(33,150</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(31,811</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(4,688</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(342,623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(265,687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(39,157</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5750" w:type="dxa"/>
            <w:tcBorders/>
            <w:shd w:fill="D5EAEA" w:val="clear"/>
            <w:vAlign w:val="center"/>
          </w:tcPr>
          <w:p>
            <w:pPr>
              <w:pStyle w:val="TableContents"/>
              <w:bidi w:val="0"/>
              <w:spacing w:before="0" w:after="283"/>
              <w:jc w:val="left"/>
              <w:rPr/>
            </w:pPr>
            <w:r>
              <w:rPr/>
              <w:t>Income from operations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126,751</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83,479</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12,304</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848</w:t>
            </w:r>
          </w:p>
        </w:tc>
        <w:tc>
          <w:tcPr>
            <w:tcW w:w="290" w:type="dxa"/>
            <w:tcBorders/>
            <w:shd w:fill="FFFFFF" w:val="cle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Interest expense</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(273</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w:t>
            </w:r>
          </w:p>
        </w:tc>
        <w:tc>
          <w:tcPr>
            <w:tcW w:w="290" w:type="dxa"/>
            <w:tcBorders/>
            <w:shd w:fill="D5EAEA"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8,314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1,225</w:t>
            </w:r>
          </w:p>
        </w:tc>
        <w:tc>
          <w:tcPr>
            <w:tcW w:w="290" w:type="dxa"/>
            <w:tcBorders/>
            <w:shd w:fill="FFFFFF" w:val="cle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Gain on disposal of subsidiaries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661</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97</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 xml:space="preserve">Income before income tax expenses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750" w:type="dxa"/>
            <w:tcBorders/>
            <w:shd w:fill="D5EAEA" w:val="clear"/>
            <w:vAlign w:val="center"/>
          </w:tcPr>
          <w:p>
            <w:pPr>
              <w:pStyle w:val="TableContents"/>
              <w:bidi w:val="0"/>
              <w:spacing w:before="0" w:after="283"/>
              <w:jc w:val="left"/>
              <w:rPr/>
            </w:pPr>
            <w:r>
              <w:rPr/>
              <w:t>and loss from equity method investments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140,452</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98,207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14,474</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(13,550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(2,087</w:t>
            </w:r>
          </w:p>
        </w:tc>
        <w:tc>
          <w:tcPr>
            <w:tcW w:w="290" w:type="dxa"/>
            <w:tcBorders/>
            <w:shd w:fill="FFFFFF" w:val="clear"/>
            <w:vAlign w:val="center"/>
          </w:tcPr>
          <w:p>
            <w:pPr>
              <w:pStyle w:val="TableContents"/>
              <w:bidi w:val="0"/>
              <w:spacing w:before="0" w:after="283"/>
              <w:jc w:val="left"/>
              <w:rPr/>
            </w:pPr>
            <w:r>
              <w:rPr/>
              <w:t>)</w:t>
            </w:r>
          </w:p>
        </w:tc>
      </w:tr>
      <w:tr>
        <w:trPr/>
        <w:tc>
          <w:tcPr>
            <w:tcW w:w="5750" w:type="dxa"/>
            <w:tcBorders/>
            <w:shd w:fill="D5EAEA" w:val="clear"/>
            <w:vAlign w:val="center"/>
          </w:tcPr>
          <w:p>
            <w:pPr>
              <w:pStyle w:val="TableContents"/>
              <w:bidi w:val="0"/>
              <w:spacing w:before="0" w:after="283"/>
              <w:jc w:val="left"/>
              <w:rPr/>
            </w:pPr>
            <w:r>
              <w:rPr/>
              <w:t>Loss from equity method investments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(257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(589</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(87</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126,645</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83,460</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12,300</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290" w:type="dxa"/>
            <w:tcBorders/>
            <w:shd w:fill="D5EAEA"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Less: 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Net income attributable to Sunlands Technology Group</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126,645</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83,460</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12,300</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Net income per share attributable to ordinary shareholders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750" w:type="dxa"/>
            <w:tcBorders/>
            <w:shd w:fill="D5EAEA" w:val="clear"/>
            <w:vAlign w:val="center"/>
          </w:tcPr>
          <w:p>
            <w:pPr>
              <w:pStyle w:val="TableContents"/>
              <w:bidi w:val="0"/>
              <w:spacing w:before="0" w:after="283"/>
              <w:jc w:val="left"/>
              <w:rPr/>
            </w:pPr>
            <w:r>
              <w:rPr/>
              <w:t>Sunlands Technology Group:</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290" w:type="dxa"/>
            <w:tcBorders/>
            <w:shd w:fill="D5EAEA" w:val="clear"/>
            <w:vAlign w:val="center"/>
          </w:tcPr>
          <w:p>
            <w:pPr>
              <w:pStyle w:val="TableContents"/>
              <w:bidi w:val="0"/>
              <w:spacing w:before="0" w:after="283"/>
              <w:ind w:left="0" w:right="0" w:firstLine="180"/>
              <w:jc w:val="left"/>
              <w:rPr/>
            </w:pPr>
            <w:r>
              <w:rPr/>
              <w:t> </w:t>
            </w:r>
          </w:p>
        </w:tc>
      </w:tr>
      <w:tr>
        <w:trPr/>
        <w:tc>
          <w:tcPr>
            <w:tcW w:w="575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1.85</w:t>
            </w:r>
          </w:p>
        </w:tc>
        <w:tc>
          <w:tcPr>
            <w:tcW w:w="290" w:type="dxa"/>
            <w:tcBorders/>
            <w:shd w:fill="FFFFFF" w:val="cle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Weighted average shares used in calculating net income</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290" w:type="dxa"/>
            <w:tcBorders/>
            <w:shd w:fill="D5EAEA" w:val="clear"/>
            <w:vAlign w:val="center"/>
          </w:tcPr>
          <w:p>
            <w:pPr>
              <w:pStyle w:val="TableContents"/>
              <w:bidi w:val="0"/>
              <w:spacing w:before="0" w:after="283"/>
              <w:ind w:left="0" w:right="0" w:firstLine="180"/>
              <w:jc w:val="left"/>
              <w:rPr/>
            </w:pPr>
            <w:r>
              <w:rPr/>
              <w:t> </w:t>
            </w:r>
          </w:p>
        </w:tc>
      </w:tr>
      <w:tr>
        <w:trPr/>
        <w:tc>
          <w:tcPr>
            <w:tcW w:w="5750" w:type="dxa"/>
            <w:tcBorders/>
            <w:shd w:fill="FFFFFF" w:val="clear"/>
            <w:vAlign w:val="center"/>
          </w:tcPr>
          <w:p>
            <w:pPr>
              <w:pStyle w:val="TableContents"/>
              <w:bidi w:val="0"/>
              <w:spacing w:before="0" w:after="283"/>
              <w:jc w:val="left"/>
              <w:rPr/>
            </w:pPr>
            <w:r>
              <w:rPr/>
              <w:t>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750" w:type="dxa"/>
            <w:tcBorders/>
            <w:shd w:fill="D5EAEA" w:val="clear"/>
            <w:vAlign w:val="center"/>
          </w:tcPr>
          <w:p>
            <w:pPr>
              <w:pStyle w:val="TableContents"/>
              <w:bidi w:val="0"/>
              <w:spacing w:before="0" w:after="283"/>
              <w:jc w:val="left"/>
              <w:rPr/>
            </w:pPr>
            <w:r>
              <w:rPr/>
              <w:t>Basic and diluted</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6,753,895</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6,633,622</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6,633,622</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48"/>
        <w:gridCol w:w="60"/>
        <w:gridCol w:w="71"/>
        <w:gridCol w:w="955"/>
        <w:gridCol w:w="112"/>
        <w:gridCol w:w="71"/>
        <w:gridCol w:w="71"/>
        <w:gridCol w:w="901"/>
        <w:gridCol w:w="112"/>
        <w:gridCol w:w="71"/>
        <w:gridCol w:w="71"/>
        <w:gridCol w:w="811"/>
        <w:gridCol w:w="351"/>
      </w:tblGrid>
      <w:tr>
        <w:trPr/>
        <w:tc>
          <w:tcPr>
            <w:tcW w:w="65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7" w:type="dxa"/>
            <w:gridSpan w:val="11"/>
            <w:tcBorders>
              <w:bottom w:val="single" w:sz="8" w:space="0" w:color="000000"/>
            </w:tcBorders>
            <w:tcMar>
              <w:bottom w:w="28" w:type="dxa"/>
            </w:tcMar>
            <w:vAlign w:val="center"/>
          </w:tcPr>
          <w:p>
            <w:pPr>
              <w:pStyle w:val="TableContents"/>
              <w:bidi w:val="0"/>
              <w:spacing w:before="0" w:after="283"/>
              <w:jc w:val="center"/>
              <w:rPr/>
            </w:pPr>
            <w:r>
              <w:rPr/>
              <w:t>For the Three Months Ended June 30,</w:t>
            </w:r>
          </w:p>
        </w:tc>
      </w:tr>
      <w:tr>
        <w:trPr/>
        <w:tc>
          <w:tcPr>
            <w:tcW w:w="65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71" w:type="dxa"/>
            <w:tcBorders/>
            <w:vAlign w:val="center"/>
          </w:tcPr>
          <w:p>
            <w:pPr>
              <w:pStyle w:val="TableContents"/>
              <w:bidi w:val="0"/>
              <w:spacing w:before="0" w:after="283"/>
              <w:jc w:val="left"/>
              <w:rPr/>
            </w:pPr>
            <w:r>
              <w:rPr/>
              <w:t> </w:t>
            </w:r>
          </w:p>
        </w:tc>
        <w:tc>
          <w:tcPr>
            <w:tcW w:w="2388" w:type="dxa"/>
            <w:gridSpan w:val="7"/>
            <w:tcBorders>
              <w:bottom w:val="single" w:sz="8" w:space="0" w:color="000000"/>
            </w:tcBorders>
            <w:tcMar>
              <w:bottom w:w="28" w:type="dxa"/>
            </w:tcMar>
            <w:vAlign w:val="center"/>
          </w:tcPr>
          <w:p>
            <w:pPr>
              <w:pStyle w:val="TableContents"/>
              <w:bidi w:val="0"/>
              <w:spacing w:before="0" w:after="283"/>
              <w:jc w:val="center"/>
              <w:rPr/>
            </w:pPr>
            <w:r>
              <w:rPr/>
              <w:t>2026</w:t>
            </w:r>
          </w:p>
        </w:tc>
      </w:tr>
      <w:tr>
        <w:trPr/>
        <w:tc>
          <w:tcPr>
            <w:tcW w:w="65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8" w:type="dxa"/>
            <w:gridSpan w:val="3"/>
            <w:tcBorders/>
            <w:vAlign w:val="center"/>
          </w:tcPr>
          <w:p>
            <w:pPr>
              <w:pStyle w:val="TableContents"/>
              <w:bidi w:val="0"/>
              <w:spacing w:before="0" w:after="283"/>
              <w:jc w:val="center"/>
              <w:rPr/>
            </w:pPr>
            <w:r>
              <w:rPr/>
              <w:t>RMB</w:t>
            </w:r>
          </w:p>
        </w:tc>
        <w:tc>
          <w:tcPr>
            <w:tcW w:w="71" w:type="dxa"/>
            <w:tcBorders/>
            <w:vAlign w:val="center"/>
          </w:tcPr>
          <w:p>
            <w:pPr>
              <w:pStyle w:val="TableContents"/>
              <w:bidi w:val="0"/>
              <w:spacing w:before="0" w:after="283"/>
              <w:jc w:val="left"/>
              <w:rPr/>
            </w:pPr>
            <w:r>
              <w:rPr/>
              <w:t> </w:t>
            </w:r>
          </w:p>
        </w:tc>
        <w:tc>
          <w:tcPr>
            <w:tcW w:w="1084" w:type="dxa"/>
            <w:gridSpan w:val="3"/>
            <w:tcBorders/>
            <w:vAlign w:val="center"/>
          </w:tcPr>
          <w:p>
            <w:pPr>
              <w:pStyle w:val="TableContents"/>
              <w:bidi w:val="0"/>
              <w:spacing w:before="0" w:after="283"/>
              <w:jc w:val="center"/>
              <w:rPr/>
            </w:pPr>
            <w:r>
              <w:rPr/>
              <w:t>RMB</w:t>
            </w:r>
          </w:p>
        </w:tc>
        <w:tc>
          <w:tcPr>
            <w:tcW w:w="71" w:type="dxa"/>
            <w:tcBorders/>
            <w:vAlign w:val="center"/>
          </w:tcPr>
          <w:p>
            <w:pPr>
              <w:pStyle w:val="TableContents"/>
              <w:bidi w:val="0"/>
              <w:spacing w:before="0" w:after="283"/>
              <w:jc w:val="left"/>
              <w:rPr/>
            </w:pPr>
            <w:r>
              <w:rPr/>
              <w:t> </w:t>
            </w:r>
          </w:p>
        </w:tc>
        <w:tc>
          <w:tcPr>
            <w:tcW w:w="1233" w:type="dxa"/>
            <w:gridSpan w:val="3"/>
            <w:tcBorders/>
            <w:vAlign w:val="center"/>
          </w:tcPr>
          <w:p>
            <w:pPr>
              <w:pStyle w:val="TableContents"/>
              <w:bidi w:val="0"/>
              <w:spacing w:before="0" w:after="283"/>
              <w:jc w:val="center"/>
              <w:rPr/>
            </w:pPr>
            <w:r>
              <w:rPr/>
              <w:t>US$</w:t>
            </w:r>
          </w:p>
        </w:tc>
      </w:tr>
      <w:tr>
        <w:trPr/>
        <w:tc>
          <w:tcPr>
            <w:tcW w:w="6548" w:type="dxa"/>
            <w:tcBorders/>
            <w:shd w:fill="D5EAEA" w:val="clear"/>
            <w:vAlign w:val="center"/>
          </w:tcPr>
          <w:p>
            <w:pPr>
              <w:pStyle w:val="TableContents"/>
              <w:bidi w:val="0"/>
              <w:spacing w:before="0" w:after="283"/>
              <w:jc w:val="left"/>
              <w:rPr/>
            </w:pPr>
            <w:r>
              <w:rPr/>
              <w:t>Net income</w:t>
            </w:r>
          </w:p>
        </w:tc>
        <w:tc>
          <w:tcPr>
            <w:tcW w:w="60" w:type="dxa"/>
            <w:tcBorders/>
            <w:shd w:fill="D5EAEA" w:val="cle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955" w:type="dxa"/>
            <w:tcBorders/>
            <w:shd w:fill="D5EAEA" w:val="clear"/>
            <w:vAlign w:val="center"/>
          </w:tcPr>
          <w:p>
            <w:pPr>
              <w:pStyle w:val="TableContents"/>
              <w:bidi w:val="0"/>
              <w:spacing w:before="0" w:after="283"/>
              <w:jc w:val="right"/>
              <w:rPr/>
            </w:pPr>
            <w:r>
              <w:rPr/>
              <w:t>126,645</w:t>
            </w:r>
          </w:p>
        </w:tc>
        <w:tc>
          <w:tcPr>
            <w:tcW w:w="112" w:type="dxa"/>
            <w:tcBorders/>
            <w:shd w:fill="D5EAEA" w:val="cle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901" w:type="dxa"/>
            <w:tcBorders/>
            <w:shd w:fill="D5EAEA" w:val="clear"/>
            <w:vAlign w:val="center"/>
          </w:tcPr>
          <w:p>
            <w:pPr>
              <w:pStyle w:val="TableContents"/>
              <w:bidi w:val="0"/>
              <w:spacing w:before="0" w:after="283"/>
              <w:jc w:val="right"/>
              <w:rPr/>
            </w:pPr>
            <w:r>
              <w:rPr/>
              <w:t>83,460</w:t>
            </w:r>
          </w:p>
        </w:tc>
        <w:tc>
          <w:tcPr>
            <w:tcW w:w="112" w:type="dxa"/>
            <w:tcBorders/>
            <w:shd w:fill="D5EAEA" w:val="cle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811" w:type="dxa"/>
            <w:tcBorders/>
            <w:shd w:fill="D5EAEA" w:val="clear"/>
            <w:vAlign w:val="center"/>
          </w:tcPr>
          <w:p>
            <w:pPr>
              <w:pStyle w:val="TableContents"/>
              <w:bidi w:val="0"/>
              <w:spacing w:before="0" w:after="283"/>
              <w:jc w:val="right"/>
              <w:rPr/>
            </w:pPr>
            <w:r>
              <w:rPr/>
              <w:t>12,300</w:t>
            </w:r>
          </w:p>
        </w:tc>
        <w:tc>
          <w:tcPr>
            <w:tcW w:w="351" w:type="dxa"/>
            <w:tcBorders/>
            <w:shd w:fill="D5EAEA" w:val="cle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283"/>
              <w:jc w:val="left"/>
              <w:rPr/>
            </w:pPr>
            <w:r>
              <w:rPr/>
              <w:t>Other comprehensive (loss)/gain, net of tax effect of nil:</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5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pPr>
            <w:r>
              <w:rPr/>
              <w:t> </w:t>
            </w:r>
          </w:p>
        </w:tc>
        <w:tc>
          <w:tcPr>
            <w:tcW w:w="351" w:type="dxa"/>
            <w:tcBorders/>
            <w:shd w:fill="FFFFFF" w:val="clear"/>
            <w:vAlign w:val="center"/>
          </w:tcPr>
          <w:p>
            <w:pPr>
              <w:pStyle w:val="TableContents"/>
              <w:bidi w:val="0"/>
              <w:spacing w:before="0" w:after="283"/>
              <w:ind w:left="0" w:right="0" w:firstLine="180"/>
              <w:jc w:val="left"/>
              <w:rPr/>
            </w:pPr>
            <w:r>
              <w:rPr/>
              <w:t> </w:t>
            </w:r>
          </w:p>
        </w:tc>
      </w:tr>
      <w:tr>
        <w:trPr/>
        <w:tc>
          <w:tcPr>
            <w:tcW w:w="6548" w:type="dxa"/>
            <w:tcBorders/>
            <w:shd w:fill="D5EAEA" w:val="clear"/>
            <w:vAlign w:val="center"/>
          </w:tcPr>
          <w:p>
            <w:pPr>
              <w:pStyle w:val="TableContents"/>
              <w:bidi w:val="0"/>
              <w:spacing w:before="0" w:after="283"/>
              <w:jc w:val="left"/>
              <w:rPr/>
            </w:pPr>
            <w:r>
              <w:rPr/>
              <w:t>Change in cumulative foreign currency translation adjustments</w:t>
            </w:r>
          </w:p>
        </w:tc>
        <w:tc>
          <w:tcPr>
            <w:tcW w:w="60" w:type="dxa"/>
            <w:tcBorders/>
            <w:shd w:fill="D5EAEA" w:val="cle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955" w:type="dxa"/>
            <w:tcBorders/>
            <w:shd w:fill="D5EAEA" w:val="clear"/>
            <w:vAlign w:val="center"/>
          </w:tcPr>
          <w:p>
            <w:pPr>
              <w:pStyle w:val="TableContents"/>
              <w:bidi w:val="0"/>
              <w:spacing w:before="0" w:after="283"/>
              <w:jc w:val="right"/>
              <w:rPr/>
            </w:pPr>
            <w:r>
              <w:rPr/>
              <w:t>(7,885</w:t>
            </w:r>
          </w:p>
        </w:tc>
        <w:tc>
          <w:tcPr>
            <w:tcW w:w="112" w:type="dxa"/>
            <w:tcBorders/>
            <w:shd w:fill="D5EAEA" w:val="clear"/>
            <w:vAlign w:val="center"/>
          </w:tcPr>
          <w:p>
            <w:pPr>
              <w:pStyle w:val="TableContents"/>
              <w:bidi w:val="0"/>
              <w:spacing w:before="0" w:after="283"/>
              <w:jc w:val="left"/>
              <w:rPr/>
            </w:pPr>
            <w:r>
              <w:rPr/>
              <w:t>)</w:t>
            </w:r>
          </w:p>
        </w:tc>
        <w:tc>
          <w:tcPr>
            <w:tcW w:w="71" w:type="dxa"/>
            <w:tcBorders/>
            <w:shd w:fill="D5EAEA" w:val="cle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901" w:type="dxa"/>
            <w:tcBorders/>
            <w:shd w:fill="D5EAEA" w:val="clear"/>
            <w:vAlign w:val="center"/>
          </w:tcPr>
          <w:p>
            <w:pPr>
              <w:pStyle w:val="TableContents"/>
              <w:bidi w:val="0"/>
              <w:spacing w:before="0" w:after="283"/>
              <w:jc w:val="right"/>
              <w:rPr/>
            </w:pPr>
            <w:r>
              <w:rPr/>
              <w:t>(12,510</w:t>
            </w:r>
          </w:p>
        </w:tc>
        <w:tc>
          <w:tcPr>
            <w:tcW w:w="112" w:type="dxa"/>
            <w:tcBorders/>
            <w:shd w:fill="D5EAEA" w:val="clear"/>
            <w:vAlign w:val="center"/>
          </w:tcPr>
          <w:p>
            <w:pPr>
              <w:pStyle w:val="TableContents"/>
              <w:bidi w:val="0"/>
              <w:spacing w:before="0" w:after="283"/>
              <w:jc w:val="left"/>
              <w:rPr/>
            </w:pPr>
            <w:r>
              <w:rPr/>
              <w:t>)</w:t>
            </w:r>
          </w:p>
        </w:tc>
        <w:tc>
          <w:tcPr>
            <w:tcW w:w="71" w:type="dxa"/>
            <w:tcBorders/>
            <w:shd w:fill="D5EAEA" w:val="cle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811" w:type="dxa"/>
            <w:tcBorders/>
            <w:shd w:fill="D5EAEA" w:val="clear"/>
            <w:vAlign w:val="center"/>
          </w:tcPr>
          <w:p>
            <w:pPr>
              <w:pStyle w:val="TableContents"/>
              <w:bidi w:val="0"/>
              <w:spacing w:before="0" w:after="283"/>
              <w:jc w:val="right"/>
              <w:rPr/>
            </w:pPr>
            <w:r>
              <w:rPr/>
              <w:t>(1,844</w:t>
            </w:r>
          </w:p>
        </w:tc>
        <w:tc>
          <w:tcPr>
            <w:tcW w:w="351" w:type="dxa"/>
            <w:tcBorders/>
            <w:shd w:fill="D5EAEA" w:val="clear"/>
            <w:vAlign w:val="center"/>
          </w:tcPr>
          <w:p>
            <w:pPr>
              <w:pStyle w:val="TableContents"/>
              <w:bidi w:val="0"/>
              <w:spacing w:before="0" w:after="283"/>
              <w:ind w:left="0" w:right="0" w:firstLine="180"/>
              <w:jc w:val="left"/>
              <w:rPr/>
            </w:pPr>
            <w:r>
              <w:rPr/>
              <w:t>)</w:t>
            </w:r>
          </w:p>
        </w:tc>
      </w:tr>
      <w:tr>
        <w:trPr/>
        <w:tc>
          <w:tcPr>
            <w:tcW w:w="6548" w:type="dxa"/>
            <w:tcBorders/>
            <w:shd w:fill="FFFFFF" w:val="clear"/>
            <w:vAlign w:val="center"/>
          </w:tcPr>
          <w:p>
            <w:pPr>
              <w:pStyle w:val="TableContents"/>
              <w:bidi w:val="0"/>
              <w:spacing w:before="0" w:after="283"/>
              <w:jc w:val="left"/>
              <w:rPr/>
            </w:pPr>
            <w:r>
              <w:rPr/>
              <w:t>Unrealized gain on available-for-sale investments, net of tax effect of nil</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pPr>
            <w:r>
              <w:rPr/>
              <w:t>11,311</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6,510</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FFFFFF" w:val="clear"/>
            <w:tcMar>
              <w:bottom w:w="28" w:type="dxa"/>
            </w:tcMar>
            <w:vAlign w:val="center"/>
          </w:tcPr>
          <w:p>
            <w:pPr>
              <w:pStyle w:val="TableContents"/>
              <w:bidi w:val="0"/>
              <w:spacing w:before="0" w:after="283"/>
              <w:jc w:val="right"/>
              <w:rPr/>
            </w:pPr>
            <w:r>
              <w:rPr/>
              <w:t>959</w:t>
            </w:r>
          </w:p>
        </w:tc>
        <w:tc>
          <w:tcPr>
            <w:tcW w:w="3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548" w:type="dxa"/>
            <w:tcBorders/>
            <w:shd w:fill="D5EAEA" w:val="clear"/>
            <w:vAlign w:val="center"/>
          </w:tcPr>
          <w:p>
            <w:pPr>
              <w:pStyle w:val="TableContents"/>
              <w:bidi w:val="0"/>
              <w:spacing w:before="0" w:after="283"/>
              <w:jc w:val="left"/>
              <w:rPr/>
            </w:pPr>
            <w:r>
              <w:rPr/>
              <w:t>Total comprehensive income</w:t>
            </w:r>
          </w:p>
        </w:tc>
        <w:tc>
          <w:tcPr>
            <w:tcW w:w="60" w:type="dxa"/>
            <w:tcBorders/>
            <w:shd w:fill="D5EAEA" w:val="clear"/>
            <w:vAlign w:val="center"/>
          </w:tcPr>
          <w:p>
            <w:pPr>
              <w:pStyle w:val="TableContents"/>
              <w:bidi w:val="0"/>
              <w:spacing w:before="0" w:after="283"/>
              <w:jc w:val="left"/>
              <w:rPr/>
            </w:pPr>
            <w:r>
              <w:rPr/>
              <w:t> </w:t>
            </w:r>
          </w:p>
        </w:tc>
        <w:tc>
          <w:tcPr>
            <w:tcW w:w="7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D5EAEA" w:val="clear"/>
            <w:tcMar>
              <w:bottom w:w="28" w:type="dxa"/>
            </w:tcMar>
            <w:vAlign w:val="center"/>
          </w:tcPr>
          <w:p>
            <w:pPr>
              <w:pStyle w:val="TableContents"/>
              <w:bidi w:val="0"/>
              <w:spacing w:before="0" w:after="283"/>
              <w:jc w:val="right"/>
              <w:rPr/>
            </w:pPr>
            <w:r>
              <w:rPr/>
              <w:t>130,071</w:t>
            </w:r>
          </w:p>
        </w:tc>
        <w:tc>
          <w:tcPr>
            <w:tcW w:w="11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7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D5EAEA" w:val="clear"/>
            <w:tcMar>
              <w:bottom w:w="28" w:type="dxa"/>
            </w:tcMar>
            <w:vAlign w:val="center"/>
          </w:tcPr>
          <w:p>
            <w:pPr>
              <w:pStyle w:val="TableContents"/>
              <w:bidi w:val="0"/>
              <w:spacing w:before="0" w:after="283"/>
              <w:jc w:val="right"/>
              <w:rPr/>
            </w:pPr>
            <w:r>
              <w:rPr/>
              <w:t>77,460</w:t>
            </w:r>
          </w:p>
        </w:tc>
        <w:tc>
          <w:tcPr>
            <w:tcW w:w="11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7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D5EAEA" w:val="clear"/>
            <w:tcMar>
              <w:bottom w:w="28" w:type="dxa"/>
            </w:tcMar>
            <w:vAlign w:val="center"/>
          </w:tcPr>
          <w:p>
            <w:pPr>
              <w:pStyle w:val="TableContents"/>
              <w:bidi w:val="0"/>
              <w:spacing w:before="0" w:after="283"/>
              <w:jc w:val="right"/>
              <w:rPr/>
            </w:pPr>
            <w:r>
              <w:rPr/>
              <w:t>11,415</w:t>
            </w:r>
          </w:p>
        </w:tc>
        <w:tc>
          <w:tcPr>
            <w:tcW w:w="35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6548" w:type="dxa"/>
            <w:tcBorders/>
            <w:shd w:fill="FFFFFF" w:val="clear"/>
            <w:vAlign w:val="center"/>
          </w:tcPr>
          <w:p>
            <w:pPr>
              <w:pStyle w:val="TableContents"/>
              <w:bidi w:val="0"/>
              <w:spacing w:before="0" w:after="283"/>
              <w:jc w:val="left"/>
              <w:rPr/>
            </w:pPr>
            <w:r>
              <w:rPr/>
              <w:t xml:space="preserve">Less: comprehensive income attributable to non-controlling interest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7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51" w:type="dxa"/>
            <w:tcBorders>
              <w:bottom w:val="single" w:sz="8" w:space="0" w:color="000000"/>
            </w:tcBorders>
            <w:shd w:fill="FFFFFF" w:val="clear"/>
            <w:tcMar>
              <w:bottom w:w="28" w:type="dxa"/>
            </w:tcMar>
            <w:vAlign w:val="center"/>
          </w:tcPr>
          <w:p>
            <w:pPr>
              <w:pStyle w:val="TableContents"/>
              <w:bidi w:val="0"/>
              <w:spacing w:before="0" w:after="283"/>
              <w:ind w:left="0" w:right="0" w:hanging="360"/>
              <w:jc w:val="left"/>
              <w:rPr/>
            </w:pPr>
            <w:r>
              <w:rPr/>
              <w:t> </w:t>
            </w:r>
          </w:p>
        </w:tc>
      </w:tr>
      <w:tr>
        <w:trPr/>
        <w:tc>
          <w:tcPr>
            <w:tcW w:w="6548" w:type="dxa"/>
            <w:tcBorders/>
            <w:shd w:fill="D5EAEA" w:val="clear"/>
            <w:vAlign w:val="center"/>
          </w:tcPr>
          <w:p>
            <w:pPr>
              <w:pStyle w:val="TableContents"/>
              <w:bidi w:val="0"/>
              <w:spacing w:before="0" w:after="283"/>
              <w:jc w:val="left"/>
              <w:rPr/>
            </w:pPr>
            <w:r>
              <w:rPr/>
              <w:t>Comprehensive income attributable to Sunlands Technology Group</w:t>
            </w:r>
          </w:p>
        </w:tc>
        <w:tc>
          <w:tcPr>
            <w:tcW w:w="60" w:type="dxa"/>
            <w:tcBorders/>
            <w:shd w:fill="D5EAEA" w:val="clear"/>
            <w:vAlign w:val="center"/>
          </w:tcPr>
          <w:p>
            <w:pPr>
              <w:pStyle w:val="TableContents"/>
              <w:bidi w:val="0"/>
              <w:spacing w:before="0" w:after="283"/>
              <w:jc w:val="left"/>
              <w:rPr/>
            </w:pPr>
            <w:r>
              <w:rPr/>
              <w:t> </w:t>
            </w:r>
          </w:p>
        </w:tc>
        <w:tc>
          <w:tcPr>
            <w:tcW w:w="7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55" w:type="dxa"/>
            <w:tcBorders>
              <w:bottom w:val="single" w:sz="8" w:space="0" w:color="000000"/>
            </w:tcBorders>
            <w:shd w:fill="D5EAEA" w:val="clear"/>
            <w:tcMar>
              <w:bottom w:w="28" w:type="dxa"/>
            </w:tcMar>
            <w:vAlign w:val="center"/>
          </w:tcPr>
          <w:p>
            <w:pPr>
              <w:pStyle w:val="TableContents"/>
              <w:bidi w:val="0"/>
              <w:spacing w:before="0" w:after="283"/>
              <w:jc w:val="right"/>
              <w:rPr/>
            </w:pPr>
            <w:r>
              <w:rPr/>
              <w:t>130,071</w:t>
            </w:r>
          </w:p>
        </w:tc>
        <w:tc>
          <w:tcPr>
            <w:tcW w:w="11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7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01" w:type="dxa"/>
            <w:tcBorders>
              <w:bottom w:val="single" w:sz="8" w:space="0" w:color="000000"/>
            </w:tcBorders>
            <w:shd w:fill="D5EAEA" w:val="clear"/>
            <w:tcMar>
              <w:bottom w:w="28" w:type="dxa"/>
            </w:tcMar>
            <w:vAlign w:val="center"/>
          </w:tcPr>
          <w:p>
            <w:pPr>
              <w:pStyle w:val="TableContents"/>
              <w:bidi w:val="0"/>
              <w:spacing w:before="0" w:after="283"/>
              <w:jc w:val="right"/>
              <w:rPr/>
            </w:pPr>
            <w:r>
              <w:rPr/>
              <w:t>77,460</w:t>
            </w:r>
          </w:p>
        </w:tc>
        <w:tc>
          <w:tcPr>
            <w:tcW w:w="11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71" w:type="dxa"/>
            <w:tcBorders/>
            <w:shd w:fill="D5EAEA" w:val="clear"/>
            <w:vAlign w:val="center"/>
          </w:tcPr>
          <w:p>
            <w:pPr>
              <w:pStyle w:val="TableContents"/>
              <w:bidi w:val="0"/>
              <w:spacing w:before="0" w:after="283"/>
              <w:jc w:val="left"/>
              <w:rPr/>
            </w:pPr>
            <w:r>
              <w:rPr/>
              <w:t> </w:t>
            </w:r>
          </w:p>
        </w:tc>
        <w:tc>
          <w:tcPr>
            <w:tcW w:w="7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11" w:type="dxa"/>
            <w:tcBorders>
              <w:bottom w:val="single" w:sz="8" w:space="0" w:color="000000"/>
            </w:tcBorders>
            <w:shd w:fill="D5EAEA" w:val="clear"/>
            <w:tcMar>
              <w:bottom w:w="28" w:type="dxa"/>
            </w:tcMar>
            <w:vAlign w:val="center"/>
          </w:tcPr>
          <w:p>
            <w:pPr>
              <w:pStyle w:val="TableContents"/>
              <w:bidi w:val="0"/>
              <w:spacing w:before="0" w:after="283"/>
              <w:jc w:val="right"/>
              <w:rPr/>
            </w:pPr>
            <w:r>
              <w:rPr/>
              <w:t>11,415</w:t>
            </w:r>
          </w:p>
        </w:tc>
        <w:tc>
          <w:tcPr>
            <w:tcW w:w="35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7687" w:type="dxa"/>
        <w:jc w:val="left"/>
        <w:tblInd w:w="0" w:type="dxa"/>
        <w:tblLayout w:type="fixed"/>
        <w:tblCellMar>
          <w:top w:w="0" w:type="dxa"/>
          <w:left w:w="0" w:type="dxa"/>
          <w:bottom w:w="0" w:type="dxa"/>
          <w:right w:w="0" w:type="dxa"/>
        </w:tblCellMar>
      </w:tblPr>
      <w:tblGrid>
        <w:gridCol w:w="3995"/>
        <w:gridCol w:w="60"/>
        <w:gridCol w:w="102"/>
        <w:gridCol w:w="1489"/>
        <w:gridCol w:w="161"/>
        <w:gridCol w:w="102"/>
        <w:gridCol w:w="102"/>
        <w:gridCol w:w="1489"/>
        <w:gridCol w:w="187"/>
      </w:tblGrid>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32" w:type="dxa"/>
            <w:gridSpan w:val="7"/>
            <w:tcBorders>
              <w:bottom w:val="single" w:sz="8" w:space="0" w:color="000000"/>
            </w:tcBorders>
            <w:tcMar>
              <w:bottom w:w="28" w:type="dxa"/>
            </w:tcMar>
            <w:vAlign w:val="center"/>
          </w:tcPr>
          <w:p>
            <w:pPr>
              <w:pStyle w:val="TableContents"/>
              <w:bidi w:val="0"/>
              <w:spacing w:before="0" w:after="283"/>
              <w:jc w:val="center"/>
              <w:rPr/>
            </w:pPr>
            <w:r>
              <w:rPr/>
              <w:t>For the Three Months Ended June 30,</w:t>
            </w:r>
          </w:p>
        </w:tc>
      </w:tr>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52"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102" w:type="dxa"/>
            <w:tcBorders/>
            <w:vAlign w:val="center"/>
          </w:tcPr>
          <w:p>
            <w:pPr>
              <w:pStyle w:val="TableContents"/>
              <w:bidi w:val="0"/>
              <w:spacing w:before="0" w:after="283"/>
              <w:jc w:val="left"/>
              <w:rPr/>
            </w:pPr>
            <w:r>
              <w:rPr/>
              <w:t> </w:t>
            </w:r>
          </w:p>
        </w:tc>
        <w:tc>
          <w:tcPr>
            <w:tcW w:w="1778" w:type="dxa"/>
            <w:gridSpan w:val="3"/>
            <w:tcBorders>
              <w:bottom w:val="single" w:sz="8" w:space="0" w:color="000000"/>
            </w:tcBorders>
            <w:tcMar>
              <w:bottom w:w="28" w:type="dxa"/>
            </w:tcMar>
            <w:vAlign w:val="center"/>
          </w:tcPr>
          <w:p>
            <w:pPr>
              <w:pStyle w:val="TableContents"/>
              <w:bidi w:val="0"/>
              <w:spacing w:before="0" w:after="283"/>
              <w:jc w:val="center"/>
              <w:rPr/>
            </w:pPr>
            <w:r>
              <w:rPr/>
              <w:t>2026</w:t>
            </w:r>
          </w:p>
        </w:tc>
      </w:tr>
      <w:tr>
        <w:trPr/>
        <w:tc>
          <w:tcPr>
            <w:tcW w:w="39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52" w:type="dxa"/>
            <w:gridSpan w:val="3"/>
            <w:tcBorders/>
            <w:vAlign w:val="center"/>
          </w:tcPr>
          <w:p>
            <w:pPr>
              <w:pStyle w:val="TableContents"/>
              <w:bidi w:val="0"/>
              <w:spacing w:before="0" w:after="283"/>
              <w:jc w:val="center"/>
              <w:rPr/>
            </w:pPr>
            <w:r>
              <w:rPr/>
              <w:t>RMB</w:t>
            </w:r>
          </w:p>
        </w:tc>
        <w:tc>
          <w:tcPr>
            <w:tcW w:w="102" w:type="dxa"/>
            <w:tcBorders/>
            <w:vAlign w:val="center"/>
          </w:tcPr>
          <w:p>
            <w:pPr>
              <w:pStyle w:val="TableContents"/>
              <w:bidi w:val="0"/>
              <w:spacing w:before="0" w:after="283"/>
              <w:jc w:val="left"/>
              <w:rPr/>
            </w:pPr>
            <w:r>
              <w:rPr/>
              <w:t> </w:t>
            </w:r>
          </w:p>
        </w:tc>
        <w:tc>
          <w:tcPr>
            <w:tcW w:w="1778" w:type="dxa"/>
            <w:gridSpan w:val="3"/>
            <w:tcBorders/>
            <w:vAlign w:val="center"/>
          </w:tcPr>
          <w:p>
            <w:pPr>
              <w:pStyle w:val="TableContents"/>
              <w:bidi w:val="0"/>
              <w:spacing w:before="0" w:after="283"/>
              <w:jc w:val="center"/>
              <w:rPr/>
            </w:pPr>
            <w:r>
              <w:rPr/>
              <w:t>RMB</w:t>
            </w:r>
          </w:p>
        </w:tc>
      </w:tr>
      <w:tr>
        <w:trPr/>
        <w:tc>
          <w:tcPr>
            <w:tcW w:w="3995" w:type="dxa"/>
            <w:tcBorders/>
            <w:shd w:fill="D5EAEA" w:val="clear"/>
            <w:vAlign w:val="center"/>
          </w:tcPr>
          <w:p>
            <w:pPr>
              <w:pStyle w:val="TableContents"/>
              <w:bidi w:val="0"/>
              <w:spacing w:before="0" w:after="283"/>
              <w:jc w:val="both"/>
              <w:rPr/>
            </w:pPr>
            <w:r>
              <w:rPr/>
              <w:t>Net revenues</w:t>
            </w:r>
          </w:p>
        </w:tc>
        <w:tc>
          <w:tcPr>
            <w:tcW w:w="60" w:type="dxa"/>
            <w:tcBorders/>
            <w:shd w:fill="D5EAEA" w:val="clear"/>
            <w:vAlign w:val="center"/>
          </w:tcPr>
          <w:p>
            <w:pPr>
              <w:pStyle w:val="TableContents"/>
              <w:bidi w:val="0"/>
              <w:spacing w:before="0" w:after="283"/>
              <w:jc w:val="left"/>
              <w:rPr/>
            </w:pPr>
            <w:r>
              <w:rPr/>
              <w:t> </w:t>
            </w:r>
          </w:p>
        </w:tc>
        <w:tc>
          <w:tcPr>
            <w:tcW w:w="10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D5EAEA" w:val="clear"/>
            <w:tcMar>
              <w:bottom w:w="28" w:type="dxa"/>
            </w:tcMar>
            <w:vAlign w:val="center"/>
          </w:tcPr>
          <w:p>
            <w:pPr>
              <w:pStyle w:val="TableContents"/>
              <w:bidi w:val="0"/>
              <w:spacing w:before="0" w:after="283"/>
              <w:jc w:val="right"/>
              <w:rPr/>
            </w:pPr>
            <w:r>
              <w:rPr/>
              <w:t>539,015</w:t>
            </w:r>
          </w:p>
        </w:tc>
        <w:tc>
          <w:tcPr>
            <w:tcW w:w="16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D5EAEA" w:val="clear"/>
            <w:tcMar>
              <w:bottom w:w="28" w:type="dxa"/>
            </w:tcMar>
            <w:vAlign w:val="center"/>
          </w:tcPr>
          <w:p>
            <w:pPr>
              <w:pStyle w:val="TableContents"/>
              <w:bidi w:val="0"/>
              <w:spacing w:before="0" w:after="283"/>
              <w:jc w:val="right"/>
              <w:rPr/>
            </w:pPr>
            <w:r>
              <w:rPr/>
              <w:t>406,367</w:t>
            </w:r>
          </w:p>
        </w:tc>
        <w:tc>
          <w:tcPr>
            <w:tcW w:w="187"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Less: other revenues</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(60,566</w:t>
            </w:r>
          </w:p>
        </w:tc>
        <w:tc>
          <w:tcPr>
            <w:tcW w:w="161"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(51,826</w:t>
            </w:r>
          </w:p>
        </w:tc>
        <w:tc>
          <w:tcPr>
            <w:tcW w:w="187" w:type="dxa"/>
            <w:tcBorders/>
            <w:shd w:fill="FFFFFF" w:val="clear"/>
            <w:vAlign w:val="center"/>
          </w:tcPr>
          <w:p>
            <w:pPr>
              <w:pStyle w:val="TableContents"/>
              <w:bidi w:val="0"/>
              <w:spacing w:before="0" w:after="283"/>
              <w:jc w:val="left"/>
              <w:rPr/>
            </w:pPr>
            <w:r>
              <w:rPr/>
              <w:t>)</w:t>
            </w:r>
          </w:p>
        </w:tc>
      </w:tr>
      <w:tr>
        <w:trPr/>
        <w:tc>
          <w:tcPr>
            <w:tcW w:w="3995" w:type="dxa"/>
            <w:tcBorders/>
            <w:shd w:fill="D5EAEA" w:val="clear"/>
            <w:vAlign w:val="center"/>
          </w:tcPr>
          <w:p>
            <w:pPr>
              <w:pStyle w:val="TableContents"/>
              <w:bidi w:val="0"/>
              <w:spacing w:before="0" w:after="283"/>
              <w:jc w:val="both"/>
              <w:rPr/>
            </w:pPr>
            <w:r>
              <w:rPr/>
              <w:t>Add: tax and surcharges</w:t>
            </w:r>
          </w:p>
        </w:tc>
        <w:tc>
          <w:tcPr>
            <w:tcW w:w="60"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19,761</w:t>
            </w:r>
          </w:p>
        </w:tc>
        <w:tc>
          <w:tcPr>
            <w:tcW w:w="161"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12,928</w:t>
            </w:r>
          </w:p>
        </w:tc>
        <w:tc>
          <w:tcPr>
            <w:tcW w:w="187"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Add: ending deferred revenue</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814,277</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433,454</w:t>
            </w:r>
          </w:p>
        </w:tc>
        <w:tc>
          <w:tcPr>
            <w:tcW w:w="187" w:type="dxa"/>
            <w:tcBorders/>
            <w:shd w:fill="FFFFFF" w:val="cle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both"/>
              <w:rPr/>
            </w:pPr>
            <w:r>
              <w:rPr/>
              <w:t>Add: ending refund liability</w:t>
            </w:r>
          </w:p>
        </w:tc>
        <w:tc>
          <w:tcPr>
            <w:tcW w:w="60"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77,942</w:t>
            </w:r>
          </w:p>
        </w:tc>
        <w:tc>
          <w:tcPr>
            <w:tcW w:w="161"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43,368</w:t>
            </w:r>
          </w:p>
        </w:tc>
        <w:tc>
          <w:tcPr>
            <w:tcW w:w="187"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Less: beginning deferred revenue</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(891,617</w:t>
            </w:r>
          </w:p>
        </w:tc>
        <w:tc>
          <w:tcPr>
            <w:tcW w:w="161" w:type="dxa"/>
            <w:tcBorders/>
            <w:shd w:fill="FFFFFF" w:val="cle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(500,548</w:t>
            </w:r>
          </w:p>
        </w:tc>
        <w:tc>
          <w:tcPr>
            <w:tcW w:w="187" w:type="dxa"/>
            <w:tcBorders/>
            <w:shd w:fill="FFFFFF" w:val="clear"/>
            <w:vAlign w:val="center"/>
          </w:tcPr>
          <w:p>
            <w:pPr>
              <w:pStyle w:val="TableContents"/>
              <w:bidi w:val="0"/>
              <w:spacing w:before="0" w:after="283"/>
              <w:jc w:val="left"/>
              <w:rPr/>
            </w:pPr>
            <w:r>
              <w:rPr/>
              <w:t>)</w:t>
            </w:r>
          </w:p>
        </w:tc>
      </w:tr>
      <w:tr>
        <w:trPr/>
        <w:tc>
          <w:tcPr>
            <w:tcW w:w="3995" w:type="dxa"/>
            <w:tcBorders/>
            <w:shd w:fill="D5EAEA" w:val="clear"/>
            <w:vAlign w:val="center"/>
          </w:tcPr>
          <w:p>
            <w:pPr>
              <w:pStyle w:val="TableContents"/>
              <w:bidi w:val="0"/>
              <w:spacing w:before="0" w:after="283"/>
              <w:jc w:val="both"/>
              <w:rPr/>
            </w:pPr>
            <w:r>
              <w:rPr/>
              <w:t>Less: beginning refund liability</w:t>
            </w:r>
          </w:p>
        </w:tc>
        <w:tc>
          <w:tcPr>
            <w:tcW w:w="60" w:type="dxa"/>
            <w:tcBorders/>
            <w:shd w:fill="D5EAEA" w:val="clear"/>
            <w:vAlign w:val="center"/>
          </w:tcPr>
          <w:p>
            <w:pPr>
              <w:pStyle w:val="TableContents"/>
              <w:bidi w:val="0"/>
              <w:spacing w:before="0" w:after="283"/>
              <w:jc w:val="left"/>
              <w:rPr/>
            </w:pPr>
            <w:r>
              <w:rPr/>
              <w:t> </w:t>
            </w:r>
          </w:p>
        </w:tc>
        <w:tc>
          <w:tcPr>
            <w:tcW w:w="10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D5EAEA" w:val="clear"/>
            <w:tcMar>
              <w:bottom w:w="28" w:type="dxa"/>
            </w:tcMar>
            <w:vAlign w:val="center"/>
          </w:tcPr>
          <w:p>
            <w:pPr>
              <w:pStyle w:val="TableContents"/>
              <w:bidi w:val="0"/>
              <w:spacing w:before="0" w:after="283"/>
              <w:jc w:val="right"/>
              <w:rPr/>
            </w:pPr>
            <w:r>
              <w:rPr/>
              <w:t>(98,516</w:t>
            </w:r>
          </w:p>
        </w:tc>
        <w:tc>
          <w:tcPr>
            <w:tcW w:w="161"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102" w:type="dxa"/>
            <w:tcBorders/>
            <w:shd w:fill="D5EAEA" w:val="clear"/>
            <w:vAlign w:val="center"/>
          </w:tcPr>
          <w:p>
            <w:pPr>
              <w:pStyle w:val="TableContents"/>
              <w:bidi w:val="0"/>
              <w:spacing w:before="0" w:after="283"/>
              <w:jc w:val="left"/>
              <w:rPr/>
            </w:pPr>
            <w:r>
              <w:rPr/>
              <w:t> </w:t>
            </w:r>
          </w:p>
        </w:tc>
        <w:tc>
          <w:tcPr>
            <w:tcW w:w="10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D5EAEA" w:val="clear"/>
            <w:tcMar>
              <w:bottom w:w="28" w:type="dxa"/>
            </w:tcMar>
            <w:vAlign w:val="center"/>
          </w:tcPr>
          <w:p>
            <w:pPr>
              <w:pStyle w:val="TableContents"/>
              <w:bidi w:val="0"/>
              <w:spacing w:before="0" w:after="283"/>
              <w:jc w:val="right"/>
              <w:rPr/>
            </w:pPr>
            <w:r>
              <w:rPr/>
              <w:t>(57,553</w:t>
            </w:r>
          </w:p>
        </w:tc>
        <w:tc>
          <w:tcPr>
            <w:tcW w:w="187"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both"/>
              <w:rPr/>
            </w:pPr>
            <w:r>
              <w:rPr/>
              <w:t>Gross billings (non-GAAP)</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pPr>
            <w:r>
              <w:rPr/>
              <w:t>400,296</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double" w:sz="6" w:space="0" w:color="000000"/>
            </w:tcBorders>
            <w:shd w:fill="FFFFFF" w:val="clear"/>
            <w:tcMar>
              <w:bottom w:w="28" w:type="dxa"/>
            </w:tcMar>
            <w:vAlign w:val="center"/>
          </w:tcPr>
          <w:p>
            <w:pPr>
              <w:pStyle w:val="TableContents"/>
              <w:bidi w:val="0"/>
              <w:spacing w:before="0" w:after="283"/>
              <w:jc w:val="right"/>
              <w:rPr/>
            </w:pPr>
            <w:r>
              <w:rPr/>
              <w:t>286,190</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both"/>
              <w:rPr/>
            </w:pPr>
            <w:r>
              <w:rPr/>
              <w:t> </w:t>
            </w:r>
          </w:p>
        </w:tc>
        <w:tc>
          <w:tcPr>
            <w:tcW w:w="60"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 </w:t>
            </w:r>
          </w:p>
        </w:tc>
        <w:tc>
          <w:tcPr>
            <w:tcW w:w="161"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 </w:t>
            </w:r>
          </w:p>
        </w:tc>
        <w:tc>
          <w:tcPr>
            <w:tcW w:w="187"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 </w:t>
            </w:r>
          </w:p>
        </w:tc>
        <w:tc>
          <w:tcPr>
            <w:tcW w:w="187" w:type="dxa"/>
            <w:tcBorders/>
            <w:shd w:fill="FFFFFF" w:val="cle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both"/>
              <w:rPr/>
            </w:pPr>
            <w:r>
              <w:rPr/>
              <w:t> </w:t>
            </w:r>
          </w:p>
        </w:tc>
        <w:tc>
          <w:tcPr>
            <w:tcW w:w="60"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 </w:t>
            </w:r>
          </w:p>
        </w:tc>
        <w:tc>
          <w:tcPr>
            <w:tcW w:w="161"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 </w:t>
            </w:r>
          </w:p>
        </w:tc>
        <w:tc>
          <w:tcPr>
            <w:tcW w:w="187"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Net income</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pPr>
            <w:r>
              <w:rPr/>
              <w:t>126,645</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pPr>
            <w:r>
              <w:rPr/>
              <w:t>83,460</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both"/>
              <w:rPr/>
            </w:pPr>
            <w:r>
              <w:rPr/>
              <w:t>Add: income tax expenses</w:t>
            </w:r>
          </w:p>
        </w:tc>
        <w:tc>
          <w:tcPr>
            <w:tcW w:w="60"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13,550</w:t>
            </w:r>
          </w:p>
        </w:tc>
        <w:tc>
          <w:tcPr>
            <w:tcW w:w="161"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14,158</w:t>
            </w:r>
          </w:p>
        </w:tc>
        <w:tc>
          <w:tcPr>
            <w:tcW w:w="187"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Add: depreciation and amortization</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7,205</w:t>
            </w:r>
          </w:p>
        </w:tc>
        <w:tc>
          <w:tcPr>
            <w:tcW w:w="161"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489" w:type="dxa"/>
            <w:tcBorders/>
            <w:shd w:fill="FFFFFF" w:val="clear"/>
            <w:vAlign w:val="center"/>
          </w:tcPr>
          <w:p>
            <w:pPr>
              <w:pStyle w:val="TableContents"/>
              <w:bidi w:val="0"/>
              <w:spacing w:before="0" w:after="283"/>
              <w:jc w:val="right"/>
              <w:rPr/>
            </w:pPr>
            <w:r>
              <w:rPr/>
              <w:t>4,783</w:t>
            </w:r>
          </w:p>
        </w:tc>
        <w:tc>
          <w:tcPr>
            <w:tcW w:w="187" w:type="dxa"/>
            <w:tcBorders/>
            <w:shd w:fill="FFFFFF" w:val="cle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both"/>
              <w:rPr/>
            </w:pPr>
            <w:r>
              <w:rPr/>
              <w:t>Add: interest expense</w:t>
            </w:r>
          </w:p>
        </w:tc>
        <w:tc>
          <w:tcPr>
            <w:tcW w:w="60"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273</w:t>
            </w:r>
          </w:p>
        </w:tc>
        <w:tc>
          <w:tcPr>
            <w:tcW w:w="161"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489" w:type="dxa"/>
            <w:tcBorders/>
            <w:shd w:fill="D5EAEA" w:val="clear"/>
            <w:vAlign w:val="center"/>
          </w:tcPr>
          <w:p>
            <w:pPr>
              <w:pStyle w:val="TableContents"/>
              <w:bidi w:val="0"/>
              <w:spacing w:before="0" w:after="283"/>
              <w:jc w:val="right"/>
              <w:rPr/>
            </w:pPr>
            <w:r>
              <w:rPr/>
              <w:t>-</w:t>
            </w:r>
          </w:p>
        </w:tc>
        <w:tc>
          <w:tcPr>
            <w:tcW w:w="187"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Less: interest income</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pPr>
            <w:r>
              <w:rPr/>
              <w:t>(6,734</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pPr>
            <w:r>
              <w:rPr/>
              <w:t>(5,753</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3995" w:type="dxa"/>
            <w:tcBorders/>
            <w:shd w:fill="D5EAEA" w:val="clear"/>
            <w:vAlign w:val="center"/>
          </w:tcPr>
          <w:p>
            <w:pPr>
              <w:pStyle w:val="TableContents"/>
              <w:bidi w:val="0"/>
              <w:spacing w:before="0" w:after="283"/>
              <w:jc w:val="both"/>
              <w:rPr/>
            </w:pPr>
            <w:r>
              <w:rPr/>
              <w:t>EBITDA (non-GAAP)</w:t>
            </w:r>
          </w:p>
        </w:tc>
        <w:tc>
          <w:tcPr>
            <w:tcW w:w="60" w:type="dxa"/>
            <w:tcBorders/>
            <w:shd w:fill="D5EAEA" w:val="clear"/>
            <w:vAlign w:val="center"/>
          </w:tcPr>
          <w:p>
            <w:pPr>
              <w:pStyle w:val="TableContents"/>
              <w:bidi w:val="0"/>
              <w:spacing w:before="0" w:after="283"/>
              <w:jc w:val="left"/>
              <w:rPr/>
            </w:pPr>
            <w:r>
              <w:rPr/>
              <w:t> </w:t>
            </w:r>
          </w:p>
        </w:tc>
        <w:tc>
          <w:tcPr>
            <w:tcW w:w="10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D5EAEA" w:val="clear"/>
            <w:tcMar>
              <w:bottom w:w="28" w:type="dxa"/>
            </w:tcMar>
            <w:vAlign w:val="center"/>
          </w:tcPr>
          <w:p>
            <w:pPr>
              <w:pStyle w:val="TableContents"/>
              <w:bidi w:val="0"/>
              <w:spacing w:before="0" w:after="283"/>
              <w:jc w:val="right"/>
              <w:rPr/>
            </w:pPr>
            <w:r>
              <w:rPr/>
              <w:t>140,939</w:t>
            </w:r>
          </w:p>
        </w:tc>
        <w:tc>
          <w:tcPr>
            <w:tcW w:w="161"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D5EAEA" w:val="clear"/>
            <w:tcMar>
              <w:bottom w:w="28" w:type="dxa"/>
            </w:tcMar>
            <w:vAlign w:val="center"/>
          </w:tcPr>
          <w:p>
            <w:pPr>
              <w:pStyle w:val="TableContents"/>
              <w:bidi w:val="0"/>
              <w:spacing w:before="0" w:after="283"/>
              <w:jc w:val="right"/>
              <w:rPr/>
            </w:pPr>
            <w:r>
              <w:rPr/>
              <w:t>96,648</w:t>
            </w:r>
          </w:p>
        </w:tc>
        <w:tc>
          <w:tcPr>
            <w:tcW w:w="187"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Add: Impairment loss on long-lived assets</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1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both"/>
              <w:rPr/>
            </w:pPr>
            <w:r>
              <w:rPr/>
              <w:t>Adjusted EBITDA (non-GAAP)</w:t>
            </w:r>
          </w:p>
        </w:tc>
        <w:tc>
          <w:tcPr>
            <w:tcW w:w="60" w:type="dxa"/>
            <w:tcBorders/>
            <w:shd w:fill="D5EAEA" w:val="clear"/>
            <w:vAlign w:val="center"/>
          </w:tcPr>
          <w:p>
            <w:pPr>
              <w:pStyle w:val="TableContents"/>
              <w:bidi w:val="0"/>
              <w:spacing w:before="0" w:after="283"/>
              <w:jc w:val="left"/>
              <w:rPr/>
            </w:pPr>
            <w:r>
              <w:rPr/>
              <w:t> </w:t>
            </w:r>
          </w:p>
        </w:tc>
        <w:tc>
          <w:tcPr>
            <w:tcW w:w="102"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1489" w:type="dxa"/>
            <w:tcBorders>
              <w:bottom w:val="double" w:sz="6" w:space="0" w:color="000000"/>
            </w:tcBorders>
            <w:shd w:fill="D5EAEA" w:val="clear"/>
            <w:tcMar>
              <w:bottom w:w="28" w:type="dxa"/>
            </w:tcMar>
            <w:vAlign w:val="center"/>
          </w:tcPr>
          <w:p>
            <w:pPr>
              <w:pStyle w:val="TableContents"/>
              <w:bidi w:val="0"/>
              <w:spacing w:before="0" w:after="283"/>
              <w:jc w:val="right"/>
              <w:rPr/>
            </w:pPr>
            <w:r>
              <w:rPr/>
              <w:t>140,939</w:t>
            </w:r>
          </w:p>
        </w:tc>
        <w:tc>
          <w:tcPr>
            <w:tcW w:w="161"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102" w:type="dxa"/>
            <w:tcBorders/>
            <w:shd w:fill="D5EAEA" w:val="clear"/>
            <w:vAlign w:val="center"/>
          </w:tcPr>
          <w:p>
            <w:pPr>
              <w:pStyle w:val="TableContents"/>
              <w:bidi w:val="0"/>
              <w:spacing w:before="0" w:after="283"/>
              <w:jc w:val="left"/>
              <w:rPr/>
            </w:pPr>
            <w:r>
              <w:rPr/>
              <w:t> </w:t>
            </w:r>
          </w:p>
        </w:tc>
        <w:tc>
          <w:tcPr>
            <w:tcW w:w="102"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1489" w:type="dxa"/>
            <w:tcBorders>
              <w:bottom w:val="double" w:sz="6" w:space="0" w:color="000000"/>
            </w:tcBorders>
            <w:shd w:fill="D5EAEA" w:val="clear"/>
            <w:tcMar>
              <w:bottom w:w="28" w:type="dxa"/>
            </w:tcMar>
            <w:vAlign w:val="center"/>
          </w:tcPr>
          <w:p>
            <w:pPr>
              <w:pStyle w:val="TableContents"/>
              <w:bidi w:val="0"/>
              <w:spacing w:before="0" w:after="283"/>
              <w:jc w:val="right"/>
              <w:rPr/>
            </w:pPr>
            <w:r>
              <w:rPr/>
              <w:t>96,648</w:t>
            </w:r>
          </w:p>
        </w:tc>
        <w:tc>
          <w:tcPr>
            <w:tcW w:w="187"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tbl>
      <w:tblPr>
        <w:tblW w:w="9530" w:type="dxa"/>
        <w:jc w:val="left"/>
        <w:tblInd w:w="0" w:type="dxa"/>
        <w:tblLayout w:type="fixed"/>
        <w:tblCellMar>
          <w:top w:w="0" w:type="dxa"/>
          <w:left w:w="0" w:type="dxa"/>
          <w:bottom w:w="0" w:type="dxa"/>
          <w:right w:w="0" w:type="dxa"/>
        </w:tblCellMar>
      </w:tblPr>
      <w:tblGrid>
        <w:gridCol w:w="5750"/>
        <w:gridCol w:w="60"/>
        <w:gridCol w:w="60"/>
        <w:gridCol w:w="980"/>
        <w:gridCol w:w="95"/>
        <w:gridCol w:w="60"/>
        <w:gridCol w:w="60"/>
        <w:gridCol w:w="980"/>
        <w:gridCol w:w="95"/>
        <w:gridCol w:w="60"/>
        <w:gridCol w:w="60"/>
        <w:gridCol w:w="980"/>
        <w:gridCol w:w="290"/>
      </w:tblGrid>
      <w:tr>
        <w:trPr/>
        <w:tc>
          <w:tcPr>
            <w:tcW w:w="9530" w:type="dxa"/>
            <w:gridSpan w:val="13"/>
            <w:tcBorders/>
            <w:vAlign w:val="center"/>
          </w:tcPr>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ableContents"/>
              <w:shd w:fill="FFFFFF" w:val="clear"/>
              <w:bidi w:val="0"/>
              <w:spacing w:before="0" w:after="0"/>
              <w:ind w:left="0" w:right="0" w:hanging="0"/>
              <w:jc w:val="center"/>
              <w:rPr>
                <w:caps w:val="false"/>
                <w:smallCaps w:val="false"/>
              </w:rPr>
            </w:pPr>
            <w:r>
              <w:rPr>
                <w:caps w:val="false"/>
                <w:smallCaps w:val="false"/>
              </w:rPr>
              <w:t> </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ableContents"/>
              <w:shd w:fill="FFFFFF" w:val="clear"/>
              <w:bidi w:val="0"/>
              <w:spacing w:before="0" w:after="0"/>
              <w:ind w:left="0" w:right="0" w:hanging="0"/>
              <w:jc w:val="center"/>
              <w:rPr>
                <w:caps w:val="false"/>
                <w:smallCaps w:val="false"/>
              </w:rPr>
            </w:pPr>
            <w:r>
              <w:rPr>
                <w:caps w:val="false"/>
                <w:smallCaps w:val="false"/>
              </w:rPr>
              <w:t> </w:t>
            </w:r>
          </w:p>
          <w:p>
            <w:pPr>
              <w:pStyle w:val="TableContents"/>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ableContents"/>
              <w:shd w:fill="FFFFFF" w:val="clear"/>
              <w:bidi w:val="0"/>
              <w:spacing w:before="0" w:after="0"/>
              <w:ind w:left="0" w:right="0" w:hanging="0"/>
              <w:jc w:val="center"/>
              <w:rPr>
                <w:caps w:val="false"/>
                <w:smallCaps w:val="false"/>
              </w:rPr>
            </w:pPr>
            <w:r>
              <w:rPr>
                <w:caps w:val="false"/>
                <w:smallCaps w:val="false"/>
              </w:rPr>
              <w:t> </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0" w:type="dxa"/>
            <w:gridSpan w:val="11"/>
            <w:tcBorders>
              <w:bottom w:val="single" w:sz="8" w:space="0" w:color="000000"/>
            </w:tcBorders>
            <w:tcMar>
              <w:bottom w:w="28" w:type="dxa"/>
            </w:tcMar>
            <w:vAlign w:val="center"/>
          </w:tcPr>
          <w:p>
            <w:pPr>
              <w:pStyle w:val="TableContents"/>
              <w:bidi w:val="0"/>
              <w:spacing w:before="0" w:after="283"/>
              <w:jc w:val="center"/>
              <w:rPr/>
            </w:pPr>
            <w:r>
              <w:rPr/>
              <w:t>For the Six Months Ended June 30,</w:t>
            </w:r>
          </w:p>
        </w:tc>
      </w:tr>
      <w:tr>
        <w:trPr/>
        <w:tc>
          <w:tcPr>
            <w:tcW w:w="5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2525" w:type="dxa"/>
            <w:gridSpan w:val="7"/>
            <w:tcBorders>
              <w:bottom w:val="single" w:sz="8" w:space="0" w:color="000000"/>
            </w:tcBorders>
            <w:tcMar>
              <w:bottom w:w="28" w:type="dxa"/>
            </w:tcMar>
            <w:vAlign w:val="center"/>
          </w:tcPr>
          <w:p>
            <w:pPr>
              <w:pStyle w:val="TableContents"/>
              <w:bidi w:val="0"/>
              <w:spacing w:before="0" w:after="283"/>
              <w:jc w:val="center"/>
              <w:rPr/>
            </w:pPr>
            <w:r>
              <w:rPr/>
              <w:t>2026</w:t>
            </w:r>
          </w:p>
        </w:tc>
      </w:tr>
      <w:tr>
        <w:trPr/>
        <w:tc>
          <w:tcPr>
            <w:tcW w:w="57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sz w:val="20"/>
              </w:rPr>
            </w:pPr>
            <w:r>
              <w:rPr>
                <w:sz w:val="20"/>
              </w:rPr>
              <w:t>RMB</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sz w:val="20"/>
              </w:rPr>
            </w:pPr>
            <w:r>
              <w:rPr>
                <w:sz w:val="20"/>
              </w:rPr>
              <w:t>RMB</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sz w:val="20"/>
              </w:rPr>
            </w:pPr>
            <w:r>
              <w:rPr>
                <w:sz w:val="20"/>
              </w:rPr>
              <w:t>US$</w:t>
            </w:r>
          </w:p>
        </w:tc>
        <w:tc>
          <w:tcPr>
            <w:tcW w:w="290" w:type="dxa"/>
            <w:tcBorders/>
            <w:shd w:fill="D5EAEA"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Net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1,026,640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847,027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124,836</w:t>
            </w:r>
          </w:p>
        </w:tc>
        <w:tc>
          <w:tcPr>
            <w:tcW w:w="290" w:type="dxa"/>
            <w:tcBorders/>
            <w:shd w:fill="FFFFFF" w:val="cle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Cost of revenues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(141,977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(116,740</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(17,205</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884,663</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730,287</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107,631</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290" w:type="dxa"/>
            <w:tcBorders/>
            <w:shd w:fill="D5EAEA"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750" w:type="dxa"/>
            <w:tcBorders/>
            <w:shd w:fill="D5EAEA" w:val="clear"/>
            <w:vAlign w:val="center"/>
          </w:tcPr>
          <w:p>
            <w:pPr>
              <w:pStyle w:val="TableContents"/>
              <w:bidi w:val="0"/>
              <w:spacing w:before="0" w:after="283"/>
              <w:jc w:val="left"/>
              <w:rPr/>
            </w:pPr>
            <w:r>
              <w:rPr/>
              <w:t>Sales and marketing expenses</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(602,971</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(470,238</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(69,305</w:t>
            </w:r>
          </w:p>
        </w:tc>
        <w:tc>
          <w:tcPr>
            <w:tcW w:w="290" w:type="dxa"/>
            <w:tcBorders/>
            <w:shd w:fill="D5EAEA" w:val="clear"/>
            <w:vAlign w:val="center"/>
          </w:tcPr>
          <w:p>
            <w:pPr>
              <w:pStyle w:val="TableContents"/>
              <w:bidi w:val="0"/>
              <w:spacing w:before="0" w:after="283"/>
              <w:ind w:left="0" w:right="0" w:firstLine="180"/>
              <w:jc w:val="left"/>
              <w:rPr/>
            </w:pPr>
            <w:r>
              <w:rPr/>
              <w:t>)</w:t>
            </w:r>
          </w:p>
        </w:tc>
      </w:tr>
      <w:tr>
        <w:trPr/>
        <w:tc>
          <w:tcPr>
            <w:tcW w:w="5750" w:type="dxa"/>
            <w:tcBorders/>
            <w:shd w:fill="FFFFFF" w:val="clear"/>
            <w:vAlign w:val="center"/>
          </w:tcPr>
          <w:p>
            <w:pPr>
              <w:pStyle w:val="TableContents"/>
              <w:bidi w:val="0"/>
              <w:spacing w:before="0" w:after="283"/>
              <w:jc w:val="left"/>
              <w:rPr/>
            </w:pPr>
            <w:r>
              <w:rPr/>
              <w:t>Product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(13,188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(1,782</w:t>
            </w:r>
          </w:p>
        </w:tc>
        <w:tc>
          <w:tcPr>
            <w:tcW w:w="290" w:type="dxa"/>
            <w:tcBorders/>
            <w:shd w:fill="FFFFFF" w:val="clear"/>
            <w:vAlign w:val="center"/>
          </w:tcPr>
          <w:p>
            <w:pPr>
              <w:pStyle w:val="TableContents"/>
              <w:bidi w:val="0"/>
              <w:spacing w:before="0" w:after="283"/>
              <w:ind w:left="0" w:right="0" w:firstLine="180"/>
              <w:jc w:val="left"/>
              <w:rPr/>
            </w:pPr>
            <w:r>
              <w:rPr/>
              <w:t>)</w:t>
            </w:r>
          </w:p>
        </w:tc>
      </w:tr>
      <w:tr>
        <w:trPr/>
        <w:tc>
          <w:tcPr>
            <w:tcW w:w="5750" w:type="dxa"/>
            <w:tcBorders/>
            <w:shd w:fill="D5EAEA" w:val="clear"/>
            <w:vAlign w:val="center"/>
          </w:tcPr>
          <w:p>
            <w:pPr>
              <w:pStyle w:val="TableContents"/>
              <w:bidi w:val="0"/>
              <w:spacing w:before="0" w:after="283"/>
              <w:jc w:val="left"/>
              <w:rPr/>
            </w:pPr>
            <w:r>
              <w:rPr/>
              <w:t>General and administrative expenses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(67,609</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(67,680</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(9,975</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(683,768</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(550,010</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(81,062</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5750" w:type="dxa"/>
            <w:tcBorders/>
            <w:shd w:fill="D5EAEA" w:val="clear"/>
            <w:vAlign w:val="center"/>
          </w:tcPr>
          <w:p>
            <w:pPr>
              <w:pStyle w:val="TableContents"/>
              <w:bidi w:val="0"/>
              <w:spacing w:before="0" w:after="283"/>
              <w:jc w:val="left"/>
              <w:rPr/>
            </w:pPr>
            <w:r>
              <w:rPr/>
              <w:t>Income from operations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200,895</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180,277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26,569</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1,617</w:t>
            </w:r>
          </w:p>
        </w:tc>
        <w:tc>
          <w:tcPr>
            <w:tcW w:w="290" w:type="dxa"/>
            <w:tcBorders/>
            <w:shd w:fill="FFFFFF" w:val="cle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Interest expense</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(680</w:t>
            </w:r>
          </w:p>
        </w:tc>
        <w:tc>
          <w:tcPr>
            <w:tcW w:w="95" w:type="dxa"/>
            <w:tcBorders/>
            <w:shd w:fill="D5EAEA" w:val="cle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w:t>
            </w:r>
          </w:p>
        </w:tc>
        <w:tc>
          <w:tcPr>
            <w:tcW w:w="290" w:type="dxa"/>
            <w:tcBorders/>
            <w:shd w:fill="D5EAEA"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1,909</w:t>
            </w:r>
          </w:p>
        </w:tc>
        <w:tc>
          <w:tcPr>
            <w:tcW w:w="290" w:type="dxa"/>
            <w:tcBorders/>
            <w:shd w:fill="FFFFFF" w:val="cle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Gain on disposal of subsidiaries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661</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97</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 xml:space="preserve">Income before income tax expenses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750" w:type="dxa"/>
            <w:tcBorders/>
            <w:shd w:fill="D5EAEA" w:val="clear"/>
            <w:vAlign w:val="center"/>
          </w:tcPr>
          <w:p>
            <w:pPr>
              <w:pStyle w:val="TableContents"/>
              <w:bidi w:val="0"/>
              <w:spacing w:before="0" w:after="283"/>
              <w:jc w:val="left"/>
              <w:rPr/>
            </w:pPr>
            <w:r>
              <w:rPr/>
              <w:t>and loss from equity method investments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226,213</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204,866</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30,192</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(23,324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(42,963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(6,332</w:t>
            </w:r>
          </w:p>
        </w:tc>
        <w:tc>
          <w:tcPr>
            <w:tcW w:w="290" w:type="dxa"/>
            <w:tcBorders/>
            <w:shd w:fill="FFFFFF" w:val="clear"/>
            <w:vAlign w:val="center"/>
          </w:tcPr>
          <w:p>
            <w:pPr>
              <w:pStyle w:val="TableContents"/>
              <w:bidi w:val="0"/>
              <w:spacing w:before="0" w:after="283"/>
              <w:jc w:val="left"/>
              <w:rPr/>
            </w:pPr>
            <w:r>
              <w:rPr/>
              <w:t>)</w:t>
            </w:r>
          </w:p>
        </w:tc>
      </w:tr>
      <w:tr>
        <w:trPr/>
        <w:tc>
          <w:tcPr>
            <w:tcW w:w="5750" w:type="dxa"/>
            <w:tcBorders/>
            <w:shd w:fill="D5EAEA" w:val="clear"/>
            <w:vAlign w:val="center"/>
          </w:tcPr>
          <w:p>
            <w:pPr>
              <w:pStyle w:val="TableContents"/>
              <w:bidi w:val="0"/>
              <w:spacing w:before="0" w:after="283"/>
              <w:jc w:val="left"/>
              <w:rPr/>
            </w:pPr>
            <w:r>
              <w:rPr/>
              <w:t>Loss from equity method investments</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(1,068</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(1,596</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(235</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575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201,821</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160,307</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23,625</w:t>
            </w:r>
          </w:p>
        </w:tc>
        <w:tc>
          <w:tcPr>
            <w:tcW w:w="2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290" w:type="dxa"/>
            <w:tcBorders/>
            <w:shd w:fill="D5EAEA" w:val="cle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Less: Net loss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Net income attributable to Sunlands Technology Group</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201,821</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160,307</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23,625</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5750" w:type="dxa"/>
            <w:tcBorders/>
            <w:shd w:fill="FFFFFF" w:val="clear"/>
            <w:vAlign w:val="center"/>
          </w:tcPr>
          <w:p>
            <w:pPr>
              <w:pStyle w:val="TableContents"/>
              <w:bidi w:val="0"/>
              <w:spacing w:before="0" w:after="283"/>
              <w:jc w:val="left"/>
              <w:rPr/>
            </w:pPr>
            <w:r>
              <w:rPr/>
              <w:t>Net income per share attributable to ordinary shareholders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750" w:type="dxa"/>
            <w:tcBorders/>
            <w:shd w:fill="D5EAEA" w:val="clear"/>
            <w:vAlign w:val="center"/>
          </w:tcPr>
          <w:p>
            <w:pPr>
              <w:pStyle w:val="TableContents"/>
              <w:bidi w:val="0"/>
              <w:spacing w:before="0" w:after="283"/>
              <w:jc w:val="left"/>
              <w:rPr/>
            </w:pPr>
            <w:r>
              <w:rPr/>
              <w:t>Sunlands Technology Group:</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290" w:type="dxa"/>
            <w:tcBorders/>
            <w:shd w:fill="D5EAEA" w:val="clear"/>
            <w:vAlign w:val="center"/>
          </w:tcPr>
          <w:p>
            <w:pPr>
              <w:pStyle w:val="TableContents"/>
              <w:bidi w:val="0"/>
              <w:spacing w:before="0" w:after="283"/>
              <w:ind w:left="0" w:right="0" w:firstLine="180"/>
              <w:jc w:val="left"/>
              <w:rPr/>
            </w:pPr>
            <w:r>
              <w:rPr/>
              <w:t> </w:t>
            </w:r>
          </w:p>
        </w:tc>
      </w:tr>
      <w:tr>
        <w:trPr/>
        <w:tc>
          <w:tcPr>
            <w:tcW w:w="5750" w:type="dxa"/>
            <w:tcBorders/>
            <w:shd w:fill="FFFFFF" w:val="clear"/>
            <w:vAlign w:val="center"/>
          </w:tcPr>
          <w:p>
            <w:pPr>
              <w:pStyle w:val="TableContents"/>
              <w:bidi w:val="0"/>
              <w:spacing w:before="0" w:after="283"/>
              <w:jc w:val="left"/>
              <w:rPr/>
            </w:pPr>
            <w:r>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3.54</w:t>
            </w:r>
          </w:p>
        </w:tc>
        <w:tc>
          <w:tcPr>
            <w:tcW w:w="290" w:type="dxa"/>
            <w:tcBorders/>
            <w:shd w:fill="FFFFFF" w:val="clear"/>
            <w:vAlign w:val="center"/>
          </w:tcPr>
          <w:p>
            <w:pPr>
              <w:pStyle w:val="TableContents"/>
              <w:bidi w:val="0"/>
              <w:spacing w:before="0" w:after="283"/>
              <w:jc w:val="left"/>
              <w:rPr/>
            </w:pPr>
            <w:r>
              <w:rPr/>
              <w:t> </w:t>
            </w:r>
          </w:p>
        </w:tc>
      </w:tr>
      <w:tr>
        <w:trPr/>
        <w:tc>
          <w:tcPr>
            <w:tcW w:w="5750" w:type="dxa"/>
            <w:tcBorders/>
            <w:shd w:fill="D5EAEA" w:val="clear"/>
            <w:vAlign w:val="center"/>
          </w:tcPr>
          <w:p>
            <w:pPr>
              <w:pStyle w:val="TableContents"/>
              <w:bidi w:val="0"/>
              <w:spacing w:before="0" w:after="283"/>
              <w:jc w:val="left"/>
              <w:rPr/>
            </w:pPr>
            <w:r>
              <w:rPr/>
              <w:t>Weighted average shares used in calculating net income</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right"/>
              <w:rPr/>
            </w:pPr>
            <w:r>
              <w:rPr/>
              <w:t> </w:t>
            </w:r>
          </w:p>
        </w:tc>
        <w:tc>
          <w:tcPr>
            <w:tcW w:w="290" w:type="dxa"/>
            <w:tcBorders/>
            <w:shd w:fill="D5EAEA" w:val="clear"/>
            <w:vAlign w:val="center"/>
          </w:tcPr>
          <w:p>
            <w:pPr>
              <w:pStyle w:val="TableContents"/>
              <w:bidi w:val="0"/>
              <w:spacing w:before="0" w:after="283"/>
              <w:ind w:left="0" w:right="0" w:firstLine="180"/>
              <w:jc w:val="left"/>
              <w:rPr/>
            </w:pPr>
            <w:r>
              <w:rPr/>
              <w:t> </w:t>
            </w:r>
          </w:p>
        </w:tc>
      </w:tr>
      <w:tr>
        <w:trPr/>
        <w:tc>
          <w:tcPr>
            <w:tcW w:w="5750" w:type="dxa"/>
            <w:tcBorders/>
            <w:shd w:fill="FFFFFF" w:val="clear"/>
            <w:vAlign w:val="center"/>
          </w:tcPr>
          <w:p>
            <w:pPr>
              <w:pStyle w:val="TableContents"/>
              <w:bidi w:val="0"/>
              <w:spacing w:before="0" w:after="283"/>
              <w:jc w:val="left"/>
              <w:rPr/>
            </w:pPr>
            <w:r>
              <w:rPr/>
              <w:t>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ind w:left="0" w:right="0" w:firstLine="180"/>
              <w:jc w:val="left"/>
              <w:rPr/>
            </w:pPr>
            <w:r>
              <w:rPr/>
              <w:t> </w:t>
            </w:r>
          </w:p>
        </w:tc>
      </w:tr>
      <w:tr>
        <w:trPr/>
        <w:tc>
          <w:tcPr>
            <w:tcW w:w="5750" w:type="dxa"/>
            <w:tcBorders/>
            <w:shd w:fill="D5EAEA" w:val="clear"/>
            <w:vAlign w:val="center"/>
          </w:tcPr>
          <w:p>
            <w:pPr>
              <w:pStyle w:val="TableContents"/>
              <w:bidi w:val="0"/>
              <w:spacing w:before="0" w:after="283"/>
              <w:jc w:val="left"/>
              <w:rPr/>
            </w:pPr>
            <w:r>
              <w:rPr/>
              <w:t>Basic and diluted</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6,756,532</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6,664,889</w:t>
            </w:r>
          </w:p>
        </w:tc>
        <w:tc>
          <w:tcPr>
            <w:tcW w:w="9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6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D5EAEA" w:val="clear"/>
            <w:tcMar>
              <w:bottom w:w="28" w:type="dxa"/>
            </w:tcMar>
            <w:vAlign w:val="center"/>
          </w:tcPr>
          <w:p>
            <w:pPr>
              <w:pStyle w:val="TableContents"/>
              <w:bidi w:val="0"/>
              <w:spacing w:before="0" w:after="283"/>
              <w:jc w:val="right"/>
              <w:rPr/>
            </w:pPr>
            <w:r>
              <w:rPr/>
              <w:t>6,664,889</w:t>
            </w:r>
          </w:p>
        </w:tc>
        <w:tc>
          <w:tcPr>
            <w:tcW w:w="2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60"/>
        <w:gridCol w:w="60"/>
        <w:gridCol w:w="65"/>
        <w:gridCol w:w="885"/>
        <w:gridCol w:w="104"/>
        <w:gridCol w:w="65"/>
        <w:gridCol w:w="65"/>
        <w:gridCol w:w="885"/>
        <w:gridCol w:w="104"/>
        <w:gridCol w:w="65"/>
        <w:gridCol w:w="65"/>
        <w:gridCol w:w="753"/>
        <w:gridCol w:w="329"/>
      </w:tblGrid>
      <w:tr>
        <w:trPr/>
        <w:tc>
          <w:tcPr>
            <w:tcW w:w="6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5" w:type="dxa"/>
            <w:gridSpan w:val="11"/>
            <w:tcBorders>
              <w:bottom w:val="single" w:sz="8" w:space="0" w:color="000000"/>
            </w:tcBorders>
            <w:tcMar>
              <w:bottom w:w="28" w:type="dxa"/>
            </w:tcMar>
            <w:vAlign w:val="center"/>
          </w:tcPr>
          <w:p>
            <w:pPr>
              <w:pStyle w:val="TableContents"/>
              <w:bidi w:val="0"/>
              <w:spacing w:before="0" w:after="283"/>
              <w:jc w:val="center"/>
              <w:rPr/>
            </w:pPr>
            <w:r>
              <w:rPr/>
              <w:t>For the Six Months Ended June 30,</w:t>
            </w:r>
          </w:p>
        </w:tc>
      </w:tr>
      <w:tr>
        <w:trPr/>
        <w:tc>
          <w:tcPr>
            <w:tcW w:w="6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65" w:type="dxa"/>
            <w:tcBorders/>
            <w:vAlign w:val="center"/>
          </w:tcPr>
          <w:p>
            <w:pPr>
              <w:pStyle w:val="TableContents"/>
              <w:bidi w:val="0"/>
              <w:spacing w:before="0" w:after="283"/>
              <w:jc w:val="left"/>
              <w:rPr/>
            </w:pPr>
            <w:r>
              <w:rPr/>
              <w:t> </w:t>
            </w:r>
          </w:p>
        </w:tc>
        <w:tc>
          <w:tcPr>
            <w:tcW w:w="2266" w:type="dxa"/>
            <w:gridSpan w:val="7"/>
            <w:tcBorders>
              <w:bottom w:val="single" w:sz="8" w:space="0" w:color="000000"/>
            </w:tcBorders>
            <w:tcMar>
              <w:bottom w:w="28" w:type="dxa"/>
            </w:tcMar>
            <w:vAlign w:val="center"/>
          </w:tcPr>
          <w:p>
            <w:pPr>
              <w:pStyle w:val="TableContents"/>
              <w:bidi w:val="0"/>
              <w:spacing w:before="0" w:after="283"/>
              <w:jc w:val="center"/>
              <w:rPr/>
            </w:pPr>
            <w:r>
              <w:rPr/>
              <w:t>2026</w:t>
            </w:r>
          </w:p>
        </w:tc>
      </w:tr>
      <w:tr>
        <w:trPr/>
        <w:tc>
          <w:tcPr>
            <w:tcW w:w="6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3"/>
            <w:tcBorders/>
            <w:vAlign w:val="center"/>
          </w:tcPr>
          <w:p>
            <w:pPr>
              <w:pStyle w:val="TableContents"/>
              <w:bidi w:val="0"/>
              <w:spacing w:before="0" w:after="283"/>
              <w:jc w:val="center"/>
              <w:rPr/>
            </w:pPr>
            <w:r>
              <w:rPr/>
              <w:t>RMB</w:t>
            </w:r>
          </w:p>
        </w:tc>
        <w:tc>
          <w:tcPr>
            <w:tcW w:w="65" w:type="dxa"/>
            <w:tcBorders/>
            <w:vAlign w:val="center"/>
          </w:tcPr>
          <w:p>
            <w:pPr>
              <w:pStyle w:val="TableContents"/>
              <w:bidi w:val="0"/>
              <w:spacing w:before="0" w:after="283"/>
              <w:jc w:val="left"/>
              <w:rPr/>
            </w:pPr>
            <w:r>
              <w:rPr/>
              <w:t> </w:t>
            </w:r>
          </w:p>
        </w:tc>
        <w:tc>
          <w:tcPr>
            <w:tcW w:w="1054" w:type="dxa"/>
            <w:gridSpan w:val="3"/>
            <w:tcBorders/>
            <w:vAlign w:val="center"/>
          </w:tcPr>
          <w:p>
            <w:pPr>
              <w:pStyle w:val="TableContents"/>
              <w:bidi w:val="0"/>
              <w:spacing w:before="0" w:after="283"/>
              <w:jc w:val="center"/>
              <w:rPr/>
            </w:pPr>
            <w:r>
              <w:rPr/>
              <w:t>RMB</w:t>
            </w:r>
          </w:p>
        </w:tc>
        <w:tc>
          <w:tcPr>
            <w:tcW w:w="65" w:type="dxa"/>
            <w:tcBorders/>
            <w:vAlign w:val="center"/>
          </w:tcPr>
          <w:p>
            <w:pPr>
              <w:pStyle w:val="TableContents"/>
              <w:bidi w:val="0"/>
              <w:spacing w:before="0" w:after="283"/>
              <w:jc w:val="left"/>
              <w:rPr/>
            </w:pPr>
            <w:r>
              <w:rPr/>
              <w:t> </w:t>
            </w:r>
          </w:p>
        </w:tc>
        <w:tc>
          <w:tcPr>
            <w:tcW w:w="1147" w:type="dxa"/>
            <w:gridSpan w:val="3"/>
            <w:tcBorders/>
            <w:vAlign w:val="center"/>
          </w:tcPr>
          <w:p>
            <w:pPr>
              <w:pStyle w:val="TableContents"/>
              <w:bidi w:val="0"/>
              <w:spacing w:before="0" w:after="283"/>
              <w:jc w:val="center"/>
              <w:rPr/>
            </w:pPr>
            <w:r>
              <w:rPr/>
              <w:t>US$</w:t>
            </w:r>
          </w:p>
        </w:tc>
      </w:tr>
      <w:tr>
        <w:trPr/>
        <w:tc>
          <w:tcPr>
            <w:tcW w:w="6760" w:type="dxa"/>
            <w:tcBorders/>
            <w:shd w:fill="D5EAEA" w:val="clear"/>
            <w:vAlign w:val="center"/>
          </w:tcPr>
          <w:p>
            <w:pPr>
              <w:pStyle w:val="TableContents"/>
              <w:bidi w:val="0"/>
              <w:spacing w:before="0" w:after="283"/>
              <w:jc w:val="left"/>
              <w:rPr/>
            </w:pPr>
            <w:r>
              <w:rPr/>
              <w:t>Net income</w:t>
            </w:r>
          </w:p>
        </w:tc>
        <w:tc>
          <w:tcPr>
            <w:tcW w:w="60" w:type="dxa"/>
            <w:tcBorders/>
            <w:shd w:fill="D5EAEA" w:val="cle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885" w:type="dxa"/>
            <w:tcBorders/>
            <w:shd w:fill="D5EAEA" w:val="clear"/>
            <w:vAlign w:val="center"/>
          </w:tcPr>
          <w:p>
            <w:pPr>
              <w:pStyle w:val="TableContents"/>
              <w:bidi w:val="0"/>
              <w:spacing w:before="0" w:after="283"/>
              <w:jc w:val="right"/>
              <w:rPr/>
            </w:pPr>
            <w:r>
              <w:rPr/>
              <w:t>201,821</w:t>
            </w:r>
          </w:p>
        </w:tc>
        <w:tc>
          <w:tcPr>
            <w:tcW w:w="104" w:type="dxa"/>
            <w:tcBorders/>
            <w:shd w:fill="D5EAEA" w:val="cle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885" w:type="dxa"/>
            <w:tcBorders/>
            <w:shd w:fill="D5EAEA" w:val="clear"/>
            <w:vAlign w:val="center"/>
          </w:tcPr>
          <w:p>
            <w:pPr>
              <w:pStyle w:val="TableContents"/>
              <w:bidi w:val="0"/>
              <w:spacing w:before="0" w:after="283"/>
              <w:jc w:val="right"/>
              <w:rPr/>
            </w:pPr>
            <w:r>
              <w:rPr/>
              <w:t>160,307</w:t>
            </w:r>
          </w:p>
        </w:tc>
        <w:tc>
          <w:tcPr>
            <w:tcW w:w="104" w:type="dxa"/>
            <w:tcBorders/>
            <w:shd w:fill="D5EAEA" w:val="cle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753" w:type="dxa"/>
            <w:tcBorders/>
            <w:shd w:fill="D5EAEA" w:val="clear"/>
            <w:vAlign w:val="center"/>
          </w:tcPr>
          <w:p>
            <w:pPr>
              <w:pStyle w:val="TableContents"/>
              <w:bidi w:val="0"/>
              <w:spacing w:before="0" w:after="283"/>
              <w:jc w:val="right"/>
              <w:rPr/>
            </w:pPr>
            <w:r>
              <w:rPr/>
              <w:t>23,625</w:t>
            </w:r>
          </w:p>
        </w:tc>
        <w:tc>
          <w:tcPr>
            <w:tcW w:w="329" w:type="dxa"/>
            <w:tcBorders/>
            <w:shd w:fill="D5EAEA" w:val="clear"/>
            <w:vAlign w:val="center"/>
          </w:tcPr>
          <w:p>
            <w:pPr>
              <w:pStyle w:val="TableContents"/>
              <w:bidi w:val="0"/>
              <w:spacing w:before="0" w:after="283"/>
              <w:jc w:val="left"/>
              <w:rPr/>
            </w:pPr>
            <w:r>
              <w:rPr/>
              <w:t> </w:t>
            </w:r>
          </w:p>
        </w:tc>
      </w:tr>
      <w:tr>
        <w:trPr/>
        <w:tc>
          <w:tcPr>
            <w:tcW w:w="6760" w:type="dxa"/>
            <w:tcBorders/>
            <w:shd w:fill="FFFFFF" w:val="clear"/>
            <w:vAlign w:val="center"/>
          </w:tcPr>
          <w:p>
            <w:pPr>
              <w:pStyle w:val="TableContents"/>
              <w:bidi w:val="0"/>
              <w:spacing w:before="0" w:after="283"/>
              <w:jc w:val="left"/>
              <w:rPr/>
            </w:pPr>
            <w:r>
              <w:rPr/>
              <w:t>Other comprehensive (loss)/gain, net of tax effect of nil:</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 </w:t>
            </w:r>
          </w:p>
        </w:tc>
        <w:tc>
          <w:tcPr>
            <w:tcW w:w="329" w:type="dxa"/>
            <w:tcBorders/>
            <w:shd w:fill="FFFFFF" w:val="clear"/>
            <w:vAlign w:val="center"/>
          </w:tcPr>
          <w:p>
            <w:pPr>
              <w:pStyle w:val="TableContents"/>
              <w:bidi w:val="0"/>
              <w:spacing w:before="0" w:after="283"/>
              <w:ind w:left="0" w:right="0" w:firstLine="180"/>
              <w:jc w:val="left"/>
              <w:rPr/>
            </w:pPr>
            <w:r>
              <w:rPr/>
              <w:t> </w:t>
            </w:r>
          </w:p>
        </w:tc>
      </w:tr>
      <w:tr>
        <w:trPr/>
        <w:tc>
          <w:tcPr>
            <w:tcW w:w="6760" w:type="dxa"/>
            <w:tcBorders/>
            <w:shd w:fill="D5EAEA" w:val="clear"/>
            <w:vAlign w:val="center"/>
          </w:tcPr>
          <w:p>
            <w:pPr>
              <w:pStyle w:val="TableContents"/>
              <w:bidi w:val="0"/>
              <w:spacing w:before="0" w:after="283"/>
              <w:jc w:val="left"/>
              <w:rPr/>
            </w:pPr>
            <w:r>
              <w:rPr/>
              <w:t>Change in cumulative foreign currency translation adjustments</w:t>
            </w:r>
          </w:p>
        </w:tc>
        <w:tc>
          <w:tcPr>
            <w:tcW w:w="60" w:type="dxa"/>
            <w:tcBorders/>
            <w:shd w:fill="D5EAEA" w:val="cle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885" w:type="dxa"/>
            <w:tcBorders/>
            <w:shd w:fill="D5EAEA" w:val="clear"/>
            <w:vAlign w:val="center"/>
          </w:tcPr>
          <w:p>
            <w:pPr>
              <w:pStyle w:val="TableContents"/>
              <w:bidi w:val="0"/>
              <w:spacing w:before="0" w:after="283"/>
              <w:jc w:val="right"/>
              <w:rPr/>
            </w:pPr>
            <w:r>
              <w:rPr/>
              <w:t>(11,481</w:t>
            </w:r>
          </w:p>
        </w:tc>
        <w:tc>
          <w:tcPr>
            <w:tcW w:w="104" w:type="dxa"/>
            <w:tcBorders/>
            <w:shd w:fill="D5EAEA" w:val="clear"/>
            <w:vAlign w:val="center"/>
          </w:tcPr>
          <w:p>
            <w:pPr>
              <w:pStyle w:val="TableContents"/>
              <w:bidi w:val="0"/>
              <w:spacing w:before="0" w:after="283"/>
              <w:jc w:val="left"/>
              <w:rPr/>
            </w:pPr>
            <w:r>
              <w:rPr/>
              <w:t>)</w:t>
            </w:r>
          </w:p>
        </w:tc>
        <w:tc>
          <w:tcPr>
            <w:tcW w:w="65" w:type="dxa"/>
            <w:tcBorders/>
            <w:shd w:fill="D5EAEA" w:val="cle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885" w:type="dxa"/>
            <w:tcBorders/>
            <w:shd w:fill="D5EAEA" w:val="clear"/>
            <w:vAlign w:val="center"/>
          </w:tcPr>
          <w:p>
            <w:pPr>
              <w:pStyle w:val="TableContents"/>
              <w:bidi w:val="0"/>
              <w:spacing w:before="0" w:after="283"/>
              <w:jc w:val="right"/>
              <w:rPr/>
            </w:pPr>
            <w:r>
              <w:rPr/>
              <w:t>(21,666</w:t>
            </w:r>
          </w:p>
        </w:tc>
        <w:tc>
          <w:tcPr>
            <w:tcW w:w="104" w:type="dxa"/>
            <w:tcBorders/>
            <w:shd w:fill="D5EAEA" w:val="clear"/>
            <w:vAlign w:val="center"/>
          </w:tcPr>
          <w:p>
            <w:pPr>
              <w:pStyle w:val="TableContents"/>
              <w:bidi w:val="0"/>
              <w:spacing w:before="0" w:after="283"/>
              <w:jc w:val="left"/>
              <w:rPr/>
            </w:pPr>
            <w:r>
              <w:rPr/>
              <w:t>)</w:t>
            </w:r>
          </w:p>
        </w:tc>
        <w:tc>
          <w:tcPr>
            <w:tcW w:w="65" w:type="dxa"/>
            <w:tcBorders/>
            <w:shd w:fill="D5EAEA" w:val="cle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753" w:type="dxa"/>
            <w:tcBorders/>
            <w:shd w:fill="D5EAEA" w:val="clear"/>
            <w:vAlign w:val="center"/>
          </w:tcPr>
          <w:p>
            <w:pPr>
              <w:pStyle w:val="TableContents"/>
              <w:bidi w:val="0"/>
              <w:spacing w:before="0" w:after="283"/>
              <w:jc w:val="right"/>
              <w:rPr/>
            </w:pPr>
            <w:r>
              <w:rPr/>
              <w:t>(3,193</w:t>
            </w:r>
          </w:p>
        </w:tc>
        <w:tc>
          <w:tcPr>
            <w:tcW w:w="329" w:type="dxa"/>
            <w:tcBorders/>
            <w:shd w:fill="D5EAEA" w:val="clear"/>
            <w:vAlign w:val="center"/>
          </w:tcPr>
          <w:p>
            <w:pPr>
              <w:pStyle w:val="TableContents"/>
              <w:bidi w:val="0"/>
              <w:spacing w:before="0" w:after="283"/>
              <w:ind w:left="0" w:right="0" w:firstLine="180"/>
              <w:jc w:val="left"/>
              <w:rPr/>
            </w:pPr>
            <w:r>
              <w:rPr/>
              <w:t>)</w:t>
            </w:r>
          </w:p>
        </w:tc>
      </w:tr>
      <w:tr>
        <w:trPr/>
        <w:tc>
          <w:tcPr>
            <w:tcW w:w="6760" w:type="dxa"/>
            <w:tcBorders/>
            <w:shd w:fill="FFFFFF" w:val="clear"/>
            <w:vAlign w:val="center"/>
          </w:tcPr>
          <w:p>
            <w:pPr>
              <w:pStyle w:val="TableContents"/>
              <w:bidi w:val="0"/>
              <w:spacing w:before="0" w:after="283"/>
              <w:jc w:val="left"/>
              <w:rPr/>
            </w:pPr>
            <w:r>
              <w:rPr/>
              <w:t>Unrealized gain on available-for-sale investments, net of tax effect of nil</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536</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FFFFFF" w:val="clear"/>
            <w:tcMar>
              <w:bottom w:w="28" w:type="dxa"/>
            </w:tcMar>
            <w:vAlign w:val="center"/>
          </w:tcPr>
          <w:p>
            <w:pPr>
              <w:pStyle w:val="TableContents"/>
              <w:bidi w:val="0"/>
              <w:spacing w:before="0" w:after="283"/>
              <w:jc w:val="right"/>
              <w:rPr/>
            </w:pPr>
            <w:r>
              <w:rPr/>
              <w:t>79</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6760" w:type="dxa"/>
            <w:tcBorders/>
            <w:shd w:fill="D5EAEA" w:val="clear"/>
            <w:vAlign w:val="center"/>
          </w:tcPr>
          <w:p>
            <w:pPr>
              <w:pStyle w:val="TableContents"/>
              <w:bidi w:val="0"/>
              <w:spacing w:before="0" w:after="283"/>
              <w:jc w:val="left"/>
              <w:rPr/>
            </w:pPr>
            <w:r>
              <w:rPr/>
              <w:t>Total comprehensive income</w:t>
            </w:r>
          </w:p>
        </w:tc>
        <w:tc>
          <w:tcPr>
            <w:tcW w:w="60" w:type="dxa"/>
            <w:tcBorders/>
            <w:shd w:fill="D5EAEA" w:val="clear"/>
            <w:vAlign w:val="center"/>
          </w:tcPr>
          <w:p>
            <w:pPr>
              <w:pStyle w:val="TableContents"/>
              <w:bidi w:val="0"/>
              <w:spacing w:before="0" w:after="283"/>
              <w:jc w:val="left"/>
              <w:rPr/>
            </w:pPr>
            <w:r>
              <w:rPr/>
              <w:t> </w:t>
            </w:r>
          </w:p>
        </w:tc>
        <w:tc>
          <w:tcPr>
            <w:tcW w:w="6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D5EAEA" w:val="clear"/>
            <w:tcMar>
              <w:bottom w:w="28" w:type="dxa"/>
            </w:tcMar>
            <w:vAlign w:val="center"/>
          </w:tcPr>
          <w:p>
            <w:pPr>
              <w:pStyle w:val="TableContents"/>
              <w:bidi w:val="0"/>
              <w:spacing w:before="0" w:after="283"/>
              <w:jc w:val="right"/>
              <w:rPr/>
            </w:pPr>
            <w:r>
              <w:rPr/>
              <w:t>190,392</w:t>
            </w:r>
          </w:p>
        </w:tc>
        <w:tc>
          <w:tcPr>
            <w:tcW w:w="10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6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D5EAEA" w:val="clear"/>
            <w:tcMar>
              <w:bottom w:w="28" w:type="dxa"/>
            </w:tcMar>
            <w:vAlign w:val="center"/>
          </w:tcPr>
          <w:p>
            <w:pPr>
              <w:pStyle w:val="TableContents"/>
              <w:bidi w:val="0"/>
              <w:spacing w:before="0" w:after="283"/>
              <w:jc w:val="right"/>
              <w:rPr/>
            </w:pPr>
            <w:r>
              <w:rPr/>
              <w:t>139,177</w:t>
            </w:r>
          </w:p>
        </w:tc>
        <w:tc>
          <w:tcPr>
            <w:tcW w:w="10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6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D5EAEA" w:val="clear"/>
            <w:tcMar>
              <w:bottom w:w="28" w:type="dxa"/>
            </w:tcMar>
            <w:vAlign w:val="center"/>
          </w:tcPr>
          <w:p>
            <w:pPr>
              <w:pStyle w:val="TableContents"/>
              <w:bidi w:val="0"/>
              <w:spacing w:before="0" w:after="283"/>
              <w:jc w:val="right"/>
              <w:rPr/>
            </w:pPr>
            <w:r>
              <w:rPr/>
              <w:t>20,511</w:t>
            </w:r>
          </w:p>
        </w:tc>
        <w:tc>
          <w:tcPr>
            <w:tcW w:w="329"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6760" w:type="dxa"/>
            <w:tcBorders/>
            <w:shd w:fill="FFFFFF" w:val="clear"/>
            <w:vAlign w:val="center"/>
          </w:tcPr>
          <w:p>
            <w:pPr>
              <w:pStyle w:val="TableContents"/>
              <w:bidi w:val="0"/>
              <w:spacing w:before="0" w:after="283"/>
              <w:jc w:val="left"/>
              <w:rPr/>
            </w:pPr>
            <w:r>
              <w:rPr/>
              <w:t xml:space="preserve">Less: comprehensive income attributable to non-controlling interest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329" w:type="dxa"/>
            <w:tcBorders>
              <w:bottom w:val="single" w:sz="8" w:space="0" w:color="000000"/>
            </w:tcBorders>
            <w:shd w:fill="FFFFFF" w:val="clear"/>
            <w:tcMar>
              <w:bottom w:w="28" w:type="dxa"/>
            </w:tcMar>
            <w:vAlign w:val="center"/>
          </w:tcPr>
          <w:p>
            <w:pPr>
              <w:pStyle w:val="TableContents"/>
              <w:bidi w:val="0"/>
              <w:spacing w:before="0" w:after="283"/>
              <w:ind w:left="0" w:right="0" w:hanging="360"/>
              <w:jc w:val="left"/>
              <w:rPr/>
            </w:pPr>
            <w:r>
              <w:rPr/>
              <w:t> </w:t>
            </w:r>
          </w:p>
        </w:tc>
      </w:tr>
      <w:tr>
        <w:trPr/>
        <w:tc>
          <w:tcPr>
            <w:tcW w:w="6760" w:type="dxa"/>
            <w:tcBorders/>
            <w:shd w:fill="D5EAEA" w:val="clear"/>
            <w:vAlign w:val="center"/>
          </w:tcPr>
          <w:p>
            <w:pPr>
              <w:pStyle w:val="TableContents"/>
              <w:bidi w:val="0"/>
              <w:spacing w:before="0" w:after="283"/>
              <w:jc w:val="left"/>
              <w:rPr/>
            </w:pPr>
            <w:r>
              <w:rPr/>
              <w:t>Comprehensive income attributable to Sunlands Technology Group</w:t>
            </w:r>
          </w:p>
        </w:tc>
        <w:tc>
          <w:tcPr>
            <w:tcW w:w="60" w:type="dxa"/>
            <w:tcBorders/>
            <w:shd w:fill="D5EAEA" w:val="clear"/>
            <w:vAlign w:val="center"/>
          </w:tcPr>
          <w:p>
            <w:pPr>
              <w:pStyle w:val="TableContents"/>
              <w:bidi w:val="0"/>
              <w:spacing w:before="0" w:after="283"/>
              <w:jc w:val="left"/>
              <w:rPr/>
            </w:pPr>
            <w:r>
              <w:rPr/>
              <w:t> </w:t>
            </w:r>
          </w:p>
        </w:tc>
        <w:tc>
          <w:tcPr>
            <w:tcW w:w="6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D5EAEA" w:val="clear"/>
            <w:tcMar>
              <w:bottom w:w="28" w:type="dxa"/>
            </w:tcMar>
            <w:vAlign w:val="center"/>
          </w:tcPr>
          <w:p>
            <w:pPr>
              <w:pStyle w:val="TableContents"/>
              <w:bidi w:val="0"/>
              <w:spacing w:before="0" w:after="283"/>
              <w:jc w:val="right"/>
              <w:rPr/>
            </w:pPr>
            <w:r>
              <w:rPr/>
              <w:t>190,392</w:t>
            </w:r>
          </w:p>
        </w:tc>
        <w:tc>
          <w:tcPr>
            <w:tcW w:w="10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6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D5EAEA" w:val="clear"/>
            <w:tcMar>
              <w:bottom w:w="28" w:type="dxa"/>
            </w:tcMar>
            <w:vAlign w:val="center"/>
          </w:tcPr>
          <w:p>
            <w:pPr>
              <w:pStyle w:val="TableContents"/>
              <w:bidi w:val="0"/>
              <w:spacing w:before="0" w:after="283"/>
              <w:jc w:val="right"/>
              <w:rPr/>
            </w:pPr>
            <w:r>
              <w:rPr/>
              <w:t>139,177</w:t>
            </w:r>
          </w:p>
        </w:tc>
        <w:tc>
          <w:tcPr>
            <w:tcW w:w="104"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65" w:type="dxa"/>
            <w:tcBorders/>
            <w:shd w:fill="D5EAEA" w:val="clear"/>
            <w:vAlign w:val="center"/>
          </w:tcPr>
          <w:p>
            <w:pPr>
              <w:pStyle w:val="TableContents"/>
              <w:bidi w:val="0"/>
              <w:spacing w:before="0" w:after="283"/>
              <w:jc w:val="left"/>
              <w:rPr/>
            </w:pPr>
            <w:r>
              <w:rPr/>
              <w:t> </w:t>
            </w:r>
          </w:p>
        </w:tc>
        <w:tc>
          <w:tcPr>
            <w:tcW w:w="65"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D5EAEA" w:val="clear"/>
            <w:tcMar>
              <w:bottom w:w="28" w:type="dxa"/>
            </w:tcMar>
            <w:vAlign w:val="center"/>
          </w:tcPr>
          <w:p>
            <w:pPr>
              <w:pStyle w:val="TableContents"/>
              <w:bidi w:val="0"/>
              <w:spacing w:before="0" w:after="283"/>
              <w:jc w:val="right"/>
              <w:rPr/>
            </w:pPr>
            <w:r>
              <w:rPr/>
              <w:t>20,511</w:t>
            </w:r>
          </w:p>
        </w:tc>
        <w:tc>
          <w:tcPr>
            <w:tcW w:w="329"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7445" w:type="dxa"/>
        <w:jc w:val="left"/>
        <w:tblInd w:w="0" w:type="dxa"/>
        <w:tblLayout w:type="fixed"/>
        <w:tblCellMar>
          <w:top w:w="0" w:type="dxa"/>
          <w:left w:w="0" w:type="dxa"/>
          <w:bottom w:w="0" w:type="dxa"/>
          <w:right w:w="0" w:type="dxa"/>
        </w:tblCellMar>
      </w:tblPr>
      <w:tblGrid>
        <w:gridCol w:w="3995"/>
        <w:gridCol w:w="60"/>
        <w:gridCol w:w="90"/>
        <w:gridCol w:w="1485"/>
        <w:gridCol w:w="143"/>
        <w:gridCol w:w="90"/>
        <w:gridCol w:w="90"/>
        <w:gridCol w:w="1326"/>
        <w:gridCol w:w="166"/>
      </w:tblGrid>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0" w:type="dxa"/>
            <w:gridSpan w:val="7"/>
            <w:tcBorders>
              <w:bottom w:val="single" w:sz="8" w:space="0" w:color="000000"/>
            </w:tcBorders>
            <w:tcMar>
              <w:bottom w:w="28" w:type="dxa"/>
            </w:tcMar>
            <w:vAlign w:val="center"/>
          </w:tcPr>
          <w:p>
            <w:pPr>
              <w:pStyle w:val="TableContents"/>
              <w:bidi w:val="0"/>
              <w:spacing w:before="0" w:after="283"/>
              <w:jc w:val="center"/>
              <w:rPr/>
            </w:pPr>
            <w:r>
              <w:rPr/>
              <w:t>For the Six Months Ended June 30,</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8" w:type="dxa"/>
            <w:gridSpan w:val="3"/>
            <w:tcBorders>
              <w:bottom w:val="single" w:sz="8" w:space="0" w:color="000000"/>
            </w:tcBorders>
            <w:tcMar>
              <w:bottom w:w="28" w:type="dxa"/>
            </w:tcMar>
            <w:vAlign w:val="center"/>
          </w:tcPr>
          <w:p>
            <w:pPr>
              <w:pStyle w:val="TableContents"/>
              <w:bidi w:val="0"/>
              <w:spacing w:before="0" w:after="283"/>
              <w:jc w:val="center"/>
              <w:rPr/>
            </w:pPr>
            <w:r>
              <w:rPr/>
              <w:t>2025</w:t>
            </w:r>
          </w:p>
        </w:tc>
        <w:tc>
          <w:tcPr>
            <w:tcW w:w="90" w:type="dxa"/>
            <w:tcBorders/>
            <w:vAlign w:val="center"/>
          </w:tcPr>
          <w:p>
            <w:pPr>
              <w:pStyle w:val="TableContents"/>
              <w:bidi w:val="0"/>
              <w:spacing w:before="0" w:after="283"/>
              <w:jc w:val="left"/>
              <w:rPr/>
            </w:pPr>
            <w:r>
              <w:rPr/>
              <w:t> </w:t>
            </w:r>
          </w:p>
        </w:tc>
        <w:tc>
          <w:tcPr>
            <w:tcW w:w="1582" w:type="dxa"/>
            <w:gridSpan w:val="3"/>
            <w:tcBorders>
              <w:bottom w:val="single" w:sz="8" w:space="0" w:color="000000"/>
            </w:tcBorders>
            <w:tcMar>
              <w:bottom w:w="28" w:type="dxa"/>
            </w:tcMar>
            <w:vAlign w:val="center"/>
          </w:tcPr>
          <w:p>
            <w:pPr>
              <w:pStyle w:val="TableContents"/>
              <w:bidi w:val="0"/>
              <w:spacing w:before="0" w:after="283"/>
              <w:jc w:val="center"/>
              <w:rPr/>
            </w:pPr>
            <w:r>
              <w:rPr/>
              <w:t>2026</w:t>
            </w:r>
          </w:p>
        </w:tc>
      </w:tr>
      <w:tr>
        <w:trPr/>
        <w:tc>
          <w:tcPr>
            <w:tcW w:w="39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8" w:type="dxa"/>
            <w:gridSpan w:val="3"/>
            <w:tcBorders/>
            <w:vAlign w:val="center"/>
          </w:tcPr>
          <w:p>
            <w:pPr>
              <w:pStyle w:val="TableContents"/>
              <w:bidi w:val="0"/>
              <w:spacing w:before="0" w:after="283"/>
              <w:jc w:val="center"/>
              <w:rPr/>
            </w:pPr>
            <w:r>
              <w:rPr/>
              <w:t>RMB</w:t>
            </w:r>
          </w:p>
        </w:tc>
        <w:tc>
          <w:tcPr>
            <w:tcW w:w="90" w:type="dxa"/>
            <w:tcBorders/>
            <w:vAlign w:val="center"/>
          </w:tcPr>
          <w:p>
            <w:pPr>
              <w:pStyle w:val="TableContents"/>
              <w:bidi w:val="0"/>
              <w:spacing w:before="0" w:after="283"/>
              <w:jc w:val="left"/>
              <w:rPr/>
            </w:pPr>
            <w:r>
              <w:rPr/>
              <w:t> </w:t>
            </w:r>
          </w:p>
        </w:tc>
        <w:tc>
          <w:tcPr>
            <w:tcW w:w="1582" w:type="dxa"/>
            <w:gridSpan w:val="3"/>
            <w:tcBorders/>
            <w:vAlign w:val="center"/>
          </w:tcPr>
          <w:p>
            <w:pPr>
              <w:pStyle w:val="TableContents"/>
              <w:bidi w:val="0"/>
              <w:spacing w:before="0" w:after="283"/>
              <w:jc w:val="center"/>
              <w:rPr/>
            </w:pPr>
            <w:r>
              <w:rPr/>
              <w:t>RMB</w:t>
            </w:r>
          </w:p>
        </w:tc>
      </w:tr>
      <w:tr>
        <w:trPr/>
        <w:tc>
          <w:tcPr>
            <w:tcW w:w="3995" w:type="dxa"/>
            <w:tcBorders/>
            <w:shd w:fill="D5EAEA" w:val="clear"/>
            <w:vAlign w:val="center"/>
          </w:tcPr>
          <w:p>
            <w:pPr>
              <w:pStyle w:val="TableContents"/>
              <w:bidi w:val="0"/>
              <w:spacing w:before="0" w:after="283"/>
              <w:jc w:val="left"/>
              <w:rPr/>
            </w:pPr>
            <w:r>
              <w:rPr/>
              <w:t>Net revenues</w:t>
            </w:r>
          </w:p>
        </w:tc>
        <w:tc>
          <w:tcPr>
            <w:tcW w:w="60" w:type="dxa"/>
            <w:tcBorders/>
            <w:shd w:fill="D5EAEA" w:val="clear"/>
            <w:vAlign w:val="center"/>
          </w:tcPr>
          <w:p>
            <w:pPr>
              <w:pStyle w:val="TableContents"/>
              <w:bidi w:val="0"/>
              <w:spacing w:before="0" w:after="283"/>
              <w:jc w:val="left"/>
              <w:rPr/>
            </w:pPr>
            <w:r>
              <w:rPr/>
              <w:t> </w:t>
            </w:r>
          </w:p>
        </w:tc>
        <w:tc>
          <w:tcPr>
            <w:tcW w:w="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D5EAEA" w:val="clear"/>
            <w:tcMar>
              <w:bottom w:w="28" w:type="dxa"/>
            </w:tcMar>
            <w:vAlign w:val="center"/>
          </w:tcPr>
          <w:p>
            <w:pPr>
              <w:pStyle w:val="TableContents"/>
              <w:bidi w:val="0"/>
              <w:spacing w:before="0" w:after="283"/>
              <w:jc w:val="right"/>
              <w:rPr/>
            </w:pPr>
            <w:r>
              <w:rPr/>
              <w:t>1,026,640</w:t>
            </w:r>
          </w:p>
        </w:tc>
        <w:tc>
          <w:tcPr>
            <w:tcW w:w="143"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D5EAEA" w:val="clear"/>
            <w:tcMar>
              <w:bottom w:w="28" w:type="dxa"/>
            </w:tcMar>
            <w:vAlign w:val="center"/>
          </w:tcPr>
          <w:p>
            <w:pPr>
              <w:pStyle w:val="TableContents"/>
              <w:bidi w:val="0"/>
              <w:spacing w:before="0" w:after="283"/>
              <w:jc w:val="right"/>
              <w:rPr/>
            </w:pPr>
            <w:r>
              <w:rPr/>
              <w:t>847,027</w:t>
            </w:r>
          </w:p>
        </w:tc>
        <w:tc>
          <w:tcPr>
            <w:tcW w:w="16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Less: other revenues</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(119,486</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(112,355</w:t>
            </w:r>
          </w:p>
        </w:tc>
        <w:tc>
          <w:tcPr>
            <w:tcW w:w="166" w:type="dxa"/>
            <w:tcBorders/>
            <w:shd w:fill="FFFFFF" w:val="clear"/>
            <w:vAlign w:val="center"/>
          </w:tcPr>
          <w:p>
            <w:pPr>
              <w:pStyle w:val="TableContents"/>
              <w:bidi w:val="0"/>
              <w:spacing w:before="0" w:after="283"/>
              <w:jc w:val="left"/>
              <w:rPr/>
            </w:pPr>
            <w:r>
              <w:rPr/>
              <w:t>)</w:t>
            </w:r>
          </w:p>
        </w:tc>
      </w:tr>
      <w:tr>
        <w:trPr/>
        <w:tc>
          <w:tcPr>
            <w:tcW w:w="3995" w:type="dxa"/>
            <w:tcBorders/>
            <w:shd w:fill="D5EAEA" w:val="clear"/>
            <w:vAlign w:val="center"/>
          </w:tcPr>
          <w:p>
            <w:pPr>
              <w:pStyle w:val="TableContents"/>
              <w:bidi w:val="0"/>
              <w:spacing w:before="0" w:after="283"/>
              <w:jc w:val="left"/>
              <w:rPr/>
            </w:pPr>
            <w:r>
              <w:rPr/>
              <w:t>Add: tax and surcharges</w:t>
            </w:r>
          </w:p>
        </w:tc>
        <w:tc>
          <w:tcPr>
            <w:tcW w:w="6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485" w:type="dxa"/>
            <w:tcBorders/>
            <w:shd w:fill="D5EAEA" w:val="clear"/>
            <w:vAlign w:val="center"/>
          </w:tcPr>
          <w:p>
            <w:pPr>
              <w:pStyle w:val="TableContents"/>
              <w:bidi w:val="0"/>
              <w:spacing w:before="0" w:after="283"/>
              <w:jc w:val="right"/>
              <w:rPr/>
            </w:pPr>
            <w:r>
              <w:rPr/>
              <w:t>42,051</w:t>
            </w:r>
          </w:p>
        </w:tc>
        <w:tc>
          <w:tcPr>
            <w:tcW w:w="143"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326" w:type="dxa"/>
            <w:tcBorders/>
            <w:shd w:fill="D5EAEA" w:val="clear"/>
            <w:vAlign w:val="center"/>
          </w:tcPr>
          <w:p>
            <w:pPr>
              <w:pStyle w:val="TableContents"/>
              <w:bidi w:val="0"/>
              <w:spacing w:before="0" w:after="283"/>
              <w:jc w:val="right"/>
              <w:rPr/>
            </w:pPr>
            <w:r>
              <w:rPr/>
              <w:t>29,151</w:t>
            </w:r>
          </w:p>
        </w:tc>
        <w:tc>
          <w:tcPr>
            <w:tcW w:w="166"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Add: ending deferred revenue</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814,277</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433,454</w:t>
            </w:r>
          </w:p>
        </w:tc>
        <w:tc>
          <w:tcPr>
            <w:tcW w:w="166" w:type="dxa"/>
            <w:tcBorders/>
            <w:shd w:fill="FFFFFF" w:val="cle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left"/>
              <w:rPr/>
            </w:pPr>
            <w:r>
              <w:rPr/>
              <w:t>Add: ending refund liability</w:t>
            </w:r>
          </w:p>
        </w:tc>
        <w:tc>
          <w:tcPr>
            <w:tcW w:w="6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485" w:type="dxa"/>
            <w:tcBorders/>
            <w:shd w:fill="D5EAEA" w:val="clear"/>
            <w:vAlign w:val="center"/>
          </w:tcPr>
          <w:p>
            <w:pPr>
              <w:pStyle w:val="TableContents"/>
              <w:bidi w:val="0"/>
              <w:spacing w:before="0" w:after="283"/>
              <w:jc w:val="right"/>
              <w:rPr/>
            </w:pPr>
            <w:r>
              <w:rPr/>
              <w:t>77,942</w:t>
            </w:r>
          </w:p>
        </w:tc>
        <w:tc>
          <w:tcPr>
            <w:tcW w:w="143"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326" w:type="dxa"/>
            <w:tcBorders/>
            <w:shd w:fill="D5EAEA" w:val="clear"/>
            <w:vAlign w:val="center"/>
          </w:tcPr>
          <w:p>
            <w:pPr>
              <w:pStyle w:val="TableContents"/>
              <w:bidi w:val="0"/>
              <w:spacing w:before="0" w:after="283"/>
              <w:jc w:val="right"/>
              <w:rPr/>
            </w:pPr>
            <w:r>
              <w:rPr/>
              <w:t>43,368</w:t>
            </w:r>
          </w:p>
        </w:tc>
        <w:tc>
          <w:tcPr>
            <w:tcW w:w="166"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Less: beginning deferred revenue</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(916,510</w:t>
            </w:r>
          </w:p>
        </w:tc>
        <w:tc>
          <w:tcPr>
            <w:tcW w:w="143"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(585,294</w:t>
            </w:r>
          </w:p>
        </w:tc>
        <w:tc>
          <w:tcPr>
            <w:tcW w:w="166" w:type="dxa"/>
            <w:tcBorders/>
            <w:shd w:fill="FFFFFF" w:val="clear"/>
            <w:vAlign w:val="center"/>
          </w:tcPr>
          <w:p>
            <w:pPr>
              <w:pStyle w:val="TableContents"/>
              <w:bidi w:val="0"/>
              <w:spacing w:before="0" w:after="283"/>
              <w:jc w:val="left"/>
              <w:rPr/>
            </w:pPr>
            <w:r>
              <w:rPr/>
              <w:t>)</w:t>
            </w:r>
          </w:p>
        </w:tc>
      </w:tr>
      <w:tr>
        <w:trPr/>
        <w:tc>
          <w:tcPr>
            <w:tcW w:w="3995" w:type="dxa"/>
            <w:tcBorders/>
            <w:shd w:fill="D5EAEA" w:val="clear"/>
            <w:vAlign w:val="center"/>
          </w:tcPr>
          <w:p>
            <w:pPr>
              <w:pStyle w:val="TableContents"/>
              <w:bidi w:val="0"/>
              <w:spacing w:before="0" w:after="283"/>
              <w:jc w:val="left"/>
              <w:rPr/>
            </w:pPr>
            <w:r>
              <w:rPr/>
              <w:t>Less: beginning refund liability</w:t>
            </w:r>
          </w:p>
        </w:tc>
        <w:tc>
          <w:tcPr>
            <w:tcW w:w="60" w:type="dxa"/>
            <w:tcBorders/>
            <w:shd w:fill="D5EAEA" w:val="clear"/>
            <w:vAlign w:val="center"/>
          </w:tcPr>
          <w:p>
            <w:pPr>
              <w:pStyle w:val="TableContents"/>
              <w:bidi w:val="0"/>
              <w:spacing w:before="0" w:after="283"/>
              <w:jc w:val="left"/>
              <w:rPr/>
            </w:pPr>
            <w:r>
              <w:rPr/>
              <w:t> </w:t>
            </w:r>
          </w:p>
        </w:tc>
        <w:tc>
          <w:tcPr>
            <w:tcW w:w="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D5EAEA" w:val="clear"/>
            <w:tcMar>
              <w:bottom w:w="28" w:type="dxa"/>
            </w:tcMar>
            <w:vAlign w:val="center"/>
          </w:tcPr>
          <w:p>
            <w:pPr>
              <w:pStyle w:val="TableContents"/>
              <w:bidi w:val="0"/>
              <w:spacing w:before="0" w:after="283"/>
              <w:jc w:val="right"/>
              <w:rPr/>
            </w:pPr>
            <w:r>
              <w:rPr/>
              <w:t>(112,342</w:t>
            </w:r>
          </w:p>
        </w:tc>
        <w:tc>
          <w:tcPr>
            <w:tcW w:w="143"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c>
          <w:tcPr>
            <w:tcW w:w="90" w:type="dxa"/>
            <w:tcBorders/>
            <w:shd w:fill="D5EAEA" w:val="clear"/>
            <w:vAlign w:val="center"/>
          </w:tcPr>
          <w:p>
            <w:pPr>
              <w:pStyle w:val="TableContents"/>
              <w:bidi w:val="0"/>
              <w:spacing w:before="0" w:after="283"/>
              <w:jc w:val="left"/>
              <w:rPr/>
            </w:pPr>
            <w:r>
              <w:rPr/>
              <w:t> </w:t>
            </w:r>
          </w:p>
        </w:tc>
        <w:tc>
          <w:tcPr>
            <w:tcW w:w="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D5EAEA" w:val="clear"/>
            <w:tcMar>
              <w:bottom w:w="28" w:type="dxa"/>
            </w:tcMar>
            <w:vAlign w:val="center"/>
          </w:tcPr>
          <w:p>
            <w:pPr>
              <w:pStyle w:val="TableContents"/>
              <w:bidi w:val="0"/>
              <w:spacing w:before="0" w:after="283"/>
              <w:jc w:val="right"/>
              <w:rPr/>
            </w:pPr>
            <w:r>
              <w:rPr/>
              <w:t>(64,393</w:t>
            </w:r>
          </w:p>
        </w:tc>
        <w:tc>
          <w:tcPr>
            <w:tcW w:w="166" w:type="dxa"/>
            <w:tcBorders>
              <w:bottom w:val="single" w:sz="8" w:space="0" w:color="000000"/>
            </w:tcBorders>
            <w:shd w:fill="D5EAEA" w:val="clear"/>
            <w:tcMar>
              <w:bottom w:w="28" w:type="dxa"/>
            </w:tcM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Gross billings (non-GAAP)</w:t>
            </w:r>
          </w:p>
        </w:tc>
        <w:tc>
          <w:tcPr>
            <w:tcW w:w="6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85" w:type="dxa"/>
            <w:tcBorders>
              <w:bottom w:val="double" w:sz="6" w:space="0" w:color="000000"/>
            </w:tcBorders>
            <w:shd w:fill="FFFFFF" w:val="clear"/>
            <w:tcMar>
              <w:bottom w:w="28" w:type="dxa"/>
            </w:tcMar>
            <w:vAlign w:val="center"/>
          </w:tcPr>
          <w:p>
            <w:pPr>
              <w:pStyle w:val="TableContents"/>
              <w:bidi w:val="0"/>
              <w:spacing w:before="0" w:after="283"/>
              <w:jc w:val="right"/>
              <w:rPr/>
            </w:pPr>
            <w:r>
              <w:rPr/>
              <w:t>812,572</w:t>
            </w:r>
          </w:p>
        </w:tc>
        <w:tc>
          <w:tcPr>
            <w:tcW w:w="14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double" w:sz="6" w:space="0" w:color="000000"/>
            </w:tcBorders>
            <w:shd w:fill="FFFFFF" w:val="clear"/>
            <w:tcMar>
              <w:bottom w:w="28" w:type="dxa"/>
            </w:tcMar>
            <w:vAlign w:val="center"/>
          </w:tcPr>
          <w:p>
            <w:pPr>
              <w:pStyle w:val="TableContents"/>
              <w:bidi w:val="0"/>
              <w:spacing w:before="0" w:after="283"/>
              <w:jc w:val="right"/>
              <w:rPr/>
            </w:pPr>
            <w:r>
              <w:rPr/>
              <w:t>590,958</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485" w:type="dxa"/>
            <w:tcBorders/>
            <w:shd w:fill="D5EAEA" w:val="clear"/>
            <w:vAlign w:val="center"/>
          </w:tcPr>
          <w:p>
            <w:pPr>
              <w:pStyle w:val="TableContents"/>
              <w:bidi w:val="0"/>
              <w:spacing w:before="0" w:after="283"/>
              <w:jc w:val="right"/>
              <w:rPr/>
            </w:pPr>
            <w:r>
              <w:rPr/>
              <w:t> </w:t>
            </w:r>
          </w:p>
        </w:tc>
        <w:tc>
          <w:tcPr>
            <w:tcW w:w="143"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326" w:type="dxa"/>
            <w:tcBorders/>
            <w:shd w:fill="D5EAEA" w:val="clear"/>
            <w:vAlign w:val="center"/>
          </w:tcPr>
          <w:p>
            <w:pPr>
              <w:pStyle w:val="TableContents"/>
              <w:bidi w:val="0"/>
              <w:spacing w:before="0" w:after="283"/>
              <w:jc w:val="right"/>
              <w:rPr/>
            </w:pPr>
            <w:r>
              <w:rPr/>
              <w:t> </w:t>
            </w:r>
          </w:p>
        </w:tc>
        <w:tc>
          <w:tcPr>
            <w:tcW w:w="166"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 </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485" w:type="dxa"/>
            <w:tcBorders/>
            <w:shd w:fill="D5EAEA" w:val="clear"/>
            <w:vAlign w:val="center"/>
          </w:tcPr>
          <w:p>
            <w:pPr>
              <w:pStyle w:val="TableContents"/>
              <w:bidi w:val="0"/>
              <w:spacing w:before="0" w:after="283"/>
              <w:jc w:val="right"/>
              <w:rPr/>
            </w:pPr>
            <w:r>
              <w:rPr/>
              <w:t> </w:t>
            </w:r>
          </w:p>
        </w:tc>
        <w:tc>
          <w:tcPr>
            <w:tcW w:w="143"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326" w:type="dxa"/>
            <w:tcBorders/>
            <w:shd w:fill="D5EAEA" w:val="clear"/>
            <w:vAlign w:val="center"/>
          </w:tcPr>
          <w:p>
            <w:pPr>
              <w:pStyle w:val="TableContents"/>
              <w:bidi w:val="0"/>
              <w:spacing w:before="0" w:after="283"/>
              <w:jc w:val="right"/>
              <w:rPr/>
            </w:pPr>
            <w:r>
              <w:rPr/>
              <w:t> </w:t>
            </w:r>
          </w:p>
        </w:tc>
        <w:tc>
          <w:tcPr>
            <w:tcW w:w="166"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pPr>
            <w:r>
              <w:rPr/>
              <w:t>201,821</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pPr>
            <w:r>
              <w:rPr/>
              <w:t>160,307</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left"/>
              <w:rPr/>
            </w:pPr>
            <w:r>
              <w:rPr/>
              <w:t>Add: income tax expenses</w:t>
            </w:r>
          </w:p>
        </w:tc>
        <w:tc>
          <w:tcPr>
            <w:tcW w:w="6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485" w:type="dxa"/>
            <w:tcBorders/>
            <w:shd w:fill="D5EAEA" w:val="clear"/>
            <w:vAlign w:val="center"/>
          </w:tcPr>
          <w:p>
            <w:pPr>
              <w:pStyle w:val="TableContents"/>
              <w:bidi w:val="0"/>
              <w:spacing w:before="0" w:after="283"/>
              <w:jc w:val="right"/>
              <w:rPr/>
            </w:pPr>
            <w:r>
              <w:rPr/>
              <w:t>23,324</w:t>
            </w:r>
          </w:p>
        </w:tc>
        <w:tc>
          <w:tcPr>
            <w:tcW w:w="143"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326" w:type="dxa"/>
            <w:tcBorders/>
            <w:shd w:fill="D5EAEA" w:val="clear"/>
            <w:vAlign w:val="center"/>
          </w:tcPr>
          <w:p>
            <w:pPr>
              <w:pStyle w:val="TableContents"/>
              <w:bidi w:val="0"/>
              <w:spacing w:before="0" w:after="283"/>
              <w:jc w:val="right"/>
              <w:rPr/>
            </w:pPr>
            <w:r>
              <w:rPr/>
              <w:t>42,963</w:t>
            </w:r>
          </w:p>
        </w:tc>
        <w:tc>
          <w:tcPr>
            <w:tcW w:w="166"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Add: depreciation and amortization</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485" w:type="dxa"/>
            <w:tcBorders/>
            <w:shd w:fill="FFFFFF" w:val="clear"/>
            <w:vAlign w:val="center"/>
          </w:tcPr>
          <w:p>
            <w:pPr>
              <w:pStyle w:val="TableContents"/>
              <w:bidi w:val="0"/>
              <w:spacing w:before="0" w:after="283"/>
              <w:jc w:val="right"/>
              <w:rPr/>
            </w:pPr>
            <w:r>
              <w:rPr/>
              <w:t>14,423</w:t>
            </w:r>
          </w:p>
        </w:tc>
        <w:tc>
          <w:tcPr>
            <w:tcW w:w="143"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11,953</w:t>
            </w:r>
          </w:p>
        </w:tc>
        <w:tc>
          <w:tcPr>
            <w:tcW w:w="166" w:type="dxa"/>
            <w:tcBorders/>
            <w:shd w:fill="FFFFFF" w:val="cle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left"/>
              <w:rPr/>
            </w:pPr>
            <w:r>
              <w:rPr/>
              <w:t>Add: interest expense</w:t>
            </w:r>
          </w:p>
        </w:tc>
        <w:tc>
          <w:tcPr>
            <w:tcW w:w="6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485" w:type="dxa"/>
            <w:tcBorders/>
            <w:shd w:fill="D5EAEA" w:val="clear"/>
            <w:vAlign w:val="center"/>
          </w:tcPr>
          <w:p>
            <w:pPr>
              <w:pStyle w:val="TableContents"/>
              <w:bidi w:val="0"/>
              <w:spacing w:before="0" w:after="283"/>
              <w:jc w:val="right"/>
              <w:rPr/>
            </w:pPr>
            <w:r>
              <w:rPr/>
              <w:t>680</w:t>
            </w:r>
          </w:p>
        </w:tc>
        <w:tc>
          <w:tcPr>
            <w:tcW w:w="143"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1326" w:type="dxa"/>
            <w:tcBorders/>
            <w:shd w:fill="D5EAEA" w:val="clear"/>
            <w:vAlign w:val="center"/>
          </w:tcPr>
          <w:p>
            <w:pPr>
              <w:pStyle w:val="TableContents"/>
              <w:bidi w:val="0"/>
              <w:spacing w:before="0" w:after="283"/>
              <w:jc w:val="right"/>
              <w:rPr/>
            </w:pPr>
            <w:r>
              <w:rPr/>
              <w:t>-</w:t>
            </w:r>
          </w:p>
        </w:tc>
        <w:tc>
          <w:tcPr>
            <w:tcW w:w="166" w:type="dxa"/>
            <w:tcBorders/>
            <w:shd w:fill="D5EAEA"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Less: interest income</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pPr>
            <w:r>
              <w:rPr/>
              <w:t>(12,141</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pPr>
            <w:r>
              <w:rPr/>
              <w:t>(10,973</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r>
      <w:tr>
        <w:trPr/>
        <w:tc>
          <w:tcPr>
            <w:tcW w:w="3995" w:type="dxa"/>
            <w:tcBorders/>
            <w:shd w:fill="D5EAEA" w:val="clear"/>
            <w:vAlign w:val="center"/>
          </w:tcPr>
          <w:p>
            <w:pPr>
              <w:pStyle w:val="TableContents"/>
              <w:bidi w:val="0"/>
              <w:spacing w:before="0" w:after="283"/>
              <w:jc w:val="left"/>
              <w:rPr/>
            </w:pPr>
            <w:r>
              <w:rPr/>
              <w:t>EBITDA (non-GAAP)</w:t>
            </w:r>
          </w:p>
        </w:tc>
        <w:tc>
          <w:tcPr>
            <w:tcW w:w="60" w:type="dxa"/>
            <w:tcBorders/>
            <w:shd w:fill="D5EAEA" w:val="clear"/>
            <w:vAlign w:val="center"/>
          </w:tcPr>
          <w:p>
            <w:pPr>
              <w:pStyle w:val="TableContents"/>
              <w:bidi w:val="0"/>
              <w:spacing w:before="0" w:after="283"/>
              <w:jc w:val="left"/>
              <w:rPr/>
            </w:pPr>
            <w:r>
              <w:rPr/>
              <w:t> </w:t>
            </w:r>
          </w:p>
        </w:tc>
        <w:tc>
          <w:tcPr>
            <w:tcW w:w="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D5EAEA" w:val="clear"/>
            <w:tcMar>
              <w:bottom w:w="28" w:type="dxa"/>
            </w:tcMar>
            <w:vAlign w:val="center"/>
          </w:tcPr>
          <w:p>
            <w:pPr>
              <w:pStyle w:val="TableContents"/>
              <w:bidi w:val="0"/>
              <w:spacing w:before="0" w:after="283"/>
              <w:jc w:val="right"/>
              <w:rPr/>
            </w:pPr>
            <w:r>
              <w:rPr/>
              <w:t>228,107</w:t>
            </w:r>
          </w:p>
        </w:tc>
        <w:tc>
          <w:tcPr>
            <w:tcW w:w="143"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D5EAEA" w:val="clear"/>
            <w:tcMar>
              <w:bottom w:w="28" w:type="dxa"/>
            </w:tcMar>
            <w:vAlign w:val="center"/>
          </w:tcPr>
          <w:p>
            <w:pPr>
              <w:pStyle w:val="TableContents"/>
              <w:bidi w:val="0"/>
              <w:spacing w:before="0" w:after="283"/>
              <w:jc w:val="right"/>
              <w:rPr/>
            </w:pPr>
            <w:r>
              <w:rPr/>
              <w:t>204,250</w:t>
            </w:r>
          </w:p>
        </w:tc>
        <w:tc>
          <w:tcPr>
            <w:tcW w:w="166" w:type="dxa"/>
            <w:tcBorders>
              <w:bottom w:val="single" w:sz="8" w:space="0" w:color="000000"/>
            </w:tcBorders>
            <w:shd w:fill="D5EAEA"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both"/>
              <w:rPr/>
            </w:pPr>
            <w:r>
              <w:rPr/>
              <w:t>Add: Impairment loss on long-lived assets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D5EAEA" w:val="clear"/>
            <w:vAlign w:val="center"/>
          </w:tcPr>
          <w:p>
            <w:pPr>
              <w:pStyle w:val="TableContents"/>
              <w:bidi w:val="0"/>
              <w:spacing w:before="0" w:after="283"/>
              <w:jc w:val="both"/>
              <w:rPr/>
            </w:pPr>
            <w:r>
              <w:rPr/>
              <w:t>Adjusted EBITDA (non-GAAP)</w:t>
            </w:r>
          </w:p>
        </w:tc>
        <w:tc>
          <w:tcPr>
            <w:tcW w:w="60" w:type="dxa"/>
            <w:tcBorders/>
            <w:shd w:fill="D5EAEA" w:val="clear"/>
            <w:vAlign w:val="center"/>
          </w:tcPr>
          <w:p>
            <w:pPr>
              <w:pStyle w:val="TableContents"/>
              <w:bidi w:val="0"/>
              <w:spacing w:before="0" w:after="283"/>
              <w:jc w:val="left"/>
              <w:rPr/>
            </w:pPr>
            <w:r>
              <w:rPr/>
              <w:t> </w:t>
            </w:r>
          </w:p>
        </w:tc>
        <w:tc>
          <w:tcPr>
            <w:tcW w:w="90"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1485" w:type="dxa"/>
            <w:tcBorders>
              <w:bottom w:val="double" w:sz="6" w:space="0" w:color="000000"/>
            </w:tcBorders>
            <w:shd w:fill="D5EAEA" w:val="clear"/>
            <w:tcMar>
              <w:bottom w:w="28" w:type="dxa"/>
            </w:tcMar>
            <w:vAlign w:val="center"/>
          </w:tcPr>
          <w:p>
            <w:pPr>
              <w:pStyle w:val="TableContents"/>
              <w:bidi w:val="0"/>
              <w:spacing w:before="0" w:after="283"/>
              <w:jc w:val="right"/>
              <w:rPr/>
            </w:pPr>
            <w:r>
              <w:rPr/>
              <w:t>228,107</w:t>
            </w:r>
          </w:p>
        </w:tc>
        <w:tc>
          <w:tcPr>
            <w:tcW w:w="143"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90" w:type="dxa"/>
            <w:tcBorders/>
            <w:shd w:fill="D5EAEA" w:val="clear"/>
            <w:vAlign w:val="center"/>
          </w:tcPr>
          <w:p>
            <w:pPr>
              <w:pStyle w:val="TableContents"/>
              <w:bidi w:val="0"/>
              <w:spacing w:before="0" w:after="283"/>
              <w:jc w:val="left"/>
              <w:rPr/>
            </w:pPr>
            <w:r>
              <w:rPr/>
              <w:t> </w:t>
            </w:r>
          </w:p>
        </w:tc>
        <w:tc>
          <w:tcPr>
            <w:tcW w:w="90"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c>
          <w:tcPr>
            <w:tcW w:w="1326" w:type="dxa"/>
            <w:tcBorders>
              <w:bottom w:val="double" w:sz="6" w:space="0" w:color="000000"/>
            </w:tcBorders>
            <w:shd w:fill="D5EAEA" w:val="clear"/>
            <w:tcMar>
              <w:bottom w:w="28" w:type="dxa"/>
            </w:tcMar>
            <w:vAlign w:val="center"/>
          </w:tcPr>
          <w:p>
            <w:pPr>
              <w:pStyle w:val="TableContents"/>
              <w:bidi w:val="0"/>
              <w:spacing w:before="0" w:after="283"/>
              <w:jc w:val="right"/>
              <w:rPr/>
            </w:pPr>
            <w:r>
              <w:rPr/>
              <w:t>204,250</w:t>
            </w:r>
          </w:p>
        </w:tc>
        <w:tc>
          <w:tcPr>
            <w:tcW w:w="166" w:type="dxa"/>
            <w:tcBorders>
              <w:bottom w:val="double" w:sz="6" w:space="0" w:color="000000"/>
            </w:tcBorders>
            <w:shd w:fill="D5EAEA"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3761</Words>
  <Characters>21392</Characters>
  <CharactersWithSpaces>26088</CharactersWithSpaces>
  <Paragraphs>2411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