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3"/>
          <w:szCs w:val="13"/>
          <w:b w:val="1"/>
          <w:bCs w:val="1"/>
          <w:color w:val="181717"/>
        </w:rPr>
        <w:drawing>
          <wp:anchor simplePos="0" relativeHeight="251657728" behindDoc="1" locked="0" layoutInCell="0" allowOverlap="1">
            <wp:simplePos x="0" y="0"/>
            <wp:positionH relativeFrom="page">
              <wp:posOffset>203200</wp:posOffset>
            </wp:positionH>
            <wp:positionV relativeFrom="page">
              <wp:posOffset>152400</wp:posOffset>
            </wp:positionV>
            <wp:extent cx="71431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168275</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jc w:val="center"/>
        <w:ind w:right="20"/>
        <w:spacing w:after="0" w:line="222" w:lineRule="auto"/>
        <w:rPr>
          <w:sz w:val="20"/>
          <w:szCs w:val="20"/>
          <w:color w:val="auto"/>
        </w:rPr>
      </w:pPr>
      <w:r>
        <w:rPr>
          <w:rFonts w:ascii="Arial" w:cs="Arial" w:eastAsia="Arial" w:hAnsi="Arial"/>
          <w:sz w:val="13"/>
          <w:szCs w:val="13"/>
          <w:b w:val="1"/>
          <w:bCs w:val="1"/>
          <w:color w:val="181717"/>
        </w:rPr>
        <w:t>SECURITIES AND EXCHANGE COMMISSION</w:t>
      </w:r>
    </w:p>
    <w:p>
      <w:pPr>
        <w:jc w:val="center"/>
        <w:ind w:right="20"/>
        <w:spacing w:after="0"/>
        <w:rPr>
          <w:sz w:val="20"/>
          <w:szCs w:val="20"/>
          <w:color w:val="auto"/>
        </w:rPr>
      </w:pPr>
      <w:r>
        <w:rPr>
          <w:rFonts w:ascii="Arial" w:cs="Arial" w:eastAsia="Arial" w:hAnsi="Arial"/>
          <w:sz w:val="13"/>
          <w:szCs w:val="13"/>
          <w:b w:val="1"/>
          <w:bCs w:val="1"/>
          <w:color w:val="181717"/>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431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181717"/>
        </w:rPr>
        <w:t>FORM 20-F</w:t>
      </w:r>
    </w:p>
    <w:p>
      <w:pPr>
        <w:spacing w:after="0" w:line="3" w:lineRule="exact"/>
        <w:rPr>
          <w:sz w:val="24"/>
          <w:szCs w:val="24"/>
          <w:color w:val="auto"/>
        </w:rPr>
      </w:pPr>
    </w:p>
    <w:p>
      <w:pPr>
        <w:spacing w:after="0"/>
        <w:rPr>
          <w:sz w:val="20"/>
          <w:szCs w:val="20"/>
          <w:color w:val="auto"/>
        </w:rPr>
      </w:pPr>
      <w:r>
        <w:rPr>
          <w:rFonts w:ascii="Arial" w:cs="Arial" w:eastAsia="Arial" w:hAnsi="Arial"/>
          <w:sz w:val="12"/>
          <w:szCs w:val="12"/>
          <w:b w:val="1"/>
          <w:bCs w:val="1"/>
          <w:color w:val="181717"/>
        </w:rPr>
        <w:t>(Mark One)</w:t>
      </w:r>
    </w:p>
    <w:p>
      <w:pPr>
        <w:ind w:left="400" w:hanging="400"/>
        <w:spacing w:after="0"/>
        <w:tabs>
          <w:tab w:leader="none" w:pos="400" w:val="left"/>
        </w:tabs>
        <w:numPr>
          <w:ilvl w:val="0"/>
          <w:numId w:val="1"/>
        </w:numPr>
        <w:rPr>
          <w:rFonts w:ascii="MS PGothic" w:cs="MS PGothic" w:eastAsia="MS PGothic" w:hAnsi="MS PGothic"/>
          <w:sz w:val="12"/>
          <w:szCs w:val="12"/>
          <w:color w:val="auto"/>
          <w:shd w:val="clear" w:color="auto" w:fill="181717"/>
        </w:rPr>
      </w:pPr>
      <w:r>
        <w:rPr>
          <w:rFonts w:ascii="Arial" w:cs="Arial" w:eastAsia="Arial" w:hAnsi="Arial"/>
          <w:sz w:val="12"/>
          <w:szCs w:val="12"/>
          <w:b w:val="1"/>
          <w:bCs w:val="1"/>
          <w:color w:val="181717"/>
        </w:rPr>
        <w:t>REGISTRATION STATEMENT PURSUANT TO SECTION 12(b) OR (g) OF THE SECURITIES EXCHANGE ACT OF 1934</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181717"/>
        </w:rPr>
        <w:t>OR</w:t>
      </w:r>
    </w:p>
    <w:p>
      <w:pPr>
        <w:ind w:left="400" w:hanging="400"/>
        <w:spacing w:after="0"/>
        <w:tabs>
          <w:tab w:leader="none" w:pos="400" w:val="left"/>
        </w:tabs>
        <w:numPr>
          <w:ilvl w:val="0"/>
          <w:numId w:val="2"/>
        </w:numPr>
        <w:rPr>
          <w:rFonts w:ascii="MS PGothic" w:cs="MS PGothic" w:eastAsia="MS PGothic" w:hAnsi="MS PGothic"/>
          <w:sz w:val="12"/>
          <w:szCs w:val="12"/>
          <w:color w:val="auto"/>
          <w:shd w:val="clear" w:color="auto" w:fill="181717"/>
        </w:rPr>
      </w:pPr>
      <w:r>
        <w:rPr>
          <w:rFonts w:ascii="Arial" w:cs="Arial" w:eastAsia="Arial" w:hAnsi="Arial"/>
          <w:sz w:val="12"/>
          <w:szCs w:val="12"/>
          <w:b w:val="1"/>
          <w:bCs w:val="1"/>
          <w:color w:val="181717"/>
        </w:rPr>
        <w:t>ANNUAL REPORT PURSUANT TO SECTION 13 OR 15(d) OF THE SECURITIES EXCHANGE ACT OF 1934</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181717"/>
        </w:rPr>
        <w:t>For the fiscal year ended December 31, 2020.</w:t>
      </w:r>
    </w:p>
    <w:p>
      <w:pPr>
        <w:jc w:val="center"/>
        <w:ind w:right="20"/>
        <w:spacing w:after="0"/>
        <w:rPr>
          <w:sz w:val="20"/>
          <w:szCs w:val="20"/>
          <w:color w:val="auto"/>
        </w:rPr>
      </w:pPr>
      <w:r>
        <w:rPr>
          <w:rFonts w:ascii="Arial" w:cs="Arial" w:eastAsia="Arial" w:hAnsi="Arial"/>
          <w:sz w:val="12"/>
          <w:szCs w:val="12"/>
          <w:b w:val="1"/>
          <w:bCs w:val="1"/>
          <w:color w:val="181717"/>
        </w:rPr>
        <w:t>OR</w:t>
      </w:r>
    </w:p>
    <w:p>
      <w:pPr>
        <w:ind w:left="400" w:hanging="400"/>
        <w:spacing w:after="0"/>
        <w:tabs>
          <w:tab w:leader="none" w:pos="400" w:val="left"/>
        </w:tabs>
        <w:numPr>
          <w:ilvl w:val="0"/>
          <w:numId w:val="3"/>
        </w:numPr>
        <w:rPr>
          <w:rFonts w:ascii="MS PGothic" w:cs="MS PGothic" w:eastAsia="MS PGothic" w:hAnsi="MS PGothic"/>
          <w:sz w:val="12"/>
          <w:szCs w:val="12"/>
          <w:color w:val="auto"/>
          <w:shd w:val="clear" w:color="auto" w:fill="181717"/>
        </w:rPr>
      </w:pPr>
      <w:r>
        <w:rPr>
          <w:rFonts w:ascii="Arial" w:cs="Arial" w:eastAsia="Arial" w:hAnsi="Arial"/>
          <w:sz w:val="12"/>
          <w:szCs w:val="12"/>
          <w:b w:val="1"/>
          <w:bCs w:val="1"/>
          <w:color w:val="181717"/>
        </w:rPr>
        <w:t>TRANSITION REPORT PURSUANT TO SECTION 13 OR 15(d) OF THE SECURITIES EXCHANGE ACT OF 1934</w:t>
      </w:r>
    </w:p>
    <w:p>
      <w:pPr>
        <w:spacing w:after="0" w:line="11" w:lineRule="exact"/>
        <w:rPr>
          <w:sz w:val="24"/>
          <w:szCs w:val="24"/>
          <w:color w:val="auto"/>
        </w:rPr>
      </w:pPr>
    </w:p>
    <w:p>
      <w:pPr>
        <w:jc w:val="center"/>
        <w:spacing w:after="0"/>
        <w:tabs>
          <w:tab w:leader="none" w:pos="100" w:val="left"/>
          <w:tab w:leader="none" w:pos="100" w:val="left"/>
        </w:tabs>
        <w:rPr>
          <w:sz w:val="20"/>
          <w:szCs w:val="20"/>
          <w:color w:val="auto"/>
        </w:rPr>
      </w:pPr>
      <w:r>
        <w:rPr>
          <w:rFonts w:ascii="Arial" w:cs="Arial" w:eastAsia="Arial" w:hAnsi="Arial"/>
          <w:sz w:val="12"/>
          <w:szCs w:val="12"/>
          <w:b w:val="1"/>
          <w:bCs w:val="1"/>
          <w:color w:val="181717"/>
        </w:rPr>
        <w:t>For the transition period from</w:t>
        <w:tab/>
        <w:t>to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3952875</wp:posOffset>
            </wp:positionH>
            <wp:positionV relativeFrom="paragraph">
              <wp:posOffset>-13335</wp:posOffset>
            </wp:positionV>
            <wp:extent cx="552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7620"/>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-13335</wp:posOffset>
            </wp:positionV>
            <wp:extent cx="552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45" cy="762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2"/>
          <w:szCs w:val="12"/>
          <w:b w:val="1"/>
          <w:bCs w:val="1"/>
          <w:color w:val="181717"/>
        </w:rPr>
        <w:t>OR</w:t>
      </w:r>
    </w:p>
    <w:p>
      <w:pPr>
        <w:spacing w:after="0" w:line="11" w:lineRule="exact"/>
        <w:rPr>
          <w:sz w:val="24"/>
          <w:szCs w:val="24"/>
          <w:color w:val="auto"/>
        </w:rPr>
      </w:pPr>
    </w:p>
    <w:p>
      <w:pPr>
        <w:ind w:left="4400" w:right="4420" w:hanging="4400"/>
        <w:spacing w:after="0" w:line="298" w:lineRule="auto"/>
        <w:tabs>
          <w:tab w:leader="none" w:pos="394" w:val="left"/>
        </w:tabs>
        <w:numPr>
          <w:ilvl w:val="0"/>
          <w:numId w:val="4"/>
        </w:numPr>
        <w:rPr>
          <w:rFonts w:ascii="MS PGothic" w:cs="MS PGothic" w:eastAsia="MS PGothic" w:hAnsi="MS PGothic"/>
          <w:sz w:val="10"/>
          <w:szCs w:val="10"/>
          <w:color w:val="auto"/>
          <w:shd w:val="clear" w:color="auto" w:fill="181717"/>
        </w:rPr>
      </w:pPr>
      <w:r>
        <w:rPr>
          <w:rFonts w:ascii="Arial" w:cs="Arial" w:eastAsia="Arial" w:hAnsi="Arial"/>
          <w:sz w:val="10"/>
          <w:szCs w:val="10"/>
          <w:b w:val="1"/>
          <w:bCs w:val="1"/>
          <w:color w:val="181717"/>
        </w:rPr>
        <w:t>SHELL COMPANY REPORT PURSUANT TO SECTION 13 OR 15(d) OF THE SECURITIES EXCHANGE ACT OF 1934 Date of event requiring this shell company report</w:t>
      </w:r>
    </w:p>
    <w:p>
      <w:pPr>
        <w:ind w:left="4720"/>
        <w:spacing w:after="0"/>
        <w:rPr>
          <w:rFonts w:ascii="MS PGothic" w:cs="MS PGothic" w:eastAsia="MS PGothic" w:hAnsi="MS PGothic"/>
          <w:sz w:val="10"/>
          <w:szCs w:val="10"/>
          <w:color w:val="auto"/>
          <w:shd w:val="clear" w:color="auto" w:fill="181717"/>
        </w:rPr>
      </w:pPr>
      <w:r>
        <w:rPr>
          <w:rFonts w:ascii="Arial" w:cs="Arial" w:eastAsia="Arial" w:hAnsi="Arial"/>
          <w:sz w:val="12"/>
          <w:szCs w:val="12"/>
          <w:b w:val="1"/>
          <w:bCs w:val="1"/>
          <w:color w:val="auto"/>
        </w:rPr>
        <w:t>Commission file number: 001-38423</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181717"/>
        </w:rPr>
        <w:t>Sunlands Technology Group</w:t>
      </w:r>
    </w:p>
    <w:p>
      <w:pPr>
        <w:jc w:val="center"/>
        <w:ind w:right="20"/>
        <w:spacing w:after="0" w:line="216" w:lineRule="auto"/>
        <w:rPr>
          <w:sz w:val="20"/>
          <w:szCs w:val="20"/>
          <w:color w:val="auto"/>
        </w:rPr>
      </w:pPr>
      <w:r>
        <w:rPr>
          <w:rFonts w:ascii="Arial" w:cs="Arial" w:eastAsia="Arial" w:hAnsi="Arial"/>
          <w:sz w:val="12"/>
          <w:szCs w:val="12"/>
          <w:color w:val="181717"/>
        </w:rPr>
        <w:t>(Exact name of Registrant as specified in its charter)</w:t>
      </w:r>
    </w:p>
    <w:p>
      <w:pPr>
        <w:jc w:val="center"/>
        <w:ind w:right="20"/>
        <w:spacing w:after="0" w:line="217" w:lineRule="auto"/>
        <w:rPr>
          <w:sz w:val="20"/>
          <w:szCs w:val="20"/>
          <w:color w:val="auto"/>
        </w:rPr>
      </w:pPr>
      <w:r>
        <w:rPr>
          <w:rFonts w:ascii="Arial" w:cs="Arial" w:eastAsia="Arial" w:hAnsi="Arial"/>
          <w:sz w:val="12"/>
          <w:szCs w:val="12"/>
          <w:b w:val="1"/>
          <w:bCs w:val="1"/>
          <w:color w:val="181717"/>
        </w:rPr>
        <w:t>N/A</w:t>
      </w:r>
    </w:p>
    <w:p>
      <w:pPr>
        <w:jc w:val="center"/>
        <w:ind w:right="20"/>
        <w:spacing w:after="0" w:line="234" w:lineRule="auto"/>
        <w:rPr>
          <w:sz w:val="20"/>
          <w:szCs w:val="20"/>
          <w:color w:val="auto"/>
        </w:rPr>
      </w:pPr>
      <w:r>
        <w:rPr>
          <w:rFonts w:ascii="Arial" w:cs="Arial" w:eastAsia="Arial" w:hAnsi="Arial"/>
          <w:sz w:val="12"/>
          <w:szCs w:val="12"/>
          <w:b w:val="1"/>
          <w:bCs w:val="1"/>
          <w:color w:val="181717"/>
        </w:rPr>
        <w:t>(Translation of Registrant’s name into English)</w:t>
      </w:r>
    </w:p>
    <w:p>
      <w:pPr>
        <w:jc w:val="center"/>
        <w:ind w:right="20"/>
        <w:spacing w:after="0" w:line="220" w:lineRule="auto"/>
        <w:rPr>
          <w:sz w:val="20"/>
          <w:szCs w:val="20"/>
          <w:color w:val="auto"/>
        </w:rPr>
      </w:pPr>
      <w:r>
        <w:rPr>
          <w:rFonts w:ascii="Arial" w:cs="Arial" w:eastAsia="Arial" w:hAnsi="Arial"/>
          <w:sz w:val="13"/>
          <w:szCs w:val="13"/>
          <w:b w:val="1"/>
          <w:bCs w:val="1"/>
          <w:color w:val="181717"/>
        </w:rPr>
        <w:t>Cayman Islands</w:t>
      </w:r>
    </w:p>
    <w:p>
      <w:pPr>
        <w:jc w:val="center"/>
        <w:ind w:right="20"/>
        <w:spacing w:after="0"/>
        <w:rPr>
          <w:sz w:val="20"/>
          <w:szCs w:val="20"/>
          <w:color w:val="auto"/>
        </w:rPr>
      </w:pPr>
      <w:r>
        <w:rPr>
          <w:rFonts w:ascii="Arial" w:cs="Arial" w:eastAsia="Arial" w:hAnsi="Arial"/>
          <w:sz w:val="13"/>
          <w:szCs w:val="13"/>
          <w:b w:val="1"/>
          <w:bCs w:val="1"/>
          <w:color w:val="181717"/>
        </w:rPr>
        <w:t>(Jurisdiction of incorporation or organization)</w:t>
      </w:r>
    </w:p>
    <w:p>
      <w:pPr>
        <w:ind w:left="4740"/>
        <w:spacing w:after="0" w:line="220" w:lineRule="auto"/>
        <w:rPr>
          <w:sz w:val="20"/>
          <w:szCs w:val="20"/>
          <w:color w:val="auto"/>
        </w:rPr>
      </w:pPr>
      <w:r>
        <w:rPr>
          <w:rFonts w:ascii="Arial" w:cs="Arial" w:eastAsia="Arial" w:hAnsi="Arial"/>
          <w:sz w:val="12"/>
          <w:szCs w:val="12"/>
          <w:b w:val="1"/>
          <w:bCs w:val="1"/>
          <w:color w:val="181717"/>
        </w:rPr>
        <w:t>Building 4-6, Chaolai Science Park,</w:t>
      </w:r>
    </w:p>
    <w:p>
      <w:pPr>
        <w:ind w:left="4520"/>
        <w:spacing w:after="0" w:line="217" w:lineRule="auto"/>
        <w:rPr>
          <w:sz w:val="20"/>
          <w:szCs w:val="20"/>
          <w:color w:val="auto"/>
        </w:rPr>
      </w:pPr>
      <w:r>
        <w:rPr>
          <w:rFonts w:ascii="Arial" w:cs="Arial" w:eastAsia="Arial" w:hAnsi="Arial"/>
          <w:sz w:val="12"/>
          <w:szCs w:val="12"/>
          <w:b w:val="1"/>
          <w:bCs w:val="1"/>
          <w:color w:val="181717"/>
        </w:rPr>
        <w:t>No. 36 Chuangyuan Road, Chaoyang District</w:t>
      </w:r>
    </w:p>
    <w:p>
      <w:pPr>
        <w:ind w:left="4460"/>
        <w:spacing w:after="0" w:line="216" w:lineRule="auto"/>
        <w:rPr>
          <w:sz w:val="20"/>
          <w:szCs w:val="20"/>
          <w:color w:val="auto"/>
        </w:rPr>
      </w:pPr>
      <w:r>
        <w:rPr>
          <w:rFonts w:ascii="Arial" w:cs="Arial" w:eastAsia="Arial" w:hAnsi="Arial"/>
          <w:sz w:val="12"/>
          <w:szCs w:val="12"/>
          <w:b w:val="1"/>
          <w:bCs w:val="1"/>
          <w:color w:val="181717"/>
        </w:rPr>
        <w:t>Beijing, 100012, the People’s Republic of China</w:t>
      </w:r>
    </w:p>
    <w:p>
      <w:pPr>
        <w:ind w:left="4700"/>
        <w:spacing w:after="0" w:line="235" w:lineRule="auto"/>
        <w:rPr>
          <w:sz w:val="20"/>
          <w:szCs w:val="20"/>
          <w:color w:val="auto"/>
        </w:rPr>
      </w:pPr>
      <w:r>
        <w:rPr>
          <w:rFonts w:ascii="Arial" w:cs="Arial" w:eastAsia="Arial" w:hAnsi="Arial"/>
          <w:sz w:val="12"/>
          <w:szCs w:val="12"/>
          <w:color w:val="181717"/>
        </w:rPr>
        <w:t>(Address of principal executive offices)</w:t>
      </w:r>
    </w:p>
    <w:p>
      <w:pPr>
        <w:ind w:left="4840"/>
        <w:spacing w:after="0" w:line="223" w:lineRule="auto"/>
        <w:rPr>
          <w:sz w:val="20"/>
          <w:szCs w:val="20"/>
          <w:color w:val="auto"/>
        </w:rPr>
      </w:pPr>
      <w:r>
        <w:rPr>
          <w:rFonts w:ascii="Arial" w:cs="Arial" w:eastAsia="Arial" w:hAnsi="Arial"/>
          <w:sz w:val="13"/>
          <w:szCs w:val="13"/>
          <w:b w:val="1"/>
          <w:bCs w:val="1"/>
          <w:color w:val="181717"/>
        </w:rPr>
        <w:t>Lv Lu</w:t>
      </w:r>
      <w:r>
        <w:rPr>
          <w:rFonts w:ascii="Arial" w:cs="Arial" w:eastAsia="Arial" w:hAnsi="Arial"/>
          <w:sz w:val="11"/>
          <w:szCs w:val="11"/>
          <w:b w:val="1"/>
          <w:bCs w:val="1"/>
          <w:color w:val="181717"/>
        </w:rPr>
        <w:t>, Chief Financial Officer</w:t>
      </w:r>
    </w:p>
    <w:p>
      <w:pPr>
        <w:ind w:left="4740"/>
        <w:spacing w:after="0" w:line="217" w:lineRule="auto"/>
        <w:rPr>
          <w:sz w:val="20"/>
          <w:szCs w:val="20"/>
          <w:color w:val="auto"/>
        </w:rPr>
      </w:pPr>
      <w:r>
        <w:rPr>
          <w:rFonts w:ascii="Arial" w:cs="Arial" w:eastAsia="Arial" w:hAnsi="Arial"/>
          <w:sz w:val="12"/>
          <w:szCs w:val="12"/>
          <w:b w:val="1"/>
          <w:bCs w:val="1"/>
          <w:color w:val="181717"/>
        </w:rPr>
        <w:t>Building 4-6, Chaolai Science Park,</w:t>
      </w:r>
    </w:p>
    <w:p>
      <w:pPr>
        <w:ind w:left="4500"/>
        <w:spacing w:after="0" w:line="217" w:lineRule="auto"/>
        <w:rPr>
          <w:sz w:val="20"/>
          <w:szCs w:val="20"/>
          <w:color w:val="auto"/>
        </w:rPr>
      </w:pPr>
      <w:r>
        <w:rPr>
          <w:rFonts w:ascii="Arial" w:cs="Arial" w:eastAsia="Arial" w:hAnsi="Arial"/>
          <w:sz w:val="12"/>
          <w:szCs w:val="12"/>
          <w:b w:val="1"/>
          <w:bCs w:val="1"/>
          <w:color w:val="181717"/>
        </w:rPr>
        <w:t>No. 36 Chuangyuan Road, Chaoyang District,</w:t>
      </w:r>
    </w:p>
    <w:p>
      <w:pPr>
        <w:ind w:left="4460"/>
        <w:spacing w:after="0" w:line="216" w:lineRule="auto"/>
        <w:rPr>
          <w:sz w:val="20"/>
          <w:szCs w:val="20"/>
          <w:color w:val="auto"/>
        </w:rPr>
      </w:pPr>
      <w:r>
        <w:rPr>
          <w:rFonts w:ascii="Arial" w:cs="Arial" w:eastAsia="Arial" w:hAnsi="Arial"/>
          <w:sz w:val="12"/>
          <w:szCs w:val="12"/>
          <w:b w:val="1"/>
          <w:bCs w:val="1"/>
          <w:color w:val="181717"/>
        </w:rPr>
        <w:t>Beijing, 100012, the People’s Republic of China</w:t>
      </w:r>
    </w:p>
    <w:p>
      <w:pPr>
        <w:ind w:left="5200"/>
        <w:spacing w:after="0" w:line="213" w:lineRule="auto"/>
        <w:rPr>
          <w:sz w:val="20"/>
          <w:szCs w:val="20"/>
          <w:color w:val="auto"/>
        </w:rPr>
      </w:pPr>
      <w:r>
        <w:rPr>
          <w:rFonts w:ascii="Arial" w:cs="Arial" w:eastAsia="Arial" w:hAnsi="Arial"/>
          <w:sz w:val="12"/>
          <w:szCs w:val="12"/>
          <w:b w:val="1"/>
          <w:bCs w:val="1"/>
          <w:color w:val="181717"/>
        </w:rPr>
        <w:t>+86-10-52413738</w:t>
      </w:r>
    </w:p>
    <w:p>
      <w:pPr>
        <w:jc w:val="center"/>
        <w:ind w:right="40"/>
        <w:spacing w:after="0" w:line="224" w:lineRule="auto"/>
        <w:rPr>
          <w:sz w:val="20"/>
          <w:szCs w:val="20"/>
          <w:color w:val="auto"/>
        </w:rPr>
      </w:pPr>
      <w:r>
        <w:rPr>
          <w:rFonts w:ascii="Arial" w:cs="Arial" w:eastAsia="Arial" w:hAnsi="Arial"/>
          <w:sz w:val="12"/>
          <w:szCs w:val="12"/>
          <w:b w:val="1"/>
          <w:bCs w:val="1"/>
          <w:color w:val="181717"/>
        </w:rPr>
        <w:t xml:space="preserve">E-mail: </w:t>
      </w:r>
      <w:r>
        <w:rPr>
          <w:rFonts w:ascii="Arial" w:cs="Arial" w:eastAsia="Arial" w:hAnsi="Arial"/>
          <w:sz w:val="13"/>
          <w:szCs w:val="13"/>
          <w:color w:val="181717"/>
        </w:rPr>
        <w:t>lvlu</w:t>
      </w:r>
      <w:r>
        <w:rPr>
          <w:rFonts w:ascii="Arial" w:cs="Arial" w:eastAsia="Arial" w:hAnsi="Arial"/>
          <w:sz w:val="12"/>
          <w:szCs w:val="12"/>
          <w:b w:val="1"/>
          <w:bCs w:val="1"/>
          <w:color w:val="181717"/>
        </w:rPr>
        <w:t>@sunlands.com</w:t>
      </w:r>
    </w:p>
    <w:p>
      <w:pPr>
        <w:jc w:val="center"/>
        <w:ind w:right="20"/>
        <w:spacing w:after="0" w:line="212" w:lineRule="auto"/>
        <w:rPr>
          <w:sz w:val="20"/>
          <w:szCs w:val="20"/>
          <w:color w:val="auto"/>
        </w:rPr>
      </w:pPr>
      <w:r>
        <w:rPr>
          <w:rFonts w:ascii="Arial" w:cs="Arial" w:eastAsia="Arial" w:hAnsi="Arial"/>
          <w:sz w:val="12"/>
          <w:szCs w:val="12"/>
          <w:color w:val="181717"/>
        </w:rPr>
        <w:t>(Name, Telephone, E-mail and/or Facsimile number and Address of Company Contact Person)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181717"/>
        </w:rPr>
        <w:t>Securities registered or to be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500" w:type="dxa"/>
            <w:vAlign w:val="bottom"/>
          </w:tcPr>
          <w:p>
            <w:pPr>
              <w:jc w:val="center"/>
              <w:spacing w:after="0"/>
              <w:rPr>
                <w:sz w:val="20"/>
                <w:szCs w:val="20"/>
                <w:color w:val="auto"/>
              </w:rPr>
            </w:pPr>
            <w:r>
              <w:rPr>
                <w:rFonts w:ascii="Arial" w:cs="Arial" w:eastAsia="Arial" w:hAnsi="Arial"/>
                <w:sz w:val="12"/>
                <w:szCs w:val="12"/>
                <w:b w:val="1"/>
                <w:bCs w:val="1"/>
                <w:color w:val="181717"/>
                <w:w w:val="85"/>
              </w:rPr>
              <w:t>Title of each class</w:t>
            </w:r>
          </w:p>
        </w:tc>
        <w:tc>
          <w:tcPr>
            <w:tcW w:w="2260" w:type="dxa"/>
            <w:vAlign w:val="bottom"/>
          </w:tcPr>
          <w:p>
            <w:pPr>
              <w:jc w:val="center"/>
              <w:spacing w:after="0"/>
              <w:rPr>
                <w:sz w:val="20"/>
                <w:szCs w:val="20"/>
                <w:color w:val="auto"/>
              </w:rPr>
            </w:pPr>
            <w:r>
              <w:rPr>
                <w:rFonts w:ascii="Arial" w:cs="Arial" w:eastAsia="Arial" w:hAnsi="Arial"/>
                <w:sz w:val="12"/>
                <w:szCs w:val="12"/>
                <w:b w:val="1"/>
                <w:bCs w:val="1"/>
                <w:color w:val="181717"/>
                <w:w w:val="88"/>
              </w:rPr>
              <w:t>Trading Symbols</w:t>
            </w:r>
          </w:p>
        </w:tc>
        <w:tc>
          <w:tcPr>
            <w:tcW w:w="4480" w:type="dxa"/>
            <w:vAlign w:val="bottom"/>
          </w:tcPr>
          <w:p>
            <w:pPr>
              <w:jc w:val="center"/>
              <w:spacing w:after="0"/>
              <w:rPr>
                <w:sz w:val="20"/>
                <w:szCs w:val="20"/>
                <w:color w:val="auto"/>
              </w:rPr>
            </w:pPr>
            <w:r>
              <w:rPr>
                <w:rFonts w:ascii="Arial" w:cs="Arial" w:eastAsia="Arial" w:hAnsi="Arial"/>
                <w:sz w:val="12"/>
                <w:szCs w:val="12"/>
                <w:b w:val="1"/>
                <w:bCs w:val="1"/>
                <w:color w:val="181717"/>
                <w:w w:val="85"/>
              </w:rPr>
              <w:t>Name of each exchange on which registered</w:t>
            </w:r>
          </w:p>
        </w:tc>
        <w:tc>
          <w:tcPr>
            <w:tcW w:w="0" w:type="dxa"/>
            <w:vAlign w:val="bottom"/>
          </w:tcPr>
          <w:p>
            <w:pPr>
              <w:spacing w:after="0"/>
              <w:rPr>
                <w:sz w:val="1"/>
                <w:szCs w:val="1"/>
                <w:color w:val="auto"/>
              </w:rPr>
            </w:pPr>
          </w:p>
        </w:tc>
      </w:tr>
      <w:tr>
        <w:trPr>
          <w:trHeight w:val="28"/>
        </w:trPr>
        <w:tc>
          <w:tcPr>
            <w:tcW w:w="4500" w:type="dxa"/>
            <w:vAlign w:val="bottom"/>
            <w:tcBorders>
              <w:bottom w:val="single" w:sz="8" w:color="181717"/>
            </w:tcBorders>
          </w:tcPr>
          <w:p>
            <w:pPr>
              <w:spacing w:after="0"/>
              <w:rPr>
                <w:sz w:val="2"/>
                <w:szCs w:val="2"/>
                <w:color w:val="auto"/>
              </w:rPr>
            </w:pPr>
          </w:p>
        </w:tc>
        <w:tc>
          <w:tcPr>
            <w:tcW w:w="2260" w:type="dxa"/>
            <w:vAlign w:val="bottom"/>
            <w:vMerge w:val="restart"/>
          </w:tcPr>
          <w:p>
            <w:pPr>
              <w:jc w:val="center"/>
              <w:spacing w:after="0"/>
              <w:rPr>
                <w:sz w:val="20"/>
                <w:szCs w:val="20"/>
                <w:color w:val="auto"/>
              </w:rPr>
            </w:pPr>
            <w:r>
              <w:rPr>
                <w:rFonts w:ascii="Arial" w:cs="Arial" w:eastAsia="Arial" w:hAnsi="Arial"/>
                <w:sz w:val="12"/>
                <w:szCs w:val="12"/>
                <w:b w:val="1"/>
                <w:bCs w:val="1"/>
                <w:color w:val="181717"/>
                <w:w w:val="97"/>
              </w:rPr>
              <w:t>STG</w:t>
            </w:r>
          </w:p>
        </w:tc>
        <w:tc>
          <w:tcPr>
            <w:tcW w:w="4480" w:type="dxa"/>
            <w:vAlign w:val="bottom"/>
            <w:tcBorders>
              <w:bottom w:val="single" w:sz="8" w:color="181717"/>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4500" w:type="dxa"/>
            <w:vAlign w:val="bottom"/>
            <w:vMerge w:val="restart"/>
          </w:tcPr>
          <w:p>
            <w:pPr>
              <w:jc w:val="center"/>
              <w:spacing w:after="0"/>
              <w:rPr>
                <w:sz w:val="20"/>
                <w:szCs w:val="20"/>
                <w:color w:val="auto"/>
              </w:rPr>
            </w:pPr>
            <w:r>
              <w:rPr>
                <w:rFonts w:ascii="Arial" w:cs="Arial" w:eastAsia="Arial" w:hAnsi="Arial"/>
                <w:sz w:val="12"/>
                <w:szCs w:val="12"/>
                <w:b w:val="1"/>
                <w:bCs w:val="1"/>
                <w:color w:val="181717"/>
                <w:w w:val="86"/>
              </w:rPr>
              <w:t>American depositary shares, each 25 ADS represent one Class A ordinary share</w:t>
            </w:r>
          </w:p>
        </w:tc>
        <w:tc>
          <w:tcPr>
            <w:tcW w:w="2260" w:type="dxa"/>
            <w:vAlign w:val="bottom"/>
            <w:vMerge w:val="continue"/>
          </w:tcPr>
          <w:p>
            <w:pPr>
              <w:spacing w:after="0"/>
              <w:rPr>
                <w:sz w:val="8"/>
                <w:szCs w:val="8"/>
                <w:color w:val="auto"/>
              </w:rPr>
            </w:pPr>
          </w:p>
        </w:tc>
        <w:tc>
          <w:tcPr>
            <w:tcW w:w="4480" w:type="dxa"/>
            <w:vAlign w:val="bottom"/>
            <w:vMerge w:val="restart"/>
          </w:tcPr>
          <w:p>
            <w:pPr>
              <w:jc w:val="center"/>
              <w:spacing w:after="0"/>
              <w:rPr>
                <w:sz w:val="20"/>
                <w:szCs w:val="20"/>
                <w:color w:val="auto"/>
              </w:rPr>
            </w:pPr>
            <w:r>
              <w:rPr>
                <w:rFonts w:ascii="Arial" w:cs="Arial" w:eastAsia="Arial" w:hAnsi="Arial"/>
                <w:sz w:val="12"/>
                <w:szCs w:val="12"/>
                <w:b w:val="1"/>
                <w:bCs w:val="1"/>
                <w:color w:val="181717"/>
                <w:w w:val="87"/>
              </w:rPr>
              <w:t>The New York Stock Exchange</w:t>
            </w:r>
          </w:p>
        </w:tc>
        <w:tc>
          <w:tcPr>
            <w:tcW w:w="0" w:type="dxa"/>
            <w:vAlign w:val="bottom"/>
          </w:tcPr>
          <w:p>
            <w:pPr>
              <w:spacing w:after="0"/>
              <w:rPr>
                <w:sz w:val="1"/>
                <w:szCs w:val="1"/>
                <w:color w:val="auto"/>
              </w:rPr>
            </w:pPr>
          </w:p>
        </w:tc>
      </w:tr>
      <w:tr>
        <w:trPr>
          <w:trHeight w:val="125"/>
        </w:trPr>
        <w:tc>
          <w:tcPr>
            <w:tcW w:w="4500" w:type="dxa"/>
            <w:vAlign w:val="bottom"/>
            <w:vMerge w:val="continue"/>
          </w:tcPr>
          <w:p>
            <w:pPr>
              <w:spacing w:after="0"/>
              <w:rPr>
                <w:sz w:val="10"/>
                <w:szCs w:val="10"/>
                <w:color w:val="auto"/>
              </w:rPr>
            </w:pPr>
          </w:p>
        </w:tc>
        <w:tc>
          <w:tcPr>
            <w:tcW w:w="2260" w:type="dxa"/>
            <w:vAlign w:val="bottom"/>
          </w:tcPr>
          <w:p>
            <w:pPr>
              <w:spacing w:after="0"/>
              <w:rPr>
                <w:sz w:val="10"/>
                <w:szCs w:val="10"/>
                <w:color w:val="auto"/>
              </w:rPr>
            </w:pPr>
          </w:p>
        </w:tc>
        <w:tc>
          <w:tcPr>
            <w:tcW w:w="4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500" w:type="dxa"/>
            <w:vAlign w:val="bottom"/>
          </w:tcPr>
          <w:p>
            <w:pPr>
              <w:jc w:val="center"/>
              <w:spacing w:after="0"/>
              <w:rPr>
                <w:sz w:val="20"/>
                <w:szCs w:val="20"/>
                <w:color w:val="auto"/>
              </w:rPr>
            </w:pPr>
            <w:r>
              <w:rPr>
                <w:rFonts w:ascii="Arial" w:cs="Arial" w:eastAsia="Arial" w:hAnsi="Arial"/>
                <w:sz w:val="12"/>
                <w:szCs w:val="12"/>
                <w:b w:val="1"/>
                <w:bCs w:val="1"/>
                <w:color w:val="181717"/>
                <w:w w:val="87"/>
              </w:rPr>
              <w:t xml:space="preserve">Class A ordinary shares, par value US$0.00005 per share </w:t>
            </w:r>
            <w:r>
              <w:rPr>
                <w:rFonts w:ascii="Arial" w:cs="Arial" w:eastAsia="Arial" w:hAnsi="Arial"/>
                <w:sz w:val="12"/>
                <w:szCs w:val="12"/>
                <w:color w:val="181717"/>
                <w:w w:val="87"/>
              </w:rPr>
              <w:t>*</w:t>
            </w:r>
          </w:p>
        </w:tc>
        <w:tc>
          <w:tcPr>
            <w:tcW w:w="22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15347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7620"/>
                    </a:xfrm>
                    <a:prstGeom prst="rect">
                      <a:avLst/>
                    </a:prstGeom>
                    <a:noFill/>
                  </pic:spPr>
                </pic:pic>
              </a:graphicData>
            </a:graphic>
          </wp:anchor>
        </w:drawing>
      </w:r>
    </w:p>
    <w:p>
      <w:pPr>
        <w:spacing w:after="0" w:line="69" w:lineRule="exact"/>
        <w:rPr>
          <w:sz w:val="24"/>
          <w:szCs w:val="24"/>
          <w:color w:val="auto"/>
        </w:rPr>
      </w:pPr>
    </w:p>
    <w:p>
      <w:pPr>
        <w:spacing w:after="0"/>
        <w:rPr>
          <w:sz w:val="20"/>
          <w:szCs w:val="20"/>
          <w:color w:val="auto"/>
        </w:rPr>
      </w:pPr>
      <w:r>
        <w:rPr>
          <w:rFonts w:ascii="Arial" w:cs="Arial" w:eastAsia="Arial" w:hAnsi="Arial"/>
          <w:sz w:val="12"/>
          <w:szCs w:val="12"/>
          <w:color w:val="auto"/>
        </w:rPr>
        <w:t>* Not for trading, but only in connection with the listing of the American depositary shares on the New York Stock Exchange.</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181717"/>
        </w:rPr>
        <w:t>Securities registered or to be registered pursuant to Section 12(g) of the Act:</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181717"/>
        </w:rPr>
        <w:t>[None]</w:t>
      </w:r>
    </w:p>
    <w:p>
      <w:pPr>
        <w:jc w:val="center"/>
        <w:ind w:right="20"/>
        <w:spacing w:after="0"/>
        <w:rPr>
          <w:sz w:val="20"/>
          <w:szCs w:val="20"/>
          <w:color w:val="auto"/>
        </w:rPr>
      </w:pPr>
      <w:r>
        <w:rPr>
          <w:rFonts w:ascii="Arial" w:cs="Arial" w:eastAsia="Arial" w:hAnsi="Arial"/>
          <w:sz w:val="12"/>
          <w:szCs w:val="12"/>
          <w:b w:val="1"/>
          <w:bCs w:val="1"/>
          <w:color w:val="181717"/>
        </w:rPr>
        <w:t>(Title of Class)</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181717"/>
        </w:rPr>
        <w:t>Securities for which there is a reporting obligation pursuant to Section 15(d) of the Act:</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181717"/>
        </w:rPr>
        <w:t>[None]</w:t>
      </w:r>
    </w:p>
    <w:p>
      <w:pPr>
        <w:jc w:val="center"/>
        <w:ind w:right="20"/>
        <w:spacing w:after="0"/>
        <w:rPr>
          <w:sz w:val="20"/>
          <w:szCs w:val="20"/>
          <w:color w:val="auto"/>
        </w:rPr>
      </w:pPr>
      <w:r>
        <w:rPr>
          <w:rFonts w:ascii="Arial" w:cs="Arial" w:eastAsia="Arial" w:hAnsi="Arial"/>
          <w:sz w:val="12"/>
          <w:szCs w:val="12"/>
          <w:b w:val="1"/>
          <w:bCs w:val="1"/>
          <w:color w:val="181717"/>
        </w:rPr>
        <w:t>(Title of Class)</w:t>
      </w:r>
    </w:p>
    <w:p>
      <w:pPr>
        <w:ind w:left="400"/>
        <w:spacing w:after="0"/>
        <w:rPr>
          <w:sz w:val="20"/>
          <w:szCs w:val="20"/>
          <w:color w:val="auto"/>
        </w:rPr>
      </w:pPr>
      <w:r>
        <w:rPr>
          <w:rFonts w:ascii="Arial" w:cs="Arial" w:eastAsia="Arial" w:hAnsi="Arial"/>
          <w:sz w:val="12"/>
          <w:szCs w:val="12"/>
          <w:color w:val="181717"/>
        </w:rPr>
        <w:t>Indicate the number of outstanding shares of each of the issuer’s classes of capital or common stock as of the close of the period covered by the annual report.</w:t>
      </w:r>
    </w:p>
    <w:p>
      <w:pPr>
        <w:ind w:right="160" w:firstLine="402"/>
        <w:spacing w:after="0" w:line="227" w:lineRule="auto"/>
        <w:rPr>
          <w:sz w:val="20"/>
          <w:szCs w:val="20"/>
          <w:color w:val="auto"/>
        </w:rPr>
      </w:pPr>
      <w:r>
        <w:rPr>
          <w:rFonts w:ascii="Arial" w:cs="Arial" w:eastAsia="Arial" w:hAnsi="Arial"/>
          <w:sz w:val="12"/>
          <w:szCs w:val="12"/>
          <w:color w:val="181717"/>
        </w:rPr>
        <w:t>6,729,197 ordinary shares, comprised of (i) 1,792,560 Class A ordinary shares, par value $0.00005 per share; (ii) 826,389 Class B ordinary shares, par value $0.00005 per share and (iii) 4,110,248 Class C ordinary shares, par value $0.00005 per share, as of December 31, 2020.</w:t>
      </w:r>
    </w:p>
    <w:p>
      <w:pPr>
        <w:sectPr>
          <w:pgSz w:w="11900" w:h="16838" w:orient="portrait"/>
          <w:cols w:equalWidth="0" w:num="1">
            <w:col w:w="11260"/>
          </w:cols>
          <w:pgMar w:left="320" w:top="281" w:right="319" w:bottom="1440" w:gutter="0" w:footer="0" w:header="0"/>
        </w:sectPr>
      </w:pPr>
    </w:p>
    <w:p>
      <w:pPr>
        <w:spacing w:after="0" w:line="1" w:lineRule="exact"/>
        <w:rPr>
          <w:sz w:val="24"/>
          <w:szCs w:val="24"/>
          <w:color w:val="auto"/>
        </w:rPr>
      </w:pPr>
    </w:p>
    <w:p>
      <w:pPr>
        <w:jc w:val="center"/>
        <w:ind w:left="400"/>
        <w:spacing w:after="0" w:line="115" w:lineRule="exact"/>
        <w:rPr>
          <w:sz w:val="20"/>
          <w:szCs w:val="20"/>
          <w:color w:val="auto"/>
        </w:rPr>
      </w:pPr>
      <w:r>
        <w:rPr>
          <w:rFonts w:ascii="Arial" w:cs="Arial" w:eastAsia="Arial" w:hAnsi="Arial"/>
          <w:sz w:val="10"/>
          <w:szCs w:val="10"/>
          <w:color w:val="181717"/>
        </w:rPr>
        <w:t xml:space="preserve">Indicate by check mark if the registrant is a well-known seasoned issuer, as defined in Rule 405 of the Securities Act. Yes </w:t>
      </w:r>
      <w:r>
        <w:rPr>
          <w:rFonts w:ascii="MS PGothic" w:cs="MS PGothic" w:eastAsia="MS PGothic" w:hAnsi="MS PGothic"/>
          <w:sz w:val="10"/>
          <w:szCs w:val="10"/>
          <w:color w:val="181717"/>
        </w:rPr>
        <w:t>☐</w:t>
      </w:r>
    </w:p>
    <w:p>
      <w:pPr>
        <w:spacing w:after="0" w:line="20" w:lineRule="exact"/>
        <w:rPr>
          <w:sz w:val="24"/>
          <w:szCs w:val="24"/>
          <w:color w:val="auto"/>
        </w:rPr>
      </w:pPr>
      <w:r>
        <w:rPr>
          <w:sz w:val="24"/>
          <w:szCs w:val="24"/>
          <w:color w:val="auto"/>
        </w:rPr>
        <w:br w:type="column"/>
      </w:r>
    </w:p>
    <w:p>
      <w:pPr>
        <w:spacing w:after="0" w:line="96" w:lineRule="exact"/>
        <w:rPr>
          <w:sz w:val="20"/>
          <w:szCs w:val="20"/>
          <w:color w:val="auto"/>
        </w:rPr>
      </w:pPr>
      <w:r>
        <w:rPr>
          <w:rFonts w:ascii="Arial" w:cs="Arial" w:eastAsia="Arial" w:hAnsi="Arial"/>
          <w:sz w:val="10"/>
          <w:szCs w:val="10"/>
          <w:color w:val="181717"/>
        </w:rPr>
        <w:t xml:space="preserve">No </w:t>
      </w:r>
      <w:r>
        <w:rPr>
          <w:rFonts w:ascii="MS PGothic" w:cs="MS PGothic" w:eastAsia="MS PGothic" w:hAnsi="MS PGothic"/>
          <w:sz w:val="10"/>
          <w:szCs w:val="10"/>
          <w:color w:val="181717"/>
        </w:rPr>
        <w:t>☒</w:t>
      </w:r>
    </w:p>
    <w:p>
      <w:pPr>
        <w:spacing w:after="0" w:line="61" w:lineRule="exact"/>
        <w:rPr>
          <w:sz w:val="24"/>
          <w:szCs w:val="24"/>
          <w:color w:val="auto"/>
        </w:rPr>
      </w:pPr>
    </w:p>
    <w:p>
      <w:pPr>
        <w:sectPr>
          <w:pgSz w:w="11900" w:h="16838" w:orient="portrait"/>
          <w:cols w:equalWidth="0" w:num="2">
            <w:col w:w="6180" w:space="400"/>
            <w:col w:w="4680"/>
          </w:cols>
          <w:pgMar w:left="320" w:top="281" w:right="319" w:bottom="1440" w:gutter="0" w:footer="0" w:header="0"/>
          <w:type w:val="continuous"/>
        </w:sectPr>
      </w:pPr>
    </w:p>
    <w:p>
      <w:pPr>
        <w:ind w:left="400"/>
        <w:spacing w:after="0" w:line="115" w:lineRule="exact"/>
        <w:rPr>
          <w:sz w:val="20"/>
          <w:szCs w:val="20"/>
          <w:color w:val="auto"/>
        </w:rPr>
      </w:pPr>
      <w:r>
        <w:rPr>
          <w:rFonts w:ascii="Arial" w:cs="Arial" w:eastAsia="Arial" w:hAnsi="Arial"/>
          <w:sz w:val="10"/>
          <w:szCs w:val="10"/>
          <w:color w:val="181717"/>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0"/>
          <w:szCs w:val="10"/>
          <w:color w:val="181717"/>
        </w:rPr>
        <w:t>☐</w:t>
      </w:r>
    </w:p>
    <w:p>
      <w:pPr>
        <w:spacing w:after="0" w:line="20" w:lineRule="exact"/>
        <w:rPr>
          <w:sz w:val="24"/>
          <w:szCs w:val="24"/>
          <w:color w:val="auto"/>
        </w:rPr>
      </w:pPr>
    </w:p>
    <w:p>
      <w:pPr>
        <w:ind w:left="400"/>
        <w:spacing w:after="0"/>
        <w:rPr>
          <w:sz w:val="20"/>
          <w:szCs w:val="20"/>
          <w:color w:val="auto"/>
        </w:rPr>
      </w:pPr>
      <w:r>
        <w:rPr>
          <w:rFonts w:ascii="Arial" w:cs="Arial" w:eastAsia="Arial" w:hAnsi="Arial"/>
          <w:sz w:val="10"/>
          <w:szCs w:val="10"/>
          <w:color w:val="181717"/>
        </w:rPr>
        <w:t>Note – Checking the box above will not relieve any registrant required to file reports pursuant to Section 13 or 15(d) of the Securities Exchange Act of 1934 from their obligations under those Sections.</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Arial" w:cs="Arial" w:eastAsia="Arial" w:hAnsi="Arial"/>
          <w:sz w:val="10"/>
          <w:szCs w:val="10"/>
          <w:color w:val="181717"/>
        </w:rPr>
        <w:t xml:space="preserve">No </w:t>
      </w:r>
      <w:r>
        <w:rPr>
          <w:rFonts w:ascii="MS PGothic" w:cs="MS PGothic" w:eastAsia="MS PGothic" w:hAnsi="MS PGothic"/>
          <w:sz w:val="10"/>
          <w:szCs w:val="10"/>
          <w:color w:val="181717"/>
        </w:rPr>
        <w:t>☒</w:t>
      </w:r>
    </w:p>
    <w:p>
      <w:pPr>
        <w:spacing w:after="0" w:line="158" w:lineRule="exact"/>
        <w:rPr>
          <w:sz w:val="24"/>
          <w:szCs w:val="24"/>
          <w:color w:val="auto"/>
        </w:rPr>
      </w:pPr>
    </w:p>
    <w:p>
      <w:pPr>
        <w:sectPr>
          <w:pgSz w:w="11900" w:h="16838" w:orient="portrait"/>
          <w:cols w:equalWidth="0" w:num="2">
            <w:col w:w="9740" w:space="240"/>
            <w:col w:w="1280"/>
          </w:cols>
          <w:pgMar w:left="320" w:top="281" w:right="319" w:bottom="1440" w:gutter="0" w:footer="0" w:header="0"/>
          <w:type w:val="continuous"/>
        </w:sectPr>
      </w:pPr>
    </w:p>
    <w:p>
      <w:pPr>
        <w:ind w:right="200" w:firstLine="402"/>
        <w:spacing w:after="0" w:line="143" w:lineRule="exact"/>
        <w:rPr>
          <w:sz w:val="20"/>
          <w:szCs w:val="20"/>
          <w:color w:val="auto"/>
        </w:rPr>
      </w:pPr>
      <w:r>
        <w:rPr>
          <w:rFonts w:ascii="Arial" w:cs="Arial" w:eastAsia="Arial" w:hAnsi="Arial"/>
          <w:sz w:val="12"/>
          <w:szCs w:val="12"/>
          <w:color w:val="1817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181717"/>
        </w:rPr>
        <w:t>☒</w:t>
      </w:r>
      <w:r>
        <w:rPr>
          <w:rFonts w:ascii="Arial" w:cs="Arial" w:eastAsia="Arial" w:hAnsi="Arial"/>
          <w:sz w:val="12"/>
          <w:szCs w:val="12"/>
          <w:color w:val="181717"/>
        </w:rPr>
        <w:t xml:space="preserve"> No </w:t>
      </w:r>
      <w:r>
        <w:rPr>
          <w:rFonts w:ascii="MS PGothic" w:cs="MS PGothic" w:eastAsia="MS PGothic" w:hAnsi="MS PGothic"/>
          <w:sz w:val="12"/>
          <w:szCs w:val="12"/>
          <w:color w:val="181717"/>
        </w:rPr>
        <w:t>☐</w:t>
      </w:r>
    </w:p>
    <w:p>
      <w:pPr>
        <w:ind w:left="400"/>
        <w:spacing w:after="0"/>
        <w:rPr>
          <w:sz w:val="20"/>
          <w:szCs w:val="20"/>
          <w:color w:val="auto"/>
        </w:rPr>
      </w:pPr>
      <w:r>
        <w:rPr>
          <w:rFonts w:ascii="Arial" w:cs="Arial" w:eastAsia="Arial" w:hAnsi="Arial"/>
          <w:sz w:val="10"/>
          <w:szCs w:val="10"/>
          <w:color w:val="181717"/>
        </w:rPr>
        <w:t>Indicate by check mark whether the registrant has submitted electronically every Interactive Data File required to be submitted pursuant to Rule 405 of Regulation S-T (§232.405 of this chapter) during the preceding 12 months (or for</w:t>
      </w:r>
    </w:p>
    <w:p>
      <w:pPr>
        <w:spacing w:after="0" w:line="18" w:lineRule="exact"/>
        <w:rPr>
          <w:sz w:val="24"/>
          <w:szCs w:val="24"/>
          <w:color w:val="auto"/>
        </w:rPr>
      </w:pPr>
    </w:p>
    <w:p>
      <w:pPr>
        <w:spacing w:after="0" w:line="138" w:lineRule="exact"/>
        <w:tabs>
          <w:tab w:leader="none" w:pos="4020" w:val="left"/>
        </w:tabs>
        <w:rPr>
          <w:sz w:val="20"/>
          <w:szCs w:val="20"/>
          <w:color w:val="auto"/>
        </w:rPr>
      </w:pPr>
      <w:r>
        <w:rPr>
          <w:rFonts w:ascii="Arial" w:cs="Arial" w:eastAsia="Arial" w:hAnsi="Arial"/>
          <w:sz w:val="12"/>
          <w:szCs w:val="12"/>
          <w:color w:val="181717"/>
        </w:rPr>
        <w:t xml:space="preserve">such shorter period that the registrant was required to submit such files). Yes </w:t>
      </w:r>
      <w:r>
        <w:rPr>
          <w:rFonts w:ascii="MS PGothic" w:cs="MS PGothic" w:eastAsia="MS PGothic" w:hAnsi="MS PGothic"/>
          <w:sz w:val="12"/>
          <w:szCs w:val="12"/>
          <w:color w:val="181717"/>
        </w:rPr>
        <w:t>☒</w:t>
      </w:r>
      <w:r>
        <w:rPr>
          <w:sz w:val="20"/>
          <w:szCs w:val="20"/>
          <w:color w:val="auto"/>
        </w:rPr>
        <w:tab/>
      </w:r>
      <w:r>
        <w:rPr>
          <w:rFonts w:ascii="Arial" w:cs="Arial" w:eastAsia="Arial" w:hAnsi="Arial"/>
          <w:sz w:val="10"/>
          <w:szCs w:val="10"/>
          <w:color w:val="181717"/>
        </w:rPr>
        <w:t xml:space="preserve">No </w:t>
      </w:r>
      <w:r>
        <w:rPr>
          <w:rFonts w:ascii="MS PGothic" w:cs="MS PGothic" w:eastAsia="MS PGothic" w:hAnsi="MS PGothic"/>
          <w:sz w:val="10"/>
          <w:szCs w:val="10"/>
          <w:color w:val="181717"/>
        </w:rPr>
        <w:t>☐</w:t>
      </w:r>
    </w:p>
    <w:p>
      <w:pPr>
        <w:spacing w:after="0" w:line="3" w:lineRule="exact"/>
        <w:rPr>
          <w:sz w:val="24"/>
          <w:szCs w:val="24"/>
          <w:color w:val="auto"/>
        </w:rPr>
      </w:pPr>
    </w:p>
    <w:p>
      <w:pPr>
        <w:ind w:left="400"/>
        <w:spacing w:after="0"/>
        <w:rPr>
          <w:sz w:val="20"/>
          <w:szCs w:val="20"/>
          <w:color w:val="auto"/>
        </w:rPr>
      </w:pPr>
      <w:r>
        <w:rPr>
          <w:rFonts w:ascii="Arial" w:cs="Arial" w:eastAsia="Arial" w:hAnsi="Arial"/>
          <w:sz w:val="10"/>
          <w:szCs w:val="10"/>
          <w:color w:val="181717"/>
        </w:rPr>
        <w:t>Indicate by check mark whether the registrant is a large accelerated filer, an accelerated filer, a non-accelerated filer or an emerging growth company. See definition of “accelerated filer,” “large accelerated filer,” and “emerging</w:t>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color w:val="181717"/>
        </w:rPr>
        <w:t>growth company” in Rule 12b-2 of the Exchange Act. (Check one):</w:t>
      </w:r>
    </w:p>
    <w:p>
      <w:pPr>
        <w:sectPr>
          <w:pgSz w:w="11900" w:h="16838" w:orient="portrait"/>
          <w:cols w:equalWidth="0" w:num="1">
            <w:col w:w="11260"/>
          </w:cols>
          <w:pgMar w:left="320" w:top="281" w:right="319" w:bottom="1440" w:gutter="0" w:footer="0" w:header="0"/>
          <w:type w:val="continuous"/>
        </w:sectPr>
      </w:pPr>
    </w:p>
    <w:p>
      <w:pPr>
        <w:spacing w:after="0" w:line="2" w:lineRule="exact"/>
        <w:rPr>
          <w:sz w:val="24"/>
          <w:szCs w:val="24"/>
          <w:color w:val="auto"/>
        </w:rPr>
      </w:pPr>
    </w:p>
    <w:p>
      <w:pPr>
        <w:ind w:left="280"/>
        <w:spacing w:after="0"/>
        <w:rPr>
          <w:sz w:val="20"/>
          <w:szCs w:val="20"/>
          <w:color w:val="auto"/>
        </w:rPr>
      </w:pPr>
      <w:r>
        <w:rPr>
          <w:rFonts w:ascii="Arial" w:cs="Arial" w:eastAsia="Arial" w:hAnsi="Arial"/>
          <w:sz w:val="10"/>
          <w:szCs w:val="10"/>
          <w:color w:val="181717"/>
        </w:rPr>
        <w:t>Large accelerated filer</w:t>
      </w:r>
    </w:p>
    <w:p>
      <w:pPr>
        <w:spacing w:after="0" w:line="20" w:lineRule="exact"/>
        <w:rPr>
          <w:sz w:val="24"/>
          <w:szCs w:val="24"/>
          <w:color w:val="auto"/>
        </w:rPr>
      </w:pPr>
      <w:r>
        <w:rPr>
          <w:sz w:val="24"/>
          <w:szCs w:val="24"/>
          <w:color w:val="auto"/>
        </w:rPr>
        <w:br w:type="column"/>
      </w:r>
    </w:p>
    <w:p>
      <w:pPr>
        <w:jc w:val="right"/>
        <w:spacing w:after="0" w:line="131" w:lineRule="exact"/>
        <w:rPr>
          <w:sz w:val="20"/>
          <w:szCs w:val="20"/>
          <w:color w:val="auto"/>
        </w:rPr>
      </w:pPr>
      <w:r>
        <w:rPr>
          <w:rFonts w:ascii="MS PGothic" w:cs="MS PGothic" w:eastAsia="MS PGothic" w:hAnsi="MS PGothic"/>
          <w:sz w:val="12"/>
          <w:szCs w:val="12"/>
          <w:color w:val="181717"/>
        </w:rPr>
        <w:t>☐</w:t>
      </w:r>
      <w:r>
        <w:rPr>
          <w:rFonts w:ascii="Arial" w:cs="Arial" w:eastAsia="Arial" w:hAnsi="Arial"/>
          <w:sz w:val="12"/>
          <w:szCs w:val="12"/>
          <w:color w:val="181717"/>
        </w:rPr>
        <w:t xml:space="preserve">                                    Accelerated filer   </w:t>
      </w:r>
      <w:r>
        <w:rPr>
          <w:rFonts w:ascii="MS PGothic" w:cs="MS PGothic" w:eastAsia="MS PGothic" w:hAnsi="MS PGothic"/>
          <w:sz w:val="12"/>
          <w:szCs w:val="12"/>
          <w:color w:val="181717"/>
        </w:rPr>
        <w:t>☒</w:t>
      </w:r>
      <w:r>
        <w:rPr>
          <w:rFonts w:ascii="Arial" w:cs="Arial" w:eastAsia="Arial" w:hAnsi="Arial"/>
          <w:sz w:val="12"/>
          <w:szCs w:val="12"/>
          <w:color w:val="181717"/>
        </w:rPr>
        <w:t xml:space="preserve">                                         Non-accelerated filer    </w:t>
      </w:r>
      <w:r>
        <w:rPr>
          <w:rFonts w:ascii="MS PGothic" w:cs="MS PGothic" w:eastAsia="MS PGothic" w:hAnsi="MS PGothic"/>
          <w:sz w:val="12"/>
          <w:szCs w:val="12"/>
          <w:color w:val="181717"/>
        </w:rPr>
        <w:t>☐</w:t>
      </w:r>
      <w:r>
        <w:rPr>
          <w:rFonts w:ascii="Arial" w:cs="Arial" w:eastAsia="Arial" w:hAnsi="Arial"/>
          <w:sz w:val="12"/>
          <w:szCs w:val="12"/>
          <w:color w:val="181717"/>
        </w:rPr>
        <w:t xml:space="preserve"> Emerging growth company   </w:t>
      </w:r>
      <w:r>
        <w:rPr>
          <w:rFonts w:ascii="MS PGothic" w:cs="MS PGothic" w:eastAsia="MS PGothic" w:hAnsi="MS PGothic"/>
          <w:sz w:val="12"/>
          <w:szCs w:val="12"/>
          <w:color w:val="181717"/>
        </w:rPr>
        <w:t>☒</w:t>
      </w:r>
    </w:p>
    <w:p>
      <w:pPr>
        <w:spacing w:after="0" w:line="150" w:lineRule="exact"/>
        <w:rPr>
          <w:sz w:val="24"/>
          <w:szCs w:val="24"/>
          <w:color w:val="auto"/>
        </w:rPr>
      </w:pPr>
    </w:p>
    <w:p>
      <w:pPr>
        <w:sectPr>
          <w:pgSz w:w="11900" w:h="16838" w:orient="portrait"/>
          <w:cols w:equalWidth="0" w:num="2">
            <w:col w:w="1320" w:space="180"/>
            <w:col w:w="9760"/>
          </w:cols>
          <w:pgMar w:left="320" w:top="281" w:right="319" w:bottom="1440" w:gutter="0" w:footer="0" w:header="0"/>
          <w:type w:val="continuous"/>
        </w:sectPr>
      </w:pPr>
    </w:p>
    <w:p>
      <w:pPr>
        <w:ind w:right="20" w:firstLine="402"/>
        <w:spacing w:after="0" w:line="136" w:lineRule="exact"/>
        <w:rPr>
          <w:sz w:val="20"/>
          <w:szCs w:val="20"/>
          <w:color w:val="auto"/>
        </w:rPr>
      </w:pPr>
      <w:r>
        <w:rPr>
          <w:rFonts w:ascii="Arial" w:cs="Arial" w:eastAsia="Arial" w:hAnsi="Arial"/>
          <w:sz w:val="12"/>
          <w:szCs w:val="12"/>
          <w:color w:val="181717"/>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2"/>
          <w:szCs w:val="12"/>
          <w:color w:val="181717"/>
        </w:rPr>
        <w:t>☒</w:t>
      </w:r>
    </w:p>
    <w:p>
      <w:pPr>
        <w:ind w:left="400"/>
        <w:spacing w:after="0"/>
        <w:rPr>
          <w:sz w:val="20"/>
          <w:szCs w:val="20"/>
          <w:color w:val="auto"/>
        </w:rPr>
      </w:pPr>
      <w:r>
        <w:rPr>
          <w:rFonts w:ascii="Arial" w:cs="Arial" w:eastAsia="Arial" w:hAnsi="Arial"/>
          <w:sz w:val="12"/>
          <w:szCs w:val="12"/>
          <w:color w:val="181717"/>
        </w:rPr>
        <w:t>† The term “new or revised financial accounting standard” refers to any update issued by the Financial Accounting Standards Board to its Accounting Standards Codification after April 5, 2012.</w:t>
      </w:r>
    </w:p>
    <w:p>
      <w:pPr>
        <w:spacing w:after="0" w:line="2" w:lineRule="exact"/>
        <w:rPr>
          <w:sz w:val="24"/>
          <w:szCs w:val="24"/>
          <w:color w:val="auto"/>
        </w:rPr>
      </w:pPr>
    </w:p>
    <w:p>
      <w:pPr>
        <w:ind w:right="40" w:firstLine="402"/>
        <w:spacing w:after="0" w:line="148"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181717"/>
        </w:rPr>
        <w:t>☐</w:t>
      </w:r>
    </w:p>
    <w:p>
      <w:pPr>
        <w:spacing w:after="0" w:line="1" w:lineRule="exact"/>
        <w:rPr>
          <w:sz w:val="24"/>
          <w:szCs w:val="24"/>
          <w:color w:val="auto"/>
        </w:rPr>
      </w:pPr>
    </w:p>
    <w:p>
      <w:pPr>
        <w:ind w:left="400"/>
        <w:spacing w:after="0"/>
        <w:rPr>
          <w:sz w:val="20"/>
          <w:szCs w:val="20"/>
          <w:color w:val="auto"/>
        </w:rPr>
      </w:pPr>
      <w:r>
        <w:rPr>
          <w:rFonts w:ascii="Arial" w:cs="Arial" w:eastAsia="Arial" w:hAnsi="Arial"/>
          <w:sz w:val="12"/>
          <w:szCs w:val="12"/>
          <w:color w:val="181717"/>
        </w:rPr>
        <w:t>Indicate by check mark which basis of accounting the registrant has used to prepare the financial statements included in this filing:</w:t>
      </w:r>
    </w:p>
    <w:p>
      <w:pPr>
        <w:ind w:left="400"/>
        <w:spacing w:after="0" w:line="138" w:lineRule="exact"/>
        <w:rPr>
          <w:sz w:val="20"/>
          <w:szCs w:val="20"/>
          <w:color w:val="auto"/>
        </w:rPr>
      </w:pPr>
      <w:r>
        <w:rPr>
          <w:rFonts w:ascii="MS PGothic" w:cs="MS PGothic" w:eastAsia="MS PGothic" w:hAnsi="MS PGothic"/>
          <w:sz w:val="12"/>
          <w:szCs w:val="12"/>
          <w:color w:val="181717"/>
        </w:rPr>
        <w:t>☒</w:t>
      </w:r>
      <w:r>
        <w:rPr>
          <w:rFonts w:ascii="Arial" w:cs="Arial" w:eastAsia="Arial" w:hAnsi="Arial"/>
          <w:sz w:val="12"/>
          <w:szCs w:val="12"/>
          <w:color w:val="181717"/>
        </w:rPr>
        <w:t xml:space="preserve">U.S. GAAP </w:t>
      </w:r>
      <w:r>
        <w:rPr>
          <w:rFonts w:ascii="MS PGothic" w:cs="MS PGothic" w:eastAsia="MS PGothic" w:hAnsi="MS PGothic"/>
          <w:sz w:val="12"/>
          <w:szCs w:val="12"/>
          <w:color w:val="181717"/>
        </w:rPr>
        <w:t>☐</w:t>
      </w:r>
      <w:r>
        <w:rPr>
          <w:rFonts w:ascii="Arial" w:cs="Arial" w:eastAsia="Arial" w:hAnsi="Arial"/>
          <w:sz w:val="12"/>
          <w:szCs w:val="12"/>
          <w:color w:val="181717"/>
        </w:rPr>
        <w:t xml:space="preserve"> International Financial Reporting Standards as issued by the International Accounting Standards Board </w:t>
      </w:r>
      <w:r>
        <w:rPr>
          <w:rFonts w:ascii="MS PGothic" w:cs="MS PGothic" w:eastAsia="MS PGothic" w:hAnsi="MS PGothic"/>
          <w:sz w:val="12"/>
          <w:szCs w:val="12"/>
          <w:color w:val="181717"/>
        </w:rPr>
        <w:t>☐</w:t>
      </w:r>
      <w:r>
        <w:rPr>
          <w:rFonts w:ascii="Arial" w:cs="Arial" w:eastAsia="Arial" w:hAnsi="Arial"/>
          <w:sz w:val="12"/>
          <w:szCs w:val="12"/>
          <w:color w:val="181717"/>
        </w:rPr>
        <w:t xml:space="preserve"> Other</w:t>
      </w:r>
    </w:p>
    <w:p>
      <w:pPr>
        <w:spacing w:after="0" w:line="11" w:lineRule="exact"/>
        <w:rPr>
          <w:sz w:val="24"/>
          <w:szCs w:val="24"/>
          <w:color w:val="auto"/>
        </w:rPr>
      </w:pPr>
    </w:p>
    <w:p>
      <w:pPr>
        <w:ind w:left="400"/>
        <w:spacing w:after="0"/>
        <w:rPr>
          <w:sz w:val="20"/>
          <w:szCs w:val="20"/>
          <w:color w:val="auto"/>
        </w:rPr>
      </w:pPr>
      <w:r>
        <w:rPr>
          <w:rFonts w:ascii="Arial" w:cs="Arial" w:eastAsia="Arial" w:hAnsi="Arial"/>
          <w:sz w:val="12"/>
          <w:szCs w:val="12"/>
          <w:color w:val="181717"/>
        </w:rPr>
        <w:t>If “Other” has been checked in response to the previous question, indicate by check mark which financial statement item the registrant has elected to follow.</w:t>
      </w:r>
    </w:p>
    <w:p>
      <w:pPr>
        <w:sectPr>
          <w:pgSz w:w="11900" w:h="16838" w:orient="portrait"/>
          <w:cols w:equalWidth="0" w:num="1">
            <w:col w:w="11260"/>
          </w:cols>
          <w:pgMar w:left="320" w:top="281" w:right="319" w:bottom="1440" w:gutter="0" w:footer="0" w:header="0"/>
          <w:type w:val="continuous"/>
        </w:sectPr>
      </w:pPr>
    </w:p>
    <w:p>
      <w:pPr>
        <w:ind w:left="400"/>
        <w:spacing w:after="0" w:line="115" w:lineRule="exact"/>
        <w:rPr>
          <w:sz w:val="20"/>
          <w:szCs w:val="20"/>
          <w:color w:val="auto"/>
        </w:rPr>
      </w:pPr>
      <w:r>
        <w:rPr>
          <w:rFonts w:ascii="MS PGothic" w:cs="MS PGothic" w:eastAsia="MS PGothic" w:hAnsi="MS PGothic"/>
          <w:sz w:val="10"/>
          <w:szCs w:val="10"/>
          <w:color w:val="181717"/>
        </w:rPr>
        <w:t>☐</w:t>
      </w:r>
      <w:r>
        <w:rPr>
          <w:rFonts w:ascii="Arial" w:cs="Arial" w:eastAsia="Arial" w:hAnsi="Arial"/>
          <w:sz w:val="10"/>
          <w:szCs w:val="10"/>
          <w:color w:val="181717"/>
        </w:rPr>
        <w:t xml:space="preserve"> Item 17</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MS PGothic" w:cs="MS PGothic" w:eastAsia="MS PGothic" w:hAnsi="MS PGothic"/>
          <w:sz w:val="10"/>
          <w:szCs w:val="10"/>
          <w:color w:val="181717"/>
        </w:rPr>
        <w:t>☐</w:t>
      </w:r>
      <w:r>
        <w:rPr>
          <w:rFonts w:ascii="Arial" w:cs="Arial" w:eastAsia="Arial" w:hAnsi="Arial"/>
          <w:sz w:val="10"/>
          <w:szCs w:val="10"/>
          <w:color w:val="181717"/>
        </w:rPr>
        <w:t xml:space="preserve"> Item 18</w:t>
      </w:r>
    </w:p>
    <w:p>
      <w:pPr>
        <w:spacing w:after="0" w:line="61" w:lineRule="exact"/>
        <w:rPr>
          <w:sz w:val="24"/>
          <w:szCs w:val="24"/>
          <w:color w:val="auto"/>
        </w:rPr>
      </w:pPr>
    </w:p>
    <w:p>
      <w:pPr>
        <w:sectPr>
          <w:pgSz w:w="11900" w:h="16838" w:orient="portrait"/>
          <w:cols w:equalWidth="0" w:num="2">
            <w:col w:w="880" w:space="360"/>
            <w:col w:w="10020"/>
          </w:cols>
          <w:pgMar w:left="320" w:top="281" w:right="319" w:bottom="1440" w:gutter="0" w:footer="0" w:header="0"/>
          <w:type w:val="continuous"/>
        </w:sectPr>
      </w:pPr>
    </w:p>
    <w:p>
      <w:pPr>
        <w:ind w:left="400"/>
        <w:spacing w:after="0" w:line="137" w:lineRule="exact"/>
        <w:rPr>
          <w:sz w:val="20"/>
          <w:szCs w:val="20"/>
          <w:color w:val="auto"/>
        </w:rPr>
      </w:pPr>
      <w:r>
        <w:rPr>
          <w:rFonts w:ascii="Arial" w:cs="Arial" w:eastAsia="Arial" w:hAnsi="Arial"/>
          <w:sz w:val="10"/>
          <w:szCs w:val="10"/>
          <w:color w:val="181717"/>
        </w:rPr>
        <w:t xml:space="preserve">If this is an annual report, indicate by check mark whether the registrant is a shell company (as defined in Rule 12b-2 of the Exchange Act). Yes </w:t>
      </w:r>
      <w:r>
        <w:rPr>
          <w:rFonts w:ascii="MS PGothic" w:cs="MS PGothic" w:eastAsia="MS PGothic" w:hAnsi="MS PGothic"/>
          <w:sz w:val="10"/>
          <w:szCs w:val="10"/>
          <w:color w:val="181717"/>
        </w:rPr>
        <w:t>☐</w:t>
      </w:r>
      <w:r>
        <w:rPr>
          <w:rFonts w:ascii="Arial" w:cs="Arial" w:eastAsia="Arial" w:hAnsi="Arial"/>
          <w:sz w:val="10"/>
          <w:szCs w:val="10"/>
          <w:color w:val="181717"/>
        </w:rPr>
        <w:t xml:space="preserve"> APPLICABLE ONLY TO ISSUERS INVOLVED IN BANKRUPTCY PROCEEDINGS DURING THE PAST FIVE YEARS</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Arial" w:cs="Arial" w:eastAsia="Arial" w:hAnsi="Arial"/>
          <w:sz w:val="10"/>
          <w:szCs w:val="10"/>
          <w:color w:val="181717"/>
        </w:rPr>
        <w:t xml:space="preserve">No </w:t>
      </w:r>
      <w:r>
        <w:rPr>
          <w:rFonts w:ascii="MS PGothic" w:cs="MS PGothic" w:eastAsia="MS PGothic" w:hAnsi="MS PGothic"/>
          <w:sz w:val="10"/>
          <w:szCs w:val="10"/>
          <w:color w:val="181717"/>
        </w:rPr>
        <w:t>☒</w:t>
      </w:r>
    </w:p>
    <w:p>
      <w:pPr>
        <w:spacing w:after="0" w:line="159" w:lineRule="exact"/>
        <w:rPr>
          <w:sz w:val="24"/>
          <w:szCs w:val="24"/>
          <w:color w:val="auto"/>
        </w:rPr>
      </w:pPr>
    </w:p>
    <w:p>
      <w:pPr>
        <w:sectPr>
          <w:pgSz w:w="11900" w:h="16838" w:orient="portrait"/>
          <w:cols w:equalWidth="0" w:num="2">
            <w:col w:w="7220" w:space="600"/>
            <w:col w:w="3440"/>
          </w:cols>
          <w:pgMar w:left="320" w:top="281" w:right="319" w:bottom="1440" w:gutter="0" w:footer="0" w:header="0"/>
          <w:type w:val="continuous"/>
        </w:sectPr>
      </w:pPr>
    </w:p>
    <w:p>
      <w:pPr>
        <w:ind w:right="460" w:firstLine="402"/>
        <w:spacing w:after="0" w:line="149" w:lineRule="exact"/>
        <w:rPr>
          <w:sz w:val="20"/>
          <w:szCs w:val="20"/>
          <w:color w:val="auto"/>
        </w:rPr>
      </w:pPr>
      <w:r>
        <w:rPr>
          <w:rFonts w:ascii="Arial" w:cs="Arial" w:eastAsia="Arial" w:hAnsi="Arial"/>
          <w:sz w:val="12"/>
          <w:szCs w:val="12"/>
          <w:color w:val="181717"/>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2"/>
          <w:szCs w:val="12"/>
          <w:color w:val="181717"/>
        </w:rPr>
        <w:t>☐</w:t>
      </w:r>
      <w:r>
        <w:rPr>
          <w:rFonts w:ascii="Arial" w:cs="Arial" w:eastAsia="Arial" w:hAnsi="Arial"/>
          <w:sz w:val="12"/>
          <w:szCs w:val="12"/>
          <w:color w:val="181717"/>
        </w:rPr>
        <w:t xml:space="preserve"> No </w:t>
      </w:r>
      <w:r>
        <w:rPr>
          <w:rFonts w:ascii="MS PGothic" w:cs="MS PGothic" w:eastAsia="MS PGothic" w:hAnsi="MS PGothic"/>
          <w:sz w:val="12"/>
          <w:szCs w:val="12"/>
          <w:color w:val="181717"/>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wp:posOffset>
            </wp:positionV>
            <wp:extent cx="71431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337185</wp:posOffset>
            </wp:positionV>
            <wp:extent cx="716851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80" w:type="dxa"/>
            <w:vAlign w:val="bottom"/>
            <w:gridSpan w:val="8"/>
          </w:tcPr>
          <w:p>
            <w:pPr>
              <w:ind w:left="60"/>
              <w:spacing w:after="0"/>
              <w:rPr>
                <w:sz w:val="20"/>
                <w:szCs w:val="20"/>
                <w:color w:val="auto"/>
              </w:rPr>
            </w:pPr>
            <w:r>
              <w:rPr>
                <w:rFonts w:ascii="Arial" w:cs="Arial" w:eastAsia="Arial" w:hAnsi="Arial"/>
                <w:sz w:val="17"/>
                <w:szCs w:val="17"/>
                <w:b w:val="1"/>
                <w:bCs w:val="1"/>
                <w:color w:val="181717"/>
              </w:rPr>
              <w:t>TABLE OF CONTENTS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340" w:type="dxa"/>
            <w:vAlign w:val="bottom"/>
            <w:gridSpan w:val="5"/>
            <w:vMerge w:val="restart"/>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Introduction</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181717"/>
              </w:rPr>
              <w:t>Page</w:t>
            </w:r>
          </w:p>
        </w:tc>
        <w:tc>
          <w:tcPr>
            <w:tcW w:w="0" w:type="dxa"/>
            <w:vAlign w:val="bottom"/>
          </w:tcPr>
          <w:p>
            <w:pPr>
              <w:spacing w:after="0"/>
              <w:rPr>
                <w:sz w:val="1"/>
                <w:szCs w:val="1"/>
                <w:color w:val="auto"/>
              </w:rPr>
            </w:pPr>
          </w:p>
        </w:tc>
      </w:tr>
      <w:tr>
        <w:trPr>
          <w:trHeight w:val="154"/>
        </w:trPr>
        <w:tc>
          <w:tcPr>
            <w:tcW w:w="1340" w:type="dxa"/>
            <w:vAlign w:val="bottom"/>
            <w:gridSpan w:val="5"/>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181717"/>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040" w:type="dxa"/>
            <w:vAlign w:val="bottom"/>
            <w:gridSpan w:val="31"/>
          </w:tcPr>
          <w:p>
            <w:pPr>
              <w:spacing w:after="0" w:line="180" w:lineRule="exact"/>
              <w:rPr>
                <w:rFonts w:ascii="Arial" w:cs="Arial" w:eastAsia="Arial" w:hAnsi="Arial"/>
                <w:sz w:val="17"/>
                <w:szCs w:val="17"/>
                <w:color w:val="0000EE"/>
              </w:rPr>
            </w:pPr>
            <w:hyperlink w:anchor="page4">
              <w:r>
                <w:rPr>
                  <w:rFonts w:ascii="Arial" w:cs="Arial" w:eastAsia="Arial" w:hAnsi="Arial"/>
                  <w:sz w:val="17"/>
                  <w:szCs w:val="17"/>
                  <w:color w:val="0000EE"/>
                </w:rPr>
                <w:t>Forward-Looking Information</w:t>
              </w:r>
            </w:hyperlink>
          </w:p>
        </w:tc>
        <w:tc>
          <w:tcPr>
            <w:tcW w:w="1220" w:type="dxa"/>
            <w:vAlign w:val="bottom"/>
            <w:gridSpan w:val="2"/>
          </w:tcPr>
          <w:p>
            <w:pPr>
              <w:jc w:val="right"/>
              <w:ind w:right="20"/>
              <w:spacing w:after="0" w:line="180" w:lineRule="exact"/>
              <w:rPr>
                <w:sz w:val="20"/>
                <w:szCs w:val="20"/>
                <w:color w:val="auto"/>
              </w:rPr>
            </w:pPr>
            <w:r>
              <w:rPr>
                <w:rFonts w:ascii="Arial" w:cs="Arial" w:eastAsia="Arial" w:hAnsi="Arial"/>
                <w:sz w:val="17"/>
                <w:szCs w:val="17"/>
                <w:color w:val="181717"/>
              </w:rPr>
              <w:t>ii</w:t>
            </w:r>
          </w:p>
        </w:tc>
        <w:tc>
          <w:tcPr>
            <w:tcW w:w="0" w:type="dxa"/>
            <w:vAlign w:val="bottom"/>
          </w:tcPr>
          <w:p>
            <w:pPr>
              <w:spacing w:after="0"/>
              <w:rPr>
                <w:sz w:val="1"/>
                <w:szCs w:val="1"/>
                <w:color w:val="auto"/>
              </w:rPr>
            </w:pPr>
          </w:p>
        </w:tc>
      </w:tr>
      <w:tr>
        <w:trPr>
          <w:trHeight w:val="379"/>
        </w:trPr>
        <w:tc>
          <w:tcPr>
            <w:tcW w:w="1340" w:type="dxa"/>
            <w:vAlign w:val="bottom"/>
            <w:tcBorders>
              <w:top w:val="single" w:sz="8" w:color="0000EE"/>
            </w:tcBorders>
            <w:gridSpan w:val="5"/>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Part I</w:t>
              </w:r>
            </w:hyperlink>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181717"/>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w:t>
            </w:r>
          </w:p>
        </w:tc>
        <w:tc>
          <w:tcPr>
            <w:tcW w:w="3700" w:type="dxa"/>
            <w:vAlign w:val="bottom"/>
            <w:tcBorders>
              <w:bottom w:val="single" w:sz="8" w:color="0000EE"/>
            </w:tcBorders>
            <w:gridSpan w:val="21"/>
          </w:tcPr>
          <w:p>
            <w:pPr>
              <w:spacing w:after="0" w:line="180" w:lineRule="exact"/>
              <w:rPr>
                <w:rFonts w:ascii="Arial" w:cs="Arial" w:eastAsia="Arial" w:hAnsi="Arial"/>
                <w:sz w:val="17"/>
                <w:szCs w:val="17"/>
                <w:color w:val="0000EE"/>
                <w:w w:val="89"/>
              </w:rPr>
            </w:pPr>
            <w:hyperlink w:anchor="page5">
              <w:r>
                <w:rPr>
                  <w:rFonts w:ascii="Arial" w:cs="Arial" w:eastAsia="Arial" w:hAnsi="Arial"/>
                  <w:sz w:val="17"/>
                  <w:szCs w:val="17"/>
                  <w:color w:val="0000EE"/>
                  <w:w w:val="89"/>
                </w:rPr>
                <w:t>Identity of Directors, Senior Management and Advisers</w:t>
              </w:r>
            </w:hyperlink>
          </w:p>
        </w:tc>
        <w:tc>
          <w:tcPr>
            <w:tcW w:w="5000" w:type="dxa"/>
            <w:vAlign w:val="bottom"/>
            <w:gridSpan w:val="5"/>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2.</w:t>
            </w:r>
          </w:p>
        </w:tc>
        <w:tc>
          <w:tcPr>
            <w:tcW w:w="2660" w:type="dxa"/>
            <w:vAlign w:val="bottom"/>
            <w:tcBorders>
              <w:bottom w:val="single" w:sz="8" w:color="0000EE"/>
            </w:tcBorders>
            <w:gridSpan w:val="15"/>
          </w:tcPr>
          <w:p>
            <w:pPr>
              <w:spacing w:after="0" w:line="180" w:lineRule="exact"/>
              <w:rPr>
                <w:rFonts w:ascii="Arial" w:cs="Arial" w:eastAsia="Arial" w:hAnsi="Arial"/>
                <w:sz w:val="17"/>
                <w:szCs w:val="17"/>
                <w:color w:val="0000EE"/>
                <w:w w:val="88"/>
              </w:rPr>
            </w:pPr>
            <w:hyperlink w:anchor="page5">
              <w:r>
                <w:rPr>
                  <w:rFonts w:ascii="Arial" w:cs="Arial" w:eastAsia="Arial" w:hAnsi="Arial"/>
                  <w:sz w:val="17"/>
                  <w:szCs w:val="17"/>
                  <w:color w:val="0000EE"/>
                  <w:w w:val="88"/>
                </w:rPr>
                <w:t>Offer Statistics and Expected Timetable</w:t>
              </w:r>
            </w:hyperlink>
          </w:p>
        </w:tc>
        <w:tc>
          <w:tcPr>
            <w:tcW w:w="6040" w:type="dxa"/>
            <w:vAlign w:val="bottom"/>
            <w:gridSpan w:val="11"/>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3.</w:t>
            </w:r>
          </w:p>
        </w:tc>
        <w:tc>
          <w:tcPr>
            <w:tcW w:w="1120" w:type="dxa"/>
            <w:vAlign w:val="bottom"/>
            <w:tcBorders>
              <w:bottom w:val="single" w:sz="8" w:color="0000EE"/>
            </w:tcBorders>
            <w:gridSpan w:val="4"/>
          </w:tcPr>
          <w:p>
            <w:pPr>
              <w:spacing w:after="0" w:line="180" w:lineRule="exact"/>
              <w:rPr>
                <w:rFonts w:ascii="Arial" w:cs="Arial" w:eastAsia="Arial" w:hAnsi="Arial"/>
                <w:sz w:val="17"/>
                <w:szCs w:val="17"/>
                <w:color w:val="0000EE"/>
                <w:w w:val="92"/>
              </w:rPr>
            </w:pPr>
            <w:hyperlink w:anchor="page5">
              <w:r>
                <w:rPr>
                  <w:rFonts w:ascii="Arial" w:cs="Arial" w:eastAsia="Arial" w:hAnsi="Arial"/>
                  <w:sz w:val="17"/>
                  <w:szCs w:val="17"/>
                  <w:color w:val="0000EE"/>
                  <w:w w:val="92"/>
                </w:rPr>
                <w:t>Key Information</w:t>
              </w:r>
            </w:hyperlink>
          </w:p>
        </w:tc>
        <w:tc>
          <w:tcPr>
            <w:tcW w:w="7580" w:type="dxa"/>
            <w:vAlign w:val="bottom"/>
            <w:gridSpan w:val="22"/>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4.</w:t>
            </w:r>
          </w:p>
        </w:tc>
        <w:tc>
          <w:tcPr>
            <w:tcW w:w="1940" w:type="dxa"/>
            <w:vAlign w:val="bottom"/>
            <w:tcBorders>
              <w:bottom w:val="single" w:sz="8" w:color="0000EE"/>
            </w:tcBorders>
            <w:gridSpan w:val="12"/>
          </w:tcPr>
          <w:p>
            <w:pPr>
              <w:spacing w:after="0" w:line="180" w:lineRule="exact"/>
              <w:rPr>
                <w:rFonts w:ascii="Arial" w:cs="Arial" w:eastAsia="Arial" w:hAnsi="Arial"/>
                <w:sz w:val="17"/>
                <w:szCs w:val="17"/>
                <w:color w:val="0000EE"/>
                <w:w w:val="89"/>
              </w:rPr>
            </w:pPr>
            <w:hyperlink w:anchor="page42">
              <w:r>
                <w:rPr>
                  <w:rFonts w:ascii="Arial" w:cs="Arial" w:eastAsia="Arial" w:hAnsi="Arial"/>
                  <w:sz w:val="17"/>
                  <w:szCs w:val="17"/>
                  <w:color w:val="0000EE"/>
                  <w:w w:val="89"/>
                </w:rPr>
                <w:t>Information on the Company</w:t>
              </w:r>
            </w:hyperlink>
          </w:p>
        </w:tc>
        <w:tc>
          <w:tcPr>
            <w:tcW w:w="6760" w:type="dxa"/>
            <w:vAlign w:val="bottom"/>
            <w:gridSpan w:val="14"/>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4A.</w:t>
            </w:r>
          </w:p>
        </w:tc>
        <w:tc>
          <w:tcPr>
            <w:tcW w:w="1900" w:type="dxa"/>
            <w:vAlign w:val="bottom"/>
            <w:tcBorders>
              <w:bottom w:val="single" w:sz="8" w:color="0000EE"/>
            </w:tcBorders>
            <w:gridSpan w:val="11"/>
          </w:tcPr>
          <w:p>
            <w:pPr>
              <w:spacing w:after="0" w:line="180" w:lineRule="exact"/>
              <w:rPr>
                <w:rFonts w:ascii="Arial" w:cs="Arial" w:eastAsia="Arial" w:hAnsi="Arial"/>
                <w:sz w:val="17"/>
                <w:szCs w:val="17"/>
                <w:color w:val="0000EE"/>
                <w:w w:val="88"/>
              </w:rPr>
            </w:pPr>
            <w:hyperlink w:anchor="page72">
              <w:r>
                <w:rPr>
                  <w:rFonts w:ascii="Arial" w:cs="Arial" w:eastAsia="Arial" w:hAnsi="Arial"/>
                  <w:sz w:val="17"/>
                  <w:szCs w:val="17"/>
                  <w:color w:val="0000EE"/>
                  <w:w w:val="88"/>
                </w:rPr>
                <w:t>Unresolved Staff Comments</w:t>
              </w:r>
            </w:hyperlink>
          </w:p>
        </w:tc>
        <w:tc>
          <w:tcPr>
            <w:tcW w:w="6800" w:type="dxa"/>
            <w:vAlign w:val="bottom"/>
            <w:gridSpan w:val="15"/>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5.</w:t>
            </w:r>
          </w:p>
        </w:tc>
        <w:tc>
          <w:tcPr>
            <w:tcW w:w="3120" w:type="dxa"/>
            <w:vAlign w:val="bottom"/>
            <w:tcBorders>
              <w:bottom w:val="single" w:sz="8" w:color="0000EE"/>
            </w:tcBorders>
            <w:gridSpan w:val="17"/>
          </w:tcPr>
          <w:p>
            <w:pPr>
              <w:spacing w:after="0" w:line="180" w:lineRule="exact"/>
              <w:rPr>
                <w:rFonts w:ascii="Arial" w:cs="Arial" w:eastAsia="Arial" w:hAnsi="Arial"/>
                <w:sz w:val="17"/>
                <w:szCs w:val="17"/>
                <w:color w:val="0000EE"/>
                <w:w w:val="87"/>
              </w:rPr>
            </w:pPr>
            <w:hyperlink w:anchor="page72">
              <w:r>
                <w:rPr>
                  <w:rFonts w:ascii="Arial" w:cs="Arial" w:eastAsia="Arial" w:hAnsi="Arial"/>
                  <w:sz w:val="17"/>
                  <w:szCs w:val="17"/>
                  <w:color w:val="0000EE"/>
                  <w:w w:val="87"/>
                </w:rPr>
                <w:t>Operating and Financial Review and Prospects</w:t>
              </w:r>
            </w:hyperlink>
          </w:p>
        </w:tc>
        <w:tc>
          <w:tcPr>
            <w:tcW w:w="5580" w:type="dxa"/>
            <w:vAlign w:val="bottom"/>
            <w:gridSpan w:val="9"/>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6.</w:t>
            </w:r>
          </w:p>
        </w:tc>
        <w:tc>
          <w:tcPr>
            <w:tcW w:w="8700" w:type="dxa"/>
            <w:vAlign w:val="bottom"/>
            <w:gridSpan w:val="26"/>
          </w:tcPr>
          <w:p>
            <w:pPr>
              <w:spacing w:after="0" w:line="180" w:lineRule="exact"/>
              <w:rPr>
                <w:rFonts w:ascii="Arial" w:cs="Arial" w:eastAsia="Arial" w:hAnsi="Arial"/>
                <w:sz w:val="17"/>
                <w:szCs w:val="17"/>
                <w:color w:val="0000EE"/>
              </w:rPr>
            </w:pPr>
            <w:hyperlink w:anchor="page87">
              <w:r>
                <w:rPr>
                  <w:rFonts w:ascii="Arial" w:cs="Arial" w:eastAsia="Arial" w:hAnsi="Arial"/>
                  <w:sz w:val="17"/>
                  <w:szCs w:val="17"/>
                  <w:color w:val="0000EE"/>
                </w:rPr>
                <w:t>Directors, Senior Management and Employees</w:t>
              </w:r>
            </w:hyperlink>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7.</w:t>
            </w:r>
          </w:p>
        </w:tc>
        <w:tc>
          <w:tcPr>
            <w:tcW w:w="8700" w:type="dxa"/>
            <w:vAlign w:val="bottom"/>
            <w:gridSpan w:val="26"/>
          </w:tcPr>
          <w:p>
            <w:pPr>
              <w:spacing w:after="0" w:line="180" w:lineRule="exact"/>
              <w:rPr>
                <w:rFonts w:ascii="Arial" w:cs="Arial" w:eastAsia="Arial" w:hAnsi="Arial"/>
                <w:sz w:val="17"/>
                <w:szCs w:val="17"/>
                <w:color w:val="0000EE"/>
              </w:rPr>
            </w:pPr>
            <w:hyperlink w:anchor="page95">
              <w:r>
                <w:rPr>
                  <w:rFonts w:ascii="Arial" w:cs="Arial" w:eastAsia="Arial" w:hAnsi="Arial"/>
                  <w:sz w:val="17"/>
                  <w:szCs w:val="17"/>
                  <w:color w:val="0000EE"/>
                </w:rPr>
                <w:t>Major Shareholders and Related Party Transactions</w:t>
              </w:r>
            </w:hyperlink>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8.</w:t>
            </w:r>
          </w:p>
        </w:tc>
        <w:tc>
          <w:tcPr>
            <w:tcW w:w="1480" w:type="dxa"/>
            <w:vAlign w:val="bottom"/>
            <w:tcBorders>
              <w:top w:val="single" w:sz="8" w:color="0000EE"/>
              <w:bottom w:val="single" w:sz="8" w:color="0000EE"/>
            </w:tcBorders>
            <w:gridSpan w:val="7"/>
          </w:tcPr>
          <w:p>
            <w:pPr>
              <w:spacing w:after="0" w:line="180" w:lineRule="exact"/>
              <w:rPr>
                <w:rFonts w:ascii="Arial" w:cs="Arial" w:eastAsia="Arial" w:hAnsi="Arial"/>
                <w:sz w:val="17"/>
                <w:szCs w:val="17"/>
                <w:color w:val="0000EE"/>
                <w:w w:val="92"/>
              </w:rPr>
            </w:pPr>
            <w:hyperlink w:anchor="page96">
              <w:r>
                <w:rPr>
                  <w:rFonts w:ascii="Arial" w:cs="Arial" w:eastAsia="Arial" w:hAnsi="Arial"/>
                  <w:sz w:val="17"/>
                  <w:szCs w:val="17"/>
                  <w:color w:val="0000EE"/>
                  <w:w w:val="92"/>
                </w:rPr>
                <w:t>Financial Information</w:t>
              </w:r>
            </w:hyperlink>
          </w:p>
        </w:tc>
        <w:tc>
          <w:tcPr>
            <w:tcW w:w="1940" w:type="dxa"/>
            <w:vAlign w:val="bottom"/>
            <w:tcBorders>
              <w:top w:val="single" w:sz="8" w:color="0000EE"/>
            </w:tcBorders>
            <w:gridSpan w:val="12"/>
          </w:tcPr>
          <w:p>
            <w:pPr>
              <w:spacing w:after="0"/>
              <w:rPr>
                <w:sz w:val="15"/>
                <w:szCs w:val="15"/>
                <w:color w:val="auto"/>
              </w:rPr>
            </w:pPr>
          </w:p>
        </w:tc>
        <w:tc>
          <w:tcPr>
            <w:tcW w:w="5280" w:type="dxa"/>
            <w:vAlign w:val="bottom"/>
            <w:gridSpan w:val="7"/>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9.</w:t>
            </w:r>
          </w:p>
        </w:tc>
        <w:tc>
          <w:tcPr>
            <w:tcW w:w="1460" w:type="dxa"/>
            <w:vAlign w:val="bottom"/>
            <w:tcBorders>
              <w:bottom w:val="single" w:sz="8" w:color="0000EE"/>
            </w:tcBorders>
            <w:gridSpan w:val="6"/>
          </w:tcPr>
          <w:p>
            <w:pPr>
              <w:spacing w:after="0" w:line="180" w:lineRule="exact"/>
              <w:rPr>
                <w:rFonts w:ascii="Arial" w:cs="Arial" w:eastAsia="Arial" w:hAnsi="Arial"/>
                <w:sz w:val="17"/>
                <w:szCs w:val="17"/>
                <w:color w:val="0000EE"/>
                <w:w w:val="90"/>
              </w:rPr>
            </w:pPr>
            <w:hyperlink w:anchor="page97">
              <w:r>
                <w:rPr>
                  <w:rFonts w:ascii="Arial" w:cs="Arial" w:eastAsia="Arial" w:hAnsi="Arial"/>
                  <w:sz w:val="17"/>
                  <w:szCs w:val="17"/>
                  <w:color w:val="0000EE"/>
                  <w:w w:val="90"/>
                </w:rPr>
                <w:t>The Offer and Listing</w:t>
              </w:r>
            </w:hyperlink>
          </w:p>
        </w:tc>
        <w:tc>
          <w:tcPr>
            <w:tcW w:w="7240" w:type="dxa"/>
            <w:vAlign w:val="bottom"/>
            <w:gridSpan w:val="20"/>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10.</w:t>
            </w:r>
          </w:p>
        </w:tc>
        <w:tc>
          <w:tcPr>
            <w:tcW w:w="8700" w:type="dxa"/>
            <w:vAlign w:val="bottom"/>
            <w:gridSpan w:val="26"/>
          </w:tcPr>
          <w:p>
            <w:pPr>
              <w:spacing w:after="0" w:line="180" w:lineRule="exact"/>
              <w:rPr>
                <w:rFonts w:ascii="Arial" w:cs="Arial" w:eastAsia="Arial" w:hAnsi="Arial"/>
                <w:sz w:val="17"/>
                <w:szCs w:val="17"/>
                <w:color w:val="0000EE"/>
              </w:rPr>
            </w:pPr>
            <w:hyperlink w:anchor="page97">
              <w:r>
                <w:rPr>
                  <w:rFonts w:ascii="Arial" w:cs="Arial" w:eastAsia="Arial" w:hAnsi="Arial"/>
                  <w:sz w:val="17"/>
                  <w:szCs w:val="17"/>
                  <w:color w:val="0000EE"/>
                </w:rPr>
                <w:t>Additional Information</w:t>
              </w:r>
            </w:hyperlink>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11.</w:t>
            </w:r>
          </w:p>
        </w:tc>
        <w:tc>
          <w:tcPr>
            <w:tcW w:w="8700" w:type="dxa"/>
            <w:vAlign w:val="bottom"/>
            <w:gridSpan w:val="26"/>
          </w:tcPr>
          <w:p>
            <w:pPr>
              <w:spacing w:after="0" w:line="180" w:lineRule="exact"/>
              <w:rPr>
                <w:rFonts w:ascii="Arial" w:cs="Arial" w:eastAsia="Arial" w:hAnsi="Arial"/>
                <w:sz w:val="17"/>
                <w:szCs w:val="17"/>
                <w:color w:val="0000EE"/>
              </w:rPr>
            </w:pPr>
            <w:hyperlink w:anchor="page105">
              <w:r>
                <w:rPr>
                  <w:rFonts w:ascii="Arial" w:cs="Arial" w:eastAsia="Arial" w:hAnsi="Arial"/>
                  <w:sz w:val="17"/>
                  <w:szCs w:val="17"/>
                  <w:color w:val="0000EE"/>
                </w:rPr>
                <w:t>Quantitative and Qualitative Disclosures About Market Risk</w:t>
              </w:r>
            </w:hyperlink>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12.</w:t>
            </w:r>
          </w:p>
        </w:tc>
        <w:tc>
          <w:tcPr>
            <w:tcW w:w="4020" w:type="dxa"/>
            <w:vAlign w:val="bottom"/>
            <w:tcBorders>
              <w:top w:val="single" w:sz="8" w:color="0000EE"/>
            </w:tcBorders>
            <w:gridSpan w:val="22"/>
          </w:tcPr>
          <w:p>
            <w:pPr>
              <w:spacing w:after="0" w:line="180" w:lineRule="exact"/>
              <w:rPr>
                <w:rFonts w:ascii="Arial" w:cs="Arial" w:eastAsia="Arial" w:hAnsi="Arial"/>
                <w:sz w:val="17"/>
                <w:szCs w:val="17"/>
                <w:color w:val="0000EE"/>
                <w:w w:val="98"/>
              </w:rPr>
            </w:pPr>
            <w:hyperlink w:anchor="page105">
              <w:r>
                <w:rPr>
                  <w:rFonts w:ascii="Arial" w:cs="Arial" w:eastAsia="Arial" w:hAnsi="Arial"/>
                  <w:sz w:val="17"/>
                  <w:szCs w:val="17"/>
                  <w:color w:val="0000EE"/>
                  <w:w w:val="98"/>
                </w:rPr>
                <w:t>Description of Securities Other Than Equity Securities</w:t>
              </w:r>
            </w:hyperlink>
          </w:p>
        </w:tc>
        <w:tc>
          <w:tcPr>
            <w:tcW w:w="4680" w:type="dxa"/>
            <w:vAlign w:val="bottom"/>
            <w:gridSpan w:val="4"/>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420" w:type="dxa"/>
            <w:vAlign w:val="bottom"/>
            <w:tcBorders>
              <w:bottom w:val="single" w:sz="8" w:color="0000EE"/>
            </w:tcBorders>
            <w:gridSpan w:val="2"/>
          </w:tcPr>
          <w:p>
            <w:pPr>
              <w:spacing w:after="0"/>
              <w:rPr>
                <w:rFonts w:ascii="Arial" w:cs="Arial" w:eastAsia="Arial" w:hAnsi="Arial"/>
                <w:sz w:val="17"/>
                <w:szCs w:val="17"/>
                <w:color w:val="0000EE"/>
                <w:w w:val="88"/>
              </w:rPr>
            </w:pPr>
            <w:hyperlink w:anchor="page107">
              <w:r>
                <w:rPr>
                  <w:rFonts w:ascii="Arial" w:cs="Arial" w:eastAsia="Arial" w:hAnsi="Arial"/>
                  <w:sz w:val="17"/>
                  <w:szCs w:val="17"/>
                  <w:color w:val="0000EE"/>
                  <w:w w:val="88"/>
                </w:rPr>
                <w:t>Part II</w:t>
              </w:r>
            </w:hyperlink>
          </w:p>
        </w:tc>
        <w:tc>
          <w:tcPr>
            <w:tcW w:w="920" w:type="dxa"/>
            <w:vAlign w:val="bottom"/>
            <w:gridSpan w:val="3"/>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181717"/>
              </w:rPr>
              <w:t>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13.</w:t>
            </w:r>
          </w:p>
        </w:tc>
        <w:tc>
          <w:tcPr>
            <w:tcW w:w="3320" w:type="dxa"/>
            <w:vAlign w:val="bottom"/>
            <w:tcBorders>
              <w:bottom w:val="single" w:sz="8" w:color="0000EE"/>
            </w:tcBorders>
            <w:gridSpan w:val="18"/>
          </w:tcPr>
          <w:p>
            <w:pPr>
              <w:spacing w:after="0" w:line="180" w:lineRule="exact"/>
              <w:rPr>
                <w:rFonts w:ascii="Arial" w:cs="Arial" w:eastAsia="Arial" w:hAnsi="Arial"/>
                <w:sz w:val="17"/>
                <w:szCs w:val="17"/>
                <w:color w:val="0000EE"/>
                <w:w w:val="88"/>
              </w:rPr>
            </w:pPr>
            <w:hyperlink w:anchor="page107">
              <w:r>
                <w:rPr>
                  <w:rFonts w:ascii="Arial" w:cs="Arial" w:eastAsia="Arial" w:hAnsi="Arial"/>
                  <w:sz w:val="17"/>
                  <w:szCs w:val="17"/>
                  <w:color w:val="0000EE"/>
                  <w:w w:val="88"/>
                </w:rPr>
                <w:t>Defaults, Dividend Arrearages and Delinquencies</w:t>
              </w:r>
            </w:hyperlink>
          </w:p>
        </w:tc>
        <w:tc>
          <w:tcPr>
            <w:tcW w:w="5380" w:type="dxa"/>
            <w:vAlign w:val="bottom"/>
            <w:gridSpan w:val="8"/>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14.</w:t>
            </w:r>
          </w:p>
        </w:tc>
        <w:tc>
          <w:tcPr>
            <w:tcW w:w="5180" w:type="dxa"/>
            <w:vAlign w:val="bottom"/>
            <w:tcBorders>
              <w:bottom w:val="single" w:sz="8" w:color="0000EE"/>
            </w:tcBorders>
            <w:gridSpan w:val="25"/>
          </w:tcPr>
          <w:p>
            <w:pPr>
              <w:spacing w:after="0" w:line="180" w:lineRule="exact"/>
              <w:rPr>
                <w:rFonts w:ascii="Arial" w:cs="Arial" w:eastAsia="Arial" w:hAnsi="Arial"/>
                <w:sz w:val="17"/>
                <w:szCs w:val="17"/>
                <w:color w:val="0000EE"/>
                <w:w w:val="89"/>
              </w:rPr>
            </w:pPr>
            <w:hyperlink w:anchor="page107">
              <w:r>
                <w:rPr>
                  <w:rFonts w:ascii="Arial" w:cs="Arial" w:eastAsia="Arial" w:hAnsi="Arial"/>
                  <w:sz w:val="17"/>
                  <w:szCs w:val="17"/>
                  <w:color w:val="0000EE"/>
                  <w:w w:val="89"/>
                </w:rPr>
                <w:t>Material Modifications to the Rights of Security Holders and Use of Proceeds</w:t>
              </w:r>
            </w:hyperlink>
          </w:p>
        </w:tc>
        <w:tc>
          <w:tcPr>
            <w:tcW w:w="352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15.</w:t>
            </w:r>
          </w:p>
        </w:tc>
        <w:tc>
          <w:tcPr>
            <w:tcW w:w="1640" w:type="dxa"/>
            <w:vAlign w:val="bottom"/>
            <w:tcBorders>
              <w:bottom w:val="single" w:sz="8" w:color="0000EE"/>
            </w:tcBorders>
            <w:gridSpan w:val="10"/>
          </w:tcPr>
          <w:p>
            <w:pPr>
              <w:spacing w:after="0" w:line="180" w:lineRule="exact"/>
              <w:rPr>
                <w:rFonts w:ascii="Arial" w:cs="Arial" w:eastAsia="Arial" w:hAnsi="Arial"/>
                <w:sz w:val="17"/>
                <w:szCs w:val="17"/>
                <w:color w:val="0000EE"/>
                <w:w w:val="86"/>
              </w:rPr>
            </w:pPr>
            <w:hyperlink w:anchor="page107">
              <w:r>
                <w:rPr>
                  <w:rFonts w:ascii="Arial" w:cs="Arial" w:eastAsia="Arial" w:hAnsi="Arial"/>
                  <w:sz w:val="17"/>
                  <w:szCs w:val="17"/>
                  <w:color w:val="0000EE"/>
                  <w:w w:val="86"/>
                </w:rPr>
                <w:t>Controls and Procedures</w:t>
              </w:r>
            </w:hyperlink>
          </w:p>
        </w:tc>
        <w:tc>
          <w:tcPr>
            <w:tcW w:w="7060" w:type="dxa"/>
            <w:vAlign w:val="bottom"/>
            <w:gridSpan w:val="16"/>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16.A.</w:t>
            </w:r>
          </w:p>
        </w:tc>
        <w:tc>
          <w:tcPr>
            <w:tcW w:w="8700" w:type="dxa"/>
            <w:vAlign w:val="bottom"/>
            <w:gridSpan w:val="26"/>
          </w:tcPr>
          <w:p>
            <w:pPr>
              <w:spacing w:after="0" w:line="180" w:lineRule="exact"/>
              <w:rPr>
                <w:rFonts w:ascii="Arial" w:cs="Arial" w:eastAsia="Arial" w:hAnsi="Arial"/>
                <w:sz w:val="17"/>
                <w:szCs w:val="17"/>
                <w:color w:val="0000EE"/>
              </w:rPr>
            </w:pPr>
            <w:hyperlink w:anchor="page108">
              <w:r>
                <w:rPr>
                  <w:rFonts w:ascii="Arial" w:cs="Arial" w:eastAsia="Arial" w:hAnsi="Arial"/>
                  <w:sz w:val="17"/>
                  <w:szCs w:val="17"/>
                  <w:color w:val="0000EE"/>
                </w:rPr>
                <w:t>Audit Committee Financial Expert</w:t>
              </w:r>
            </w:hyperlink>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16.B.</w:t>
            </w:r>
          </w:p>
        </w:tc>
        <w:tc>
          <w:tcPr>
            <w:tcW w:w="1000" w:type="dxa"/>
            <w:vAlign w:val="bottom"/>
            <w:tcBorders>
              <w:top w:val="single" w:sz="8" w:color="0000EE"/>
              <w:bottom w:val="single" w:sz="8" w:color="0000EE"/>
            </w:tcBorders>
            <w:gridSpan w:val="3"/>
          </w:tcPr>
          <w:p>
            <w:pPr>
              <w:spacing w:after="0" w:line="180" w:lineRule="exact"/>
              <w:rPr>
                <w:rFonts w:ascii="Arial" w:cs="Arial" w:eastAsia="Arial" w:hAnsi="Arial"/>
                <w:sz w:val="17"/>
                <w:szCs w:val="17"/>
                <w:color w:val="0000EE"/>
                <w:w w:val="88"/>
              </w:rPr>
            </w:pPr>
            <w:hyperlink w:anchor="page108">
              <w:r>
                <w:rPr>
                  <w:rFonts w:ascii="Arial" w:cs="Arial" w:eastAsia="Arial" w:hAnsi="Arial"/>
                  <w:sz w:val="17"/>
                  <w:szCs w:val="17"/>
                  <w:color w:val="0000EE"/>
                  <w:w w:val="88"/>
                </w:rPr>
                <w:t>Code of Ethics</w:t>
              </w:r>
            </w:hyperlink>
          </w:p>
        </w:tc>
        <w:tc>
          <w:tcPr>
            <w:tcW w:w="1300" w:type="dxa"/>
            <w:vAlign w:val="bottom"/>
            <w:tcBorders>
              <w:top w:val="single" w:sz="8" w:color="0000EE"/>
            </w:tcBorders>
            <w:gridSpan w:val="10"/>
          </w:tcPr>
          <w:p>
            <w:pPr>
              <w:spacing w:after="0"/>
              <w:rPr>
                <w:sz w:val="15"/>
                <w:szCs w:val="15"/>
                <w:color w:val="auto"/>
              </w:rPr>
            </w:pPr>
          </w:p>
        </w:tc>
        <w:tc>
          <w:tcPr>
            <w:tcW w:w="6400" w:type="dxa"/>
            <w:vAlign w:val="bottom"/>
            <w:gridSpan w:val="13"/>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16.C.</w:t>
            </w:r>
          </w:p>
        </w:tc>
        <w:tc>
          <w:tcPr>
            <w:tcW w:w="8700" w:type="dxa"/>
            <w:vAlign w:val="bottom"/>
            <w:gridSpan w:val="26"/>
          </w:tcPr>
          <w:p>
            <w:pPr>
              <w:spacing w:after="0" w:line="180" w:lineRule="exact"/>
              <w:rPr>
                <w:rFonts w:ascii="Arial" w:cs="Arial" w:eastAsia="Arial" w:hAnsi="Arial"/>
                <w:sz w:val="17"/>
                <w:szCs w:val="17"/>
                <w:color w:val="0000EE"/>
              </w:rPr>
            </w:pPr>
            <w:hyperlink w:anchor="page108">
              <w:r>
                <w:rPr>
                  <w:rFonts w:ascii="Arial" w:cs="Arial" w:eastAsia="Arial" w:hAnsi="Arial"/>
                  <w:sz w:val="17"/>
                  <w:szCs w:val="17"/>
                  <w:color w:val="0000EE"/>
                </w:rPr>
                <w:t>Principal Accountant Fees and Services</w:t>
              </w:r>
            </w:hyperlink>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16.D.</w:t>
            </w:r>
          </w:p>
        </w:tc>
        <w:tc>
          <w:tcPr>
            <w:tcW w:w="4120" w:type="dxa"/>
            <w:vAlign w:val="bottom"/>
            <w:tcBorders>
              <w:bottom w:val="single" w:sz="8" w:color="0000EE"/>
            </w:tcBorders>
            <w:gridSpan w:val="23"/>
          </w:tcPr>
          <w:p>
            <w:pPr>
              <w:spacing w:after="0" w:line="180" w:lineRule="exact"/>
              <w:rPr>
                <w:rFonts w:ascii="Arial" w:cs="Arial" w:eastAsia="Arial" w:hAnsi="Arial"/>
                <w:sz w:val="17"/>
                <w:szCs w:val="17"/>
                <w:color w:val="0000EE"/>
                <w:w w:val="90"/>
              </w:rPr>
            </w:pPr>
            <w:hyperlink w:anchor="page109">
              <w:r>
                <w:rPr>
                  <w:rFonts w:ascii="Arial" w:cs="Arial" w:eastAsia="Arial" w:hAnsi="Arial"/>
                  <w:sz w:val="17"/>
                  <w:szCs w:val="17"/>
                  <w:color w:val="0000EE"/>
                  <w:w w:val="90"/>
                </w:rPr>
                <w:t>Exemptions from the Listing Standards for Audit Committees</w:t>
              </w:r>
            </w:hyperlink>
          </w:p>
        </w:tc>
        <w:tc>
          <w:tcPr>
            <w:tcW w:w="4580" w:type="dxa"/>
            <w:vAlign w:val="bottom"/>
            <w:gridSpan w:val="3"/>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16.E.</w:t>
            </w:r>
          </w:p>
        </w:tc>
        <w:tc>
          <w:tcPr>
            <w:tcW w:w="8700" w:type="dxa"/>
            <w:vAlign w:val="bottom"/>
            <w:gridSpan w:val="26"/>
          </w:tcPr>
          <w:p>
            <w:pPr>
              <w:spacing w:after="0" w:line="180" w:lineRule="exact"/>
              <w:rPr>
                <w:rFonts w:ascii="Arial" w:cs="Arial" w:eastAsia="Arial" w:hAnsi="Arial"/>
                <w:sz w:val="17"/>
                <w:szCs w:val="17"/>
                <w:color w:val="0000EE"/>
              </w:rPr>
            </w:pPr>
            <w:hyperlink w:anchor="page109">
              <w:r>
                <w:rPr>
                  <w:rFonts w:ascii="Arial" w:cs="Arial" w:eastAsia="Arial" w:hAnsi="Arial"/>
                  <w:sz w:val="17"/>
                  <w:szCs w:val="17"/>
                  <w:color w:val="0000EE"/>
                </w:rPr>
                <w:t>Purchases of Equity Securities by the Issuer and Affiliated Purchasers</w:t>
              </w:r>
            </w:hyperlink>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16.F.</w:t>
            </w:r>
          </w:p>
        </w:tc>
        <w:tc>
          <w:tcPr>
            <w:tcW w:w="4640" w:type="dxa"/>
            <w:vAlign w:val="bottom"/>
            <w:tcBorders>
              <w:top w:val="single" w:sz="8" w:color="0000EE"/>
            </w:tcBorders>
            <w:gridSpan w:val="24"/>
          </w:tcPr>
          <w:p>
            <w:pPr>
              <w:spacing w:after="0" w:line="180" w:lineRule="exact"/>
              <w:rPr>
                <w:rFonts w:ascii="Arial" w:cs="Arial" w:eastAsia="Arial" w:hAnsi="Arial"/>
                <w:sz w:val="17"/>
                <w:szCs w:val="17"/>
                <w:color w:val="0000EE"/>
              </w:rPr>
            </w:pPr>
            <w:hyperlink w:anchor="page110">
              <w:r>
                <w:rPr>
                  <w:rFonts w:ascii="Arial" w:cs="Arial" w:eastAsia="Arial" w:hAnsi="Arial"/>
                  <w:sz w:val="17"/>
                  <w:szCs w:val="17"/>
                  <w:color w:val="0000EE"/>
                </w:rPr>
                <w:t>Change in Registrant’s Certifying Accountant</w:t>
              </w:r>
            </w:hyperlink>
          </w:p>
        </w:tc>
        <w:tc>
          <w:tcPr>
            <w:tcW w:w="4060" w:type="dxa"/>
            <w:vAlign w:val="bottom"/>
            <w:gridSpan w:val="2"/>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16.G.</w:t>
            </w:r>
          </w:p>
        </w:tc>
        <w:tc>
          <w:tcPr>
            <w:tcW w:w="1540" w:type="dxa"/>
            <w:vAlign w:val="bottom"/>
            <w:tcBorders>
              <w:top w:val="single" w:sz="8" w:color="0000EE"/>
              <w:bottom w:val="single" w:sz="8" w:color="0000EE"/>
            </w:tcBorders>
            <w:gridSpan w:val="8"/>
          </w:tcPr>
          <w:p>
            <w:pPr>
              <w:spacing w:after="0" w:line="180" w:lineRule="exact"/>
              <w:rPr>
                <w:rFonts w:ascii="Arial" w:cs="Arial" w:eastAsia="Arial" w:hAnsi="Arial"/>
                <w:sz w:val="17"/>
                <w:szCs w:val="17"/>
                <w:color w:val="0000EE"/>
                <w:w w:val="86"/>
              </w:rPr>
            </w:pPr>
            <w:hyperlink w:anchor="page110">
              <w:r>
                <w:rPr>
                  <w:rFonts w:ascii="Arial" w:cs="Arial" w:eastAsia="Arial" w:hAnsi="Arial"/>
                  <w:sz w:val="17"/>
                  <w:szCs w:val="17"/>
                  <w:color w:val="0000EE"/>
                  <w:w w:val="86"/>
                </w:rPr>
                <w:t>Corporate Governance</w:t>
              </w:r>
            </w:hyperlink>
          </w:p>
        </w:tc>
        <w:tc>
          <w:tcPr>
            <w:tcW w:w="1560" w:type="dxa"/>
            <w:vAlign w:val="bottom"/>
            <w:tcBorders>
              <w:top w:val="single" w:sz="8" w:color="0000EE"/>
            </w:tcBorders>
            <w:gridSpan w:val="8"/>
          </w:tcPr>
          <w:p>
            <w:pPr>
              <w:spacing w:after="0"/>
              <w:rPr>
                <w:sz w:val="15"/>
                <w:szCs w:val="15"/>
                <w:color w:val="auto"/>
              </w:rPr>
            </w:pPr>
          </w:p>
        </w:tc>
        <w:tc>
          <w:tcPr>
            <w:tcW w:w="5600" w:type="dxa"/>
            <w:vAlign w:val="bottom"/>
            <w:gridSpan w:val="10"/>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16.H.</w:t>
            </w:r>
          </w:p>
        </w:tc>
        <w:tc>
          <w:tcPr>
            <w:tcW w:w="8700" w:type="dxa"/>
            <w:vAlign w:val="bottom"/>
            <w:gridSpan w:val="26"/>
          </w:tcPr>
          <w:p>
            <w:pPr>
              <w:spacing w:after="0" w:line="180" w:lineRule="exact"/>
              <w:rPr>
                <w:rFonts w:ascii="Arial" w:cs="Arial" w:eastAsia="Arial" w:hAnsi="Arial"/>
                <w:sz w:val="17"/>
                <w:szCs w:val="17"/>
                <w:color w:val="0000EE"/>
              </w:rPr>
            </w:pPr>
            <w:hyperlink w:anchor="page110">
              <w:r>
                <w:rPr>
                  <w:rFonts w:ascii="Arial" w:cs="Arial" w:eastAsia="Arial" w:hAnsi="Arial"/>
                  <w:sz w:val="17"/>
                  <w:szCs w:val="17"/>
                  <w:color w:val="0000EE"/>
                </w:rPr>
                <w:t>Mine Safety Disclosure</w:t>
              </w:r>
            </w:hyperlink>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480" w:type="dxa"/>
            <w:vAlign w:val="bottom"/>
            <w:tcBorders>
              <w:bottom w:val="single" w:sz="8" w:color="0000EE"/>
            </w:tcBorders>
            <w:gridSpan w:val="3"/>
          </w:tcPr>
          <w:p>
            <w:pPr>
              <w:spacing w:after="0"/>
              <w:rPr>
                <w:rFonts w:ascii="Arial" w:cs="Arial" w:eastAsia="Arial" w:hAnsi="Arial"/>
                <w:sz w:val="17"/>
                <w:szCs w:val="17"/>
                <w:color w:val="0000EE"/>
                <w:w w:val="91"/>
              </w:rPr>
            </w:pPr>
            <w:hyperlink w:anchor="page111">
              <w:r>
                <w:rPr>
                  <w:rFonts w:ascii="Arial" w:cs="Arial" w:eastAsia="Arial" w:hAnsi="Arial"/>
                  <w:sz w:val="17"/>
                  <w:szCs w:val="17"/>
                  <w:color w:val="0000EE"/>
                  <w:w w:val="91"/>
                </w:rPr>
                <w:t>Part III</w:t>
              </w:r>
            </w:hyperlink>
          </w:p>
        </w:tc>
        <w:tc>
          <w:tcPr>
            <w:tcW w:w="860" w:type="dxa"/>
            <w:vAlign w:val="bottom"/>
            <w:gridSpan w:val="2"/>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181717"/>
              </w:rPr>
              <w:t>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17.</w:t>
            </w:r>
          </w:p>
        </w:tc>
        <w:tc>
          <w:tcPr>
            <w:tcW w:w="1400" w:type="dxa"/>
            <w:vAlign w:val="bottom"/>
            <w:tcBorders>
              <w:bottom w:val="single" w:sz="8" w:color="0000EE"/>
            </w:tcBorders>
            <w:gridSpan w:val="5"/>
          </w:tcPr>
          <w:p>
            <w:pPr>
              <w:spacing w:after="0" w:line="180" w:lineRule="exact"/>
              <w:rPr>
                <w:rFonts w:ascii="Arial" w:cs="Arial" w:eastAsia="Arial" w:hAnsi="Arial"/>
                <w:sz w:val="17"/>
                <w:szCs w:val="17"/>
                <w:color w:val="0000EE"/>
                <w:w w:val="86"/>
              </w:rPr>
            </w:pPr>
            <w:hyperlink w:anchor="page111">
              <w:r>
                <w:rPr>
                  <w:rFonts w:ascii="Arial" w:cs="Arial" w:eastAsia="Arial" w:hAnsi="Arial"/>
                  <w:sz w:val="17"/>
                  <w:szCs w:val="17"/>
                  <w:color w:val="0000EE"/>
                  <w:w w:val="86"/>
                </w:rPr>
                <w:t>Financial Statements</w:t>
              </w:r>
            </w:hyperlink>
          </w:p>
        </w:tc>
        <w:tc>
          <w:tcPr>
            <w:tcW w:w="7300" w:type="dxa"/>
            <w:vAlign w:val="bottom"/>
            <w:gridSpan w:val="21"/>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18.</w:t>
            </w:r>
          </w:p>
        </w:tc>
        <w:tc>
          <w:tcPr>
            <w:tcW w:w="1400" w:type="dxa"/>
            <w:vAlign w:val="bottom"/>
            <w:tcBorders>
              <w:bottom w:val="single" w:sz="8" w:color="0000EE"/>
            </w:tcBorders>
            <w:gridSpan w:val="5"/>
          </w:tcPr>
          <w:p>
            <w:pPr>
              <w:spacing w:after="0" w:line="180" w:lineRule="exact"/>
              <w:rPr>
                <w:rFonts w:ascii="Arial" w:cs="Arial" w:eastAsia="Arial" w:hAnsi="Arial"/>
                <w:sz w:val="17"/>
                <w:szCs w:val="17"/>
                <w:color w:val="0000EE"/>
                <w:w w:val="86"/>
              </w:rPr>
            </w:pPr>
            <w:hyperlink w:anchor="page111">
              <w:r>
                <w:rPr>
                  <w:rFonts w:ascii="Arial" w:cs="Arial" w:eastAsia="Arial" w:hAnsi="Arial"/>
                  <w:sz w:val="17"/>
                  <w:szCs w:val="17"/>
                  <w:color w:val="0000EE"/>
                  <w:w w:val="86"/>
                </w:rPr>
                <w:t>Financial Statements</w:t>
              </w:r>
            </w:hyperlink>
          </w:p>
        </w:tc>
        <w:tc>
          <w:tcPr>
            <w:tcW w:w="7300" w:type="dxa"/>
            <w:vAlign w:val="bottom"/>
            <w:gridSpan w:val="21"/>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5"/>
          </w:tcPr>
          <w:p>
            <w:pPr>
              <w:spacing w:after="0" w:line="180" w:lineRule="exact"/>
              <w:rPr>
                <w:sz w:val="20"/>
                <w:szCs w:val="20"/>
                <w:color w:val="auto"/>
              </w:rPr>
            </w:pPr>
            <w:r>
              <w:rPr>
                <w:rFonts w:ascii="Arial" w:cs="Arial" w:eastAsia="Arial" w:hAnsi="Arial"/>
                <w:sz w:val="17"/>
                <w:szCs w:val="17"/>
                <w:color w:val="181717"/>
              </w:rPr>
              <w:t>Item 19.</w:t>
            </w:r>
          </w:p>
        </w:tc>
        <w:tc>
          <w:tcPr>
            <w:tcW w:w="8700" w:type="dxa"/>
            <w:vAlign w:val="bottom"/>
            <w:gridSpan w:val="26"/>
          </w:tcPr>
          <w:p>
            <w:pPr>
              <w:spacing w:after="0" w:line="180" w:lineRule="exact"/>
              <w:rPr>
                <w:rFonts w:ascii="Arial" w:cs="Arial" w:eastAsia="Arial" w:hAnsi="Arial"/>
                <w:sz w:val="17"/>
                <w:szCs w:val="17"/>
                <w:color w:val="0000EE"/>
              </w:rPr>
            </w:pPr>
            <w:hyperlink w:anchor="page111">
              <w:r>
                <w:rPr>
                  <w:rFonts w:ascii="Arial" w:cs="Arial" w:eastAsia="Arial" w:hAnsi="Arial"/>
                  <w:sz w:val="17"/>
                  <w:szCs w:val="17"/>
                  <w:color w:val="0000EE"/>
                </w:rPr>
                <w:t>Exhibits</w:t>
              </w:r>
            </w:hyperlink>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181717"/>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3"/>
        </w:trPr>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INTRODUCTION</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Except where the context otherwise indicates and for the purpose of this annual report only:</w:t>
      </w:r>
    </w:p>
    <w:p>
      <w:pPr>
        <w:spacing w:after="0" w:line="103" w:lineRule="exact"/>
        <w:rPr>
          <w:sz w:val="20"/>
          <w:szCs w:val="20"/>
          <w:color w:val="auto"/>
        </w:rPr>
      </w:pPr>
    </w:p>
    <w:p>
      <w:pPr>
        <w:ind w:left="1080" w:hanging="545"/>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“ADSs” refers to the American depositary shares, each 25 ADSs representing one of our Class A ordinary shares;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“China” or “PRC” refer to the People’s Republic of China, excluding, for the purpose of this annual report only, Taiwan, Hong Kong and Macau;</w:t>
      </w:r>
    </w:p>
    <w:p>
      <w:pPr>
        <w:spacing w:after="0" w:line="114" w:lineRule="exact"/>
        <w:rPr>
          <w:rFonts w:ascii="Arial" w:cs="Arial" w:eastAsia="Arial" w:hAnsi="Arial"/>
          <w:sz w:val="16"/>
          <w:szCs w:val="16"/>
          <w:color w:val="auto"/>
        </w:rPr>
      </w:pPr>
    </w:p>
    <w:p>
      <w:pPr>
        <w:ind w:left="1080" w:hanging="545"/>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“Class A ordinary shares” refers to Class A ordinary shares, par value US$0.00005 per share;</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“Class B ordinary shares” refers to Class B ordinary shares, par value US$0.00005 per share;</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“Class C ordinary shares” refers to Class C ordinary shares, par value US$0.00005 per share;</w:t>
      </w:r>
    </w:p>
    <w:p>
      <w:pPr>
        <w:spacing w:after="0" w:line="103" w:lineRule="exact"/>
        <w:rPr>
          <w:rFonts w:ascii="Arial" w:cs="Arial" w:eastAsia="Arial" w:hAnsi="Arial"/>
          <w:sz w:val="17"/>
          <w:szCs w:val="17"/>
          <w:color w:val="auto"/>
        </w:rPr>
      </w:pPr>
    </w:p>
    <w:p>
      <w:pPr>
        <w:ind w:left="1080" w:right="220" w:hanging="545"/>
        <w:spacing w:after="0" w:line="264"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“gross billings” for a given period refers to the total amount of cash received for the sale of course packages net of the total amount of refunds in such period;</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“number of students” for a given period refers to the total number of orders placed by students which remain in their respective service periods;</w:t>
      </w:r>
    </w:p>
    <w:p>
      <w:pPr>
        <w:spacing w:after="0" w:line="114" w:lineRule="exact"/>
        <w:rPr>
          <w:rFonts w:ascii="Arial" w:cs="Arial" w:eastAsia="Arial" w:hAnsi="Arial"/>
          <w:sz w:val="16"/>
          <w:szCs w:val="16"/>
          <w:color w:val="auto"/>
        </w:rPr>
      </w:pPr>
    </w:p>
    <w:p>
      <w:pPr>
        <w:ind w:left="1080" w:right="180" w:hanging="545"/>
        <w:spacing w:after="0" w:line="254"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student enrollments” for a given period refers to the total number of orders placed by students that newly enroll in at least one course during that period (including those students that enroll and then terminate their enrollment with us and excluding those students that enroll in low-priced short courses designed to improve customer experience);</w:t>
      </w:r>
    </w:p>
    <w:p>
      <w:pPr>
        <w:spacing w:after="0" w:line="76" w:lineRule="exact"/>
        <w:rPr>
          <w:rFonts w:ascii="Arial" w:cs="Arial" w:eastAsia="Arial" w:hAnsi="Arial"/>
          <w:sz w:val="17"/>
          <w:szCs w:val="17"/>
          <w:color w:val="auto"/>
        </w:rPr>
      </w:pPr>
    </w:p>
    <w:p>
      <w:pPr>
        <w:ind w:left="1080" w:hanging="545"/>
        <w:spacing w:after="0"/>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“ordinary shares” refers to our Class A ordinary shares, Class B ordinary shares and Class C ordinary shares, par value of US$0.00005 per share;</w:t>
      </w:r>
    </w:p>
    <w:p>
      <w:pPr>
        <w:spacing w:after="0" w:line="126" w:lineRule="exact"/>
        <w:rPr>
          <w:rFonts w:ascii="Arial" w:cs="Arial" w:eastAsia="Arial" w:hAnsi="Arial"/>
          <w:sz w:val="15"/>
          <w:szCs w:val="15"/>
          <w:color w:val="auto"/>
        </w:rPr>
      </w:pPr>
    </w:p>
    <w:p>
      <w:pPr>
        <w:ind w:left="1080" w:hanging="545"/>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“RMB” or “Renminbi” refers to the legal currency of the People’s Republic of China;</w:t>
      </w:r>
    </w:p>
    <w:p>
      <w:pPr>
        <w:spacing w:after="0" w:line="103" w:lineRule="exact"/>
        <w:rPr>
          <w:rFonts w:ascii="Arial" w:cs="Arial" w:eastAsia="Arial" w:hAnsi="Arial"/>
          <w:sz w:val="17"/>
          <w:szCs w:val="17"/>
          <w:color w:val="auto"/>
        </w:rPr>
      </w:pPr>
    </w:p>
    <w:p>
      <w:pPr>
        <w:ind w:left="1080" w:right="160" w:hanging="545"/>
        <w:spacing w:after="0" w:line="264"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“service period” for a given student refers to the period covered by the contract between us and such student pursuant to which such student can attend our courses;</w:t>
      </w:r>
    </w:p>
    <w:p>
      <w:pPr>
        <w:spacing w:after="0" w:line="68" w:lineRule="exact"/>
        <w:rPr>
          <w:rFonts w:ascii="Arial" w:cs="Arial" w:eastAsia="Arial" w:hAnsi="Arial"/>
          <w:sz w:val="17"/>
          <w:szCs w:val="17"/>
          <w:color w:val="auto"/>
        </w:rPr>
      </w:pPr>
    </w:p>
    <w:p>
      <w:pPr>
        <w:ind w:left="1080" w:right="40" w:hanging="545"/>
        <w:spacing w:after="0" w:line="291" w:lineRule="auto"/>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“student loan coverage ratio” is calculated by dividing the amount of tuitions financed by student loans by gross billings. For the purposes of calculating student loan coverage ratios for a particular period, (i) the amount of tuitions financed by student loans is the total value of orders financed by student loans less (a) the amount of loan refunds made during that period; and (b) the interest payments that we made to the credit providers on the loans during that period; and (ii) the value of an order financed by student loans included the amount of down payments made by a student; in 2020, the down payments made by students accounted for approximately 9% of the total value of orders financed by student loans;</w:t>
      </w:r>
    </w:p>
    <w:p>
      <w:pPr>
        <w:spacing w:after="0" w:line="50" w:lineRule="exact"/>
        <w:rPr>
          <w:rFonts w:ascii="Arial" w:cs="Arial" w:eastAsia="Arial" w:hAnsi="Arial"/>
          <w:sz w:val="15"/>
          <w:szCs w:val="15"/>
          <w:color w:val="auto"/>
        </w:rPr>
      </w:pPr>
    </w:p>
    <w:p>
      <w:pPr>
        <w:ind w:left="1080" w:hanging="545"/>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“US$,” “dollars” or “U.S. dollars” refers to the legal currency of the United States;</w:t>
      </w:r>
    </w:p>
    <w:p>
      <w:pPr>
        <w:spacing w:after="0" w:line="103" w:lineRule="exact"/>
        <w:rPr>
          <w:rFonts w:ascii="Arial" w:cs="Arial" w:eastAsia="Arial" w:hAnsi="Arial"/>
          <w:sz w:val="17"/>
          <w:szCs w:val="17"/>
          <w:color w:val="auto"/>
        </w:rPr>
      </w:pPr>
    </w:p>
    <w:p>
      <w:pPr>
        <w:ind w:left="1080" w:right="80" w:hanging="545"/>
        <w:spacing w:after="0" w:line="254"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“us,” “our company,” and “our,” refer to Sunlands Technology Group, previously known as Sunlands Online Education Group, a Cayman Islands company and its subsidiaries and, in the context of describing our operations and consolidated financial information, its consolidated variable interest entities, or VIEs, and VIEs’ subsidiaries; and</w:t>
      </w:r>
    </w:p>
    <w:p>
      <w:pPr>
        <w:spacing w:after="0" w:line="76" w:lineRule="exact"/>
        <w:rPr>
          <w:rFonts w:ascii="Arial" w:cs="Arial" w:eastAsia="Arial" w:hAnsi="Arial"/>
          <w:sz w:val="17"/>
          <w:szCs w:val="17"/>
          <w:color w:val="auto"/>
        </w:rPr>
      </w:pPr>
    </w:p>
    <w:p>
      <w:pPr>
        <w:ind w:left="1080" w:right="240" w:hanging="545"/>
        <w:spacing w:after="0" w:line="286" w:lineRule="auto"/>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“variable interest entities” or “VIEs” refers to Beijing Shangde Online Education Technology Co., Ltd., or Beijing Sunlands, Wuhan Xiaoyan Technology Co., Ltd., or Wuhan Xiaoyan, Wuhan Jiayan Online Education Technology Co., Ltd., or Wuhan Jiayan, Beijing Odysseus Education Technology Co., Ltd., or Beijing Odysseus, Guangzhou Wudawei Education Technology Co., Ltd., or Guangzhou Wudawei, Guangzhou Tianyong Online Education Technology Co., Ltd., or Guangzhou Tianyong, Wuhan Hadeliang Online Education Technology Co., Ltd., or Wuhan Hadeliang, Tianjin Shangde Online Education Technology Co., Ltd., or Tianjin Shangde, Wuhan Fangtang Education Technology Co., Ltd., or Wuhan Fangtang, Beijing Zhiziyuanshui Education Technology Co., Ltd., or Beijing Zhiziyuanshui, and Beijing Feibian Education Technology Co., Ltd., or Beijing Feibian. See “Item 4. Information on the Company—4.A. History and Development of the Company.”</w:t>
      </w:r>
    </w:p>
    <w:p>
      <w:pPr>
        <w:spacing w:after="0" w:line="156" w:lineRule="exact"/>
        <w:rPr>
          <w:sz w:val="20"/>
          <w:szCs w:val="20"/>
          <w:color w:val="auto"/>
        </w:rPr>
      </w:pPr>
    </w:p>
    <w:p>
      <w:pPr>
        <w:jc w:val="both"/>
        <w:ind w:firstLine="547"/>
        <w:spacing w:after="0" w:line="254" w:lineRule="auto"/>
        <w:rPr>
          <w:sz w:val="20"/>
          <w:szCs w:val="20"/>
          <w:color w:val="auto"/>
        </w:rPr>
      </w:pPr>
      <w:r>
        <w:rPr>
          <w:rFonts w:ascii="Arial" w:cs="Arial" w:eastAsia="Arial" w:hAnsi="Arial"/>
          <w:sz w:val="17"/>
          <w:szCs w:val="17"/>
          <w:color w:val="auto"/>
        </w:rPr>
        <w:t>This annual report contains information and statistics relating to China’s economy and its education industry derived from various publications issued by market research companies and PRC governmental entities, which have not been independently verified by us. The information in such sources may not be consistent with other information compiled in or outside China.</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181717"/>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138430</wp:posOffset>
            </wp:positionV>
            <wp:extent cx="716851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7"/>
          <w:szCs w:val="17"/>
          <w:b w:val="1"/>
          <w:bCs w:val="1"/>
          <w:color w:val="auto"/>
        </w:rPr>
        <w:t>FORWARD-LOOKING INFORMATION</w:t>
      </w:r>
    </w:p>
    <w:p>
      <w:pPr>
        <w:spacing w:after="0" w:line="207" w:lineRule="exact"/>
        <w:rPr>
          <w:sz w:val="20"/>
          <w:szCs w:val="20"/>
          <w:color w:val="auto"/>
        </w:rPr>
      </w:pPr>
    </w:p>
    <w:p>
      <w:pPr>
        <w:jc w:val="both"/>
        <w:ind w:right="40" w:firstLine="547"/>
        <w:spacing w:after="0" w:line="251" w:lineRule="auto"/>
        <w:rPr>
          <w:sz w:val="20"/>
          <w:szCs w:val="20"/>
          <w:color w:val="auto"/>
        </w:rPr>
      </w:pPr>
      <w:r>
        <w:rPr>
          <w:rFonts w:ascii="Arial" w:cs="Arial" w:eastAsia="Arial" w:hAnsi="Arial"/>
          <w:sz w:val="17"/>
          <w:szCs w:val="17"/>
          <w:color w:val="auto"/>
        </w:rPr>
        <w:t>This annual report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79" w:lineRule="exact"/>
        <w:rPr>
          <w:sz w:val="20"/>
          <w:szCs w:val="20"/>
          <w:color w:val="auto"/>
        </w:rPr>
      </w:pPr>
    </w:p>
    <w:p>
      <w:pPr>
        <w:ind w:right="300" w:firstLine="547"/>
        <w:spacing w:after="0" w:line="251" w:lineRule="auto"/>
        <w:rPr>
          <w:sz w:val="20"/>
          <w:szCs w:val="20"/>
          <w:color w:val="auto"/>
        </w:rPr>
      </w:pPr>
      <w:r>
        <w:rPr>
          <w:rFonts w:ascii="Arial" w:cs="Arial" w:eastAsia="Arial" w:hAnsi="Arial"/>
          <w:sz w:val="17"/>
          <w:szCs w:val="17"/>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79" w:lineRule="exact"/>
        <w:rPr>
          <w:sz w:val="20"/>
          <w:szCs w:val="20"/>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goals and growth strategies;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regarding demand for and market acceptance of our brand and services;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retain and increase our student enrollments;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offer new courses and educational content;</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engage, train and retain new faculty members;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future business development, results of operations and financial condition;</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and improve technology infrastructure necessary to operate our business;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 in the online education industry in China;</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relevant government policies and regulations relating to our corporate structure, business and industry;</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economic and business condition in China; and</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assumptions underlying or related to any of the foregoing.</w:t>
      </w:r>
    </w:p>
    <w:p>
      <w:pPr>
        <w:spacing w:after="0" w:line="203" w:lineRule="exact"/>
        <w:rPr>
          <w:sz w:val="20"/>
          <w:szCs w:val="20"/>
          <w:color w:val="auto"/>
        </w:rPr>
      </w:pPr>
    </w:p>
    <w:p>
      <w:pPr>
        <w:ind w:firstLine="547"/>
        <w:spacing w:after="0" w:line="267" w:lineRule="auto"/>
        <w:rPr>
          <w:sz w:val="20"/>
          <w:szCs w:val="20"/>
          <w:color w:val="auto"/>
        </w:rPr>
      </w:pPr>
      <w:r>
        <w:rPr>
          <w:rFonts w:ascii="Arial" w:cs="Arial" w:eastAsia="Arial" w:hAnsi="Arial"/>
          <w:sz w:val="16"/>
          <w:szCs w:val="16"/>
          <w:color w:val="auto"/>
        </w:rPr>
        <w:t>You should read this annual report and the documents that we refer to in this annual report and have filed as exhibits to this annual report completely and with the understanding that our actual future results may be materially different from and worse than what we expect. Other sections of this annual report discuss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7" w:lineRule="exact"/>
        <w:rPr>
          <w:sz w:val="20"/>
          <w:szCs w:val="20"/>
          <w:color w:val="auto"/>
        </w:rPr>
      </w:pPr>
    </w:p>
    <w:p>
      <w:pPr>
        <w:ind w:right="140" w:firstLine="547"/>
        <w:spacing w:after="0" w:line="251" w:lineRule="auto"/>
        <w:rPr>
          <w:sz w:val="20"/>
          <w:szCs w:val="20"/>
          <w:color w:val="auto"/>
        </w:rPr>
      </w:pPr>
      <w:r>
        <w:rPr>
          <w:rFonts w:ascii="Arial" w:cs="Arial" w:eastAsia="Arial" w:hAnsi="Arial"/>
          <w:sz w:val="17"/>
          <w:szCs w:val="17"/>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any forward-looking statements, whether as a result of new information, future events or otherwise, after the date on which the statements are made or to reflect the occurrence of unanticipated events.</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181717"/>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138430</wp:posOffset>
            </wp:positionV>
            <wp:extent cx="71685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 w:name="page5"/>
    <w:bookmarkEnd w:id="4"/>
    <w:p>
      <w:pPr>
        <w:jc w:val="center"/>
        <w:ind w:right="-399"/>
        <w:spacing w:after="0"/>
        <w:rPr>
          <w:sz w:val="20"/>
          <w:szCs w:val="20"/>
          <w:color w:val="auto"/>
        </w:rPr>
      </w:pPr>
      <w:r>
        <w:rPr>
          <w:rFonts w:ascii="Arial" w:cs="Arial" w:eastAsia="Arial" w:hAnsi="Arial"/>
          <w:sz w:val="17"/>
          <w:szCs w:val="17"/>
          <w:b w:val="1"/>
          <w:bCs w:val="1"/>
          <w:color w:val="auto"/>
        </w:rPr>
        <w:t>PART I</w:t>
      </w:r>
    </w:p>
    <w:p>
      <w:pPr>
        <w:spacing w:after="0" w:line="20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181717"/>
        </w:rPr>
        <w:t>ITEM 3.</w:t>
      </w:r>
      <w:r>
        <w:rPr>
          <w:sz w:val="20"/>
          <w:szCs w:val="20"/>
          <w:color w:val="auto"/>
        </w:rPr>
        <w:tab/>
      </w:r>
      <w:r>
        <w:rPr>
          <w:rFonts w:ascii="Arial" w:cs="Arial" w:eastAsia="Arial" w:hAnsi="Arial"/>
          <w:sz w:val="17"/>
          <w:szCs w:val="17"/>
          <w:b w:val="1"/>
          <w:bCs w:val="1"/>
          <w:color w:val="181717"/>
        </w:rPr>
        <w:t>KEY INFORMATION</w:t>
      </w:r>
    </w:p>
    <w:p>
      <w:pPr>
        <w:spacing w:after="0" w:line="10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3.A.</w:t>
      </w:r>
      <w:r>
        <w:rPr>
          <w:sz w:val="20"/>
          <w:szCs w:val="20"/>
          <w:color w:val="auto"/>
        </w:rPr>
        <w:tab/>
      </w:r>
      <w:r>
        <w:rPr>
          <w:rFonts w:ascii="Arial" w:cs="Arial" w:eastAsia="Arial" w:hAnsi="Arial"/>
          <w:sz w:val="13"/>
          <w:szCs w:val="13"/>
          <w:b w:val="1"/>
          <w:bCs w:val="1"/>
          <w:color w:val="auto"/>
        </w:rPr>
        <w:t>Selected Financial Data</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3.B.</w:t>
      </w:r>
      <w:r>
        <w:rPr>
          <w:sz w:val="20"/>
          <w:szCs w:val="20"/>
          <w:color w:val="auto"/>
        </w:rPr>
        <w:tab/>
      </w:r>
      <w:r>
        <w:rPr>
          <w:rFonts w:ascii="Arial" w:cs="Arial" w:eastAsia="Arial" w:hAnsi="Arial"/>
          <w:sz w:val="13"/>
          <w:szCs w:val="13"/>
          <w:b w:val="1"/>
          <w:bCs w:val="1"/>
          <w:color w:val="auto"/>
        </w:rPr>
        <w:t>Capitalization and Indebtedness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3.C.</w:t>
      </w:r>
      <w:r>
        <w:rPr>
          <w:sz w:val="20"/>
          <w:szCs w:val="20"/>
          <w:color w:val="auto"/>
        </w:rPr>
        <w:tab/>
      </w:r>
      <w:r>
        <w:rPr>
          <w:rFonts w:ascii="Arial" w:cs="Arial" w:eastAsia="Arial" w:hAnsi="Arial"/>
          <w:sz w:val="13"/>
          <w:szCs w:val="13"/>
          <w:b w:val="1"/>
          <w:bCs w:val="1"/>
          <w:color w:val="auto"/>
        </w:rPr>
        <w:t>Reason for the Offer and Use of Proceeds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3.D.</w:t>
      </w:r>
      <w:r>
        <w:rPr>
          <w:sz w:val="20"/>
          <w:szCs w:val="20"/>
          <w:color w:val="auto"/>
        </w:rPr>
        <w:tab/>
      </w:r>
      <w:r>
        <w:rPr>
          <w:rFonts w:ascii="Arial" w:cs="Arial" w:eastAsia="Arial" w:hAnsi="Arial"/>
          <w:sz w:val="13"/>
          <w:szCs w:val="13"/>
          <w:b w:val="1"/>
          <w:bCs w:val="1"/>
          <w:color w:val="auto"/>
        </w:rPr>
        <w:t>Risk Factors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Risk Factors</w:t>
      </w:r>
    </w:p>
    <w:p>
      <w:pPr>
        <w:spacing w:after="0" w:line="207" w:lineRule="exact"/>
        <w:rPr>
          <w:sz w:val="20"/>
          <w:szCs w:val="20"/>
          <w:color w:val="auto"/>
        </w:rPr>
      </w:pPr>
    </w:p>
    <w:p>
      <w:pPr>
        <w:ind w:firstLine="547"/>
        <w:spacing w:after="0" w:line="264" w:lineRule="auto"/>
        <w:rPr>
          <w:sz w:val="20"/>
          <w:szCs w:val="20"/>
          <w:color w:val="auto"/>
        </w:rPr>
      </w:pPr>
      <w:r>
        <w:rPr>
          <w:rFonts w:ascii="Arial" w:cs="Arial" w:eastAsia="Arial" w:hAnsi="Arial"/>
          <w:sz w:val="17"/>
          <w:szCs w:val="17"/>
          <w:color w:val="auto"/>
        </w:rPr>
        <w:t>Investing in the ADSs involves significant risks. You should carefully consider all of the information in this prospectus before making an investment in the ADSs. Below please find a summary of the principal risks we face, organized under relevant headings.</w:t>
      </w:r>
    </w:p>
    <w:p>
      <w:pPr>
        <w:spacing w:after="0" w:line="16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181717"/>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840"/>
          </w:cols>
          <w:pgMar w:left="320" w:top="123" w:right="7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07" w:lineRule="exact"/>
        <w:rPr>
          <w:sz w:val="20"/>
          <w:szCs w:val="20"/>
          <w:color w:val="auto"/>
        </w:rPr>
      </w:pPr>
    </w:p>
    <w:p>
      <w:pPr>
        <w:ind w:left="800" w:hanging="402"/>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If we fail to increase student enrollments, our net revenues may decline, and we may not be able to maintain growth.</w:t>
      </w:r>
    </w:p>
    <w:p>
      <w:pPr>
        <w:spacing w:after="0" w:line="302" w:lineRule="exact"/>
        <w:rPr>
          <w:rFonts w:ascii="Arial" w:cs="Arial" w:eastAsia="Arial" w:hAnsi="Arial"/>
          <w:sz w:val="17"/>
          <w:szCs w:val="17"/>
          <w:color w:val="auto"/>
        </w:rPr>
      </w:pPr>
    </w:p>
    <w:p>
      <w:pPr>
        <w:ind w:left="800" w:hanging="402"/>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If we fail to manage our business growth effectively, the success of our business model will be compromised.</w:t>
      </w:r>
    </w:p>
    <w:p>
      <w:pPr>
        <w:spacing w:after="0" w:line="302" w:lineRule="exact"/>
        <w:rPr>
          <w:rFonts w:ascii="Arial" w:cs="Arial" w:eastAsia="Arial" w:hAnsi="Arial"/>
          <w:sz w:val="17"/>
          <w:szCs w:val="17"/>
          <w:color w:val="auto"/>
        </w:rPr>
      </w:pPr>
    </w:p>
    <w:p>
      <w:pPr>
        <w:ind w:left="800" w:hanging="402"/>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We have a history of net losses and we may not achieve profitability in the future.</w:t>
      </w:r>
    </w:p>
    <w:p>
      <w:pPr>
        <w:spacing w:after="0" w:line="302" w:lineRule="exact"/>
        <w:rPr>
          <w:rFonts w:ascii="Arial" w:cs="Arial" w:eastAsia="Arial" w:hAnsi="Arial"/>
          <w:sz w:val="17"/>
          <w:szCs w:val="17"/>
          <w:color w:val="auto"/>
        </w:rPr>
      </w:pPr>
    </w:p>
    <w:p>
      <w:pPr>
        <w:ind w:left="800" w:right="40" w:hanging="402"/>
        <w:spacing w:after="0" w:line="264"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If we are unable to conduct sales and marketing activities cost-effectively, our results of operations and financial condition may be materially and adversely affected.</w:t>
      </w:r>
    </w:p>
    <w:p>
      <w:pPr>
        <w:spacing w:after="0" w:line="267" w:lineRule="exact"/>
        <w:rPr>
          <w:rFonts w:ascii="Arial" w:cs="Arial" w:eastAsia="Arial" w:hAnsi="Arial"/>
          <w:sz w:val="17"/>
          <w:szCs w:val="17"/>
          <w:color w:val="auto"/>
        </w:rPr>
      </w:pPr>
    </w:p>
    <w:p>
      <w:pPr>
        <w:ind w:left="800" w:right="200" w:hanging="402"/>
        <w:spacing w:after="0" w:line="264"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We may be adversely affected by any negative publicity concerning us and our business, shareholders, affiliates, directors, officers and employees and the industry in which we operate, regardless of its accuracy, that could harm our reputation and business.</w:t>
      </w:r>
    </w:p>
    <w:p>
      <w:pPr>
        <w:spacing w:after="0" w:line="267" w:lineRule="exact"/>
        <w:rPr>
          <w:rFonts w:ascii="Arial" w:cs="Arial" w:eastAsia="Arial" w:hAnsi="Arial"/>
          <w:sz w:val="17"/>
          <w:szCs w:val="17"/>
          <w:color w:val="auto"/>
        </w:rPr>
      </w:pPr>
    </w:p>
    <w:p>
      <w:pPr>
        <w:ind w:left="800" w:right="60" w:hanging="402"/>
        <w:spacing w:after="0" w:line="332" w:lineRule="auto"/>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We face risks associated with our lack of a private school operating permit for our online education services as well as uncertainties surrounding PRC laws and regulations governing the education industry in general, including the Law for Promoting Private Education and its Implementation Rules.</w:t>
      </w:r>
    </w:p>
    <w:p>
      <w:pPr>
        <w:spacing w:after="0" w:line="220" w:lineRule="exact"/>
        <w:rPr>
          <w:rFonts w:ascii="Arial" w:cs="Arial" w:eastAsia="Arial" w:hAnsi="Arial"/>
          <w:sz w:val="15"/>
          <w:szCs w:val="15"/>
          <w:color w:val="auto"/>
        </w:rPr>
      </w:pPr>
    </w:p>
    <w:p>
      <w:pPr>
        <w:ind w:left="800" w:hanging="402"/>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We face regulatory risks and uncertainties associated with our teachers’ lack of teaching licenses.</w:t>
      </w:r>
    </w:p>
    <w:p>
      <w:pPr>
        <w:spacing w:after="0" w:line="302" w:lineRule="exact"/>
        <w:rPr>
          <w:rFonts w:ascii="Arial" w:cs="Arial" w:eastAsia="Arial" w:hAnsi="Arial"/>
          <w:sz w:val="17"/>
          <w:szCs w:val="17"/>
          <w:color w:val="auto"/>
        </w:rPr>
      </w:pPr>
    </w:p>
    <w:p>
      <w:pPr>
        <w:ind w:left="800" w:hanging="402"/>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We face regulatory risks and uncertainties with respect to the licensing requirement for the online transmission of internet audio-visual programs.</w:t>
      </w:r>
    </w:p>
    <w:p>
      <w:pPr>
        <w:spacing w:after="0" w:line="314" w:lineRule="exact"/>
        <w:rPr>
          <w:rFonts w:ascii="Arial" w:cs="Arial" w:eastAsia="Arial" w:hAnsi="Arial"/>
          <w:sz w:val="16"/>
          <w:szCs w:val="16"/>
          <w:color w:val="auto"/>
        </w:rPr>
      </w:pPr>
    </w:p>
    <w:p>
      <w:pPr>
        <w:ind w:left="800" w:right="380" w:hanging="402"/>
        <w:spacing w:after="0" w:line="264"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Our failure to obtain and maintain other approvals, licenses, permits or filings applicable to our business could have a material adverse impact on our business, financial conditions and results of operations.</w:t>
      </w:r>
    </w:p>
    <w:p>
      <w:pPr>
        <w:spacing w:after="0" w:line="267" w:lineRule="exact"/>
        <w:rPr>
          <w:rFonts w:ascii="Arial" w:cs="Arial" w:eastAsia="Arial" w:hAnsi="Arial"/>
          <w:sz w:val="17"/>
          <w:szCs w:val="17"/>
          <w:color w:val="auto"/>
        </w:rPr>
      </w:pPr>
    </w:p>
    <w:p>
      <w:pPr>
        <w:ind w:left="800" w:hanging="402"/>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We may not be able to continue to recruit, train and retain a sufficient number of qualified faculty members.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Corporate Structure</w:t>
      </w:r>
    </w:p>
    <w:p>
      <w:pPr>
        <w:spacing w:after="0" w:line="107" w:lineRule="exact"/>
        <w:rPr>
          <w:sz w:val="20"/>
          <w:szCs w:val="20"/>
          <w:color w:val="auto"/>
        </w:rPr>
      </w:pPr>
    </w:p>
    <w:p>
      <w:pPr>
        <w:ind w:left="800" w:right="40" w:hanging="402"/>
        <w:spacing w:after="0" w:line="254"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276" w:lineRule="exact"/>
        <w:rPr>
          <w:rFonts w:ascii="Arial" w:cs="Arial" w:eastAsia="Arial" w:hAnsi="Arial"/>
          <w:sz w:val="17"/>
          <w:szCs w:val="17"/>
          <w:color w:val="auto"/>
        </w:rPr>
      </w:pPr>
    </w:p>
    <w:p>
      <w:pPr>
        <w:ind w:left="800" w:right="260" w:hanging="402"/>
        <w:spacing w:after="0" w:line="264"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We rely on contractual arrangements with our VIEs and their respective shareholders for a large portion of our business operations which may not be as effective as direct ownership in providing operational control.</w:t>
      </w:r>
    </w:p>
    <w:p>
      <w:pPr>
        <w:spacing w:after="0" w:line="267" w:lineRule="exact"/>
        <w:rPr>
          <w:rFonts w:ascii="Arial" w:cs="Arial" w:eastAsia="Arial" w:hAnsi="Arial"/>
          <w:sz w:val="17"/>
          <w:szCs w:val="17"/>
          <w:color w:val="auto"/>
        </w:rPr>
      </w:pPr>
    </w:p>
    <w:p>
      <w:pPr>
        <w:ind w:left="800" w:right="120" w:hanging="402"/>
        <w:spacing w:after="0" w:line="264"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Any failure by our VIEs or their respective shareholders to perform their obligations under our contractual arrangements with them would have a material and adverse effect on our business.</w:t>
      </w:r>
    </w:p>
    <w:p>
      <w:pPr>
        <w:spacing w:after="0" w:line="267" w:lineRule="exact"/>
        <w:rPr>
          <w:rFonts w:ascii="Arial" w:cs="Arial" w:eastAsia="Arial" w:hAnsi="Arial"/>
          <w:sz w:val="17"/>
          <w:szCs w:val="17"/>
          <w:color w:val="auto"/>
        </w:rPr>
      </w:pPr>
    </w:p>
    <w:p>
      <w:pPr>
        <w:ind w:left="800" w:right="140" w:hanging="402"/>
        <w:spacing w:after="0" w:line="264"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Our contractual arrangements are governed by PRC law. Accordingly, these contracts would be interpreted in accordance with PRC law, and any disputes would be resolved in accordance with PRC legal procedures.</w:t>
      </w:r>
    </w:p>
    <w:p>
      <w:pPr>
        <w:spacing w:after="0" w:line="267" w:lineRule="exact"/>
        <w:rPr>
          <w:rFonts w:ascii="Arial" w:cs="Arial" w:eastAsia="Arial" w:hAnsi="Arial"/>
          <w:sz w:val="17"/>
          <w:szCs w:val="17"/>
          <w:color w:val="auto"/>
        </w:rPr>
      </w:pPr>
    </w:p>
    <w:p>
      <w:pPr>
        <w:ind w:left="800" w:hanging="402"/>
        <w:spacing w:after="0" w:line="264"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The shareholders of our VIEs may have actual or potential conflicts of interest with us, which may materially and adversely affect our business and financial condition.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Doing Business in China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6" w:name="page7"/>
    <w:bookmarkEnd w:id="6"/>
    <w:p>
      <w:pPr>
        <w:ind w:left="800" w:hanging="402"/>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Changes in China’s economic, political or social conditions or government policies could have a material adverse effect on our business and operations.</w:t>
      </w:r>
    </w:p>
    <w:p>
      <w:pPr>
        <w:spacing w:after="0" w:line="325" w:lineRule="exact"/>
        <w:rPr>
          <w:rFonts w:ascii="Arial" w:cs="Arial" w:eastAsia="Arial" w:hAnsi="Arial"/>
          <w:sz w:val="15"/>
          <w:szCs w:val="15"/>
          <w:color w:val="auto"/>
        </w:rPr>
      </w:pPr>
    </w:p>
    <w:p>
      <w:pPr>
        <w:ind w:left="800" w:hanging="402"/>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Uncertainties with respect to the PRC legal system could adversely affect us.</w:t>
      </w:r>
    </w:p>
    <w:p>
      <w:pPr>
        <w:spacing w:after="0" w:line="302" w:lineRule="exact"/>
        <w:rPr>
          <w:rFonts w:ascii="Arial" w:cs="Arial" w:eastAsia="Arial" w:hAnsi="Arial"/>
          <w:sz w:val="17"/>
          <w:szCs w:val="17"/>
          <w:color w:val="auto"/>
        </w:rPr>
      </w:pPr>
    </w:p>
    <w:p>
      <w:pPr>
        <w:ind w:left="800" w:right="20" w:hanging="402"/>
        <w:spacing w:after="0" w:line="264"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You may experience difficulties in effecting service of legal process, enforcing foreign judgments or bringing actions in China against us or our management named in the annual report based on foreign laws.</w:t>
      </w:r>
    </w:p>
    <w:p>
      <w:pPr>
        <w:spacing w:after="0" w:line="267" w:lineRule="exact"/>
        <w:rPr>
          <w:rFonts w:ascii="Arial" w:cs="Arial" w:eastAsia="Arial" w:hAnsi="Arial"/>
          <w:sz w:val="17"/>
          <w:szCs w:val="17"/>
          <w:color w:val="auto"/>
        </w:rPr>
      </w:pPr>
    </w:p>
    <w:p>
      <w:pPr>
        <w:ind w:left="800" w:hanging="402"/>
        <w:spacing w:after="0" w:line="332"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220" w:lineRule="exact"/>
        <w:rPr>
          <w:rFonts w:ascii="Arial" w:cs="Arial" w:eastAsia="Arial" w:hAnsi="Arial"/>
          <w:sz w:val="15"/>
          <w:szCs w:val="15"/>
          <w:color w:val="auto"/>
        </w:rPr>
      </w:pPr>
    </w:p>
    <w:p>
      <w:pPr>
        <w:ind w:left="800" w:right="60" w:hanging="402"/>
        <w:spacing w:after="0" w:line="304"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Our ADSs may be delisted under the Holding Foreign Companies Accountable Act if the Public Company Accounting Oversight Board, or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ADSs</w:t>
      </w:r>
    </w:p>
    <w:p>
      <w:pPr>
        <w:spacing w:after="0" w:line="107" w:lineRule="exact"/>
        <w:rPr>
          <w:sz w:val="20"/>
          <w:szCs w:val="20"/>
          <w:color w:val="auto"/>
        </w:rPr>
      </w:pPr>
    </w:p>
    <w:p>
      <w:pPr>
        <w:ind w:left="800" w:hanging="402"/>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The trading price of the ADSs is likely to be volatile, which could result in substantial losses to investors.</w:t>
      </w:r>
    </w:p>
    <w:p>
      <w:pPr>
        <w:spacing w:after="0" w:line="302" w:lineRule="exact"/>
        <w:rPr>
          <w:rFonts w:ascii="Arial" w:cs="Arial" w:eastAsia="Arial" w:hAnsi="Arial"/>
          <w:sz w:val="17"/>
          <w:szCs w:val="17"/>
          <w:color w:val="auto"/>
        </w:rPr>
      </w:pPr>
    </w:p>
    <w:p>
      <w:pPr>
        <w:ind w:left="800" w:right="300" w:hanging="402"/>
        <w:spacing w:after="0" w:line="264"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267" w:lineRule="exact"/>
        <w:rPr>
          <w:rFonts w:ascii="Arial" w:cs="Arial" w:eastAsia="Arial" w:hAnsi="Arial"/>
          <w:sz w:val="17"/>
          <w:szCs w:val="17"/>
          <w:color w:val="auto"/>
        </w:rPr>
      </w:pPr>
    </w:p>
    <w:p>
      <w:pPr>
        <w:ind w:left="800" w:hanging="402"/>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The sale or availability for sale of substantial amounts of ADSs could adversely affect their market price.</w:t>
      </w:r>
    </w:p>
    <w:p>
      <w:pPr>
        <w:spacing w:after="0" w:line="302" w:lineRule="exact"/>
        <w:rPr>
          <w:rFonts w:ascii="Arial" w:cs="Arial" w:eastAsia="Arial" w:hAnsi="Arial"/>
          <w:sz w:val="17"/>
          <w:szCs w:val="17"/>
          <w:color w:val="auto"/>
        </w:rPr>
      </w:pPr>
    </w:p>
    <w:p>
      <w:pPr>
        <w:ind w:left="800" w:hanging="402"/>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Techniques employed by short sellers may drive down the market price of the ADSs.</w:t>
      </w:r>
    </w:p>
    <w:p>
      <w:pPr>
        <w:spacing w:after="0" w:line="302" w:lineRule="exact"/>
        <w:rPr>
          <w:rFonts w:ascii="Arial" w:cs="Arial" w:eastAsia="Arial" w:hAnsi="Arial"/>
          <w:sz w:val="17"/>
          <w:szCs w:val="17"/>
          <w:color w:val="auto"/>
        </w:rPr>
      </w:pPr>
    </w:p>
    <w:p>
      <w:pPr>
        <w:ind w:left="800" w:right="100" w:hanging="402"/>
        <w:spacing w:after="0" w:line="264"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Our triple-class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increase student enrollments, our net revenues may decline, and we may not be able to maintain growth.</w:t>
      </w:r>
    </w:p>
    <w:p>
      <w:pPr>
        <w:spacing w:after="0" w:line="103" w:lineRule="exact"/>
        <w:rPr>
          <w:sz w:val="20"/>
          <w:szCs w:val="20"/>
          <w:color w:val="auto"/>
        </w:rPr>
      </w:pPr>
    </w:p>
    <w:p>
      <w:pPr>
        <w:ind w:right="40" w:firstLine="547"/>
        <w:spacing w:after="0" w:line="264" w:lineRule="auto"/>
        <w:rPr>
          <w:sz w:val="20"/>
          <w:szCs w:val="20"/>
          <w:color w:val="auto"/>
        </w:rPr>
      </w:pPr>
      <w:r>
        <w:rPr>
          <w:rFonts w:ascii="Arial" w:cs="Arial" w:eastAsia="Arial" w:hAnsi="Arial"/>
          <w:sz w:val="16"/>
          <w:szCs w:val="16"/>
          <w:color w:val="auto"/>
        </w:rPr>
        <w:t>We generate revenue primarily from the tuition we collect from our students. It is critical for us to enroll prospective students in a cost-effective manner. Some of the factors, many of which are largely beyond our control, could prevent us from successfully increasing enrollments of new students in a cost-effective manner, or at all. These factors include, among other things, (i) reduced interest in the degrees, diplomas, professions or certifications for which our course offerings are designed; (ii) negative publicity or perceptions regarding us, or online education services in general; (iii) the emergence of alternative course delivery models; (iv) the inability of students to pay the tuition; (v) increasing market competition, particularly price reductions by competitors that we are unable or unwilling to match; and (vi) adverse changes in relevant government policies or general economic conditions. If one or more of these factors reduce market demand for our services, our student enrollments could be negatively affected or our costs associated with student acquisition and retention could increase, or both, any of which could materially affect our ability to grow our gross billings and net revenues. These developments could also harm our brand and reputation, which would negatively impact our ability to expand our business.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business growth effectively, the success of our business model will be compromised.</w:t>
      </w:r>
    </w:p>
    <w:p>
      <w:pPr>
        <w:spacing w:after="0" w:line="203" w:lineRule="exact"/>
        <w:rPr>
          <w:sz w:val="20"/>
          <w:szCs w:val="20"/>
          <w:color w:val="auto"/>
        </w:rPr>
      </w:pPr>
    </w:p>
    <w:p>
      <w:pPr>
        <w:ind w:firstLine="547"/>
        <w:spacing w:after="0" w:line="304" w:lineRule="auto"/>
        <w:rPr>
          <w:sz w:val="20"/>
          <w:szCs w:val="20"/>
          <w:color w:val="auto"/>
        </w:rPr>
      </w:pPr>
      <w:r>
        <w:rPr>
          <w:rFonts w:ascii="Arial" w:cs="Arial" w:eastAsia="Arial" w:hAnsi="Arial"/>
          <w:sz w:val="15"/>
          <w:szCs w:val="15"/>
          <w:color w:val="auto"/>
        </w:rPr>
        <w:t>Our growth strategy has placed, and will continue to place, a significant strain on our sales and marketing capacities, administrative and operating infrastructure, facilities and other resources. To maintain our growth, we need to continue to acquire more students, scale up our course offerings, increase our academic and administrative faculty, as well as strengthen our platforms and systems. We will also be required to refine our operational, financial and management controls and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ind w:right="40"/>
        <w:spacing w:after="0" w:line="248" w:lineRule="auto"/>
        <w:rPr>
          <w:sz w:val="20"/>
          <w:szCs w:val="20"/>
          <w:color w:val="auto"/>
        </w:rPr>
      </w:pPr>
      <w:r>
        <w:rPr>
          <w:rFonts w:ascii="Arial" w:cs="Arial" w:eastAsia="Arial" w:hAnsi="Arial"/>
          <w:sz w:val="17"/>
          <w:szCs w:val="17"/>
          <w:color w:val="auto"/>
        </w:rPr>
        <w:t>reporting systems and procedures. If we fail to efficiently manage our business expansion, our costs and expenses may increase more than we plan and we may not successfully attract a sufficient number of students and qualified academic and administrative faculty in a cost-effective manner, respond to competitive challenges, or otherwise execute our business plans. In addition, we may, as part of carrying out our growth strategies, adopt new initiatives to offer additional course packages and educational content and to implement new pricing models and strategies. We cannot assure you that these initiatives may achieve the anticipated results. These proposed changes may not be well received by our existing and prospective students, in which case their experience with our education services may suffer, which could damage our reputation and business prospect.</w:t>
      </w:r>
    </w:p>
    <w:p>
      <w:pPr>
        <w:spacing w:after="0" w:line="183" w:lineRule="exact"/>
        <w:rPr>
          <w:sz w:val="20"/>
          <w:szCs w:val="20"/>
          <w:color w:val="auto"/>
        </w:rPr>
      </w:pPr>
    </w:p>
    <w:p>
      <w:pPr>
        <w:ind w:firstLine="547"/>
        <w:spacing w:after="0" w:line="283" w:lineRule="auto"/>
        <w:rPr>
          <w:sz w:val="20"/>
          <w:szCs w:val="20"/>
          <w:color w:val="auto"/>
        </w:rPr>
      </w:pPr>
      <w:r>
        <w:rPr>
          <w:rFonts w:ascii="Arial" w:cs="Arial" w:eastAsia="Arial" w:hAnsi="Arial"/>
          <w:sz w:val="15"/>
          <w:szCs w:val="15"/>
          <w:color w:val="auto"/>
        </w:rPr>
        <w:t>Our ability to effectively implement our strategies and manage our business growth will depend on a number of factors, including our ability to: (i) identify and effectively market our products and services in new markets with sufficient growth potential; (ii) develop and improve course offerings and educational contents to make them appealing to existing and prospective students, particularly working adult students; (iii) maintain and increase our student enrollments; (iv) effectively recruit, train and motivate a large number of new employees, including our faculty members and sales and marketing personnel; (v) successfully implement enhancements and improvements to the systems and platforms; (vi) continue to improve our operational, financial and management controls and efficiencies; (vii) protect and further develop our intellectual property rights; and (viii) make sound business decisions in light of the scrutiny associated with operating as a public company. These activities require significant capital expenditures and investment of valuable management and financial resources, and our growth will continue to place significant demands on our management. There are no guarantees that we will be able to effectively manage any future growth in an efficient, cost-effective and timely manner, or at all. Our growth in a relatively short period of time is not necessarily indicative of results that we may achieve in the future. If we do not effectively manage the growth of our business and operations, our reputation, results of operations and overall business and prospects could be negatively impacted.</w:t>
      </w:r>
    </w:p>
    <w:p>
      <w:pPr>
        <w:spacing w:after="0" w:line="159" w:lineRule="exact"/>
        <w:rPr>
          <w:sz w:val="20"/>
          <w:szCs w:val="20"/>
          <w:color w:val="auto"/>
        </w:rPr>
      </w:pPr>
    </w:p>
    <w:p>
      <w:pPr>
        <w:ind w:right="20" w:firstLine="547"/>
        <w:spacing w:after="0" w:line="264" w:lineRule="auto"/>
        <w:rPr>
          <w:sz w:val="20"/>
          <w:szCs w:val="20"/>
          <w:color w:val="auto"/>
        </w:rPr>
      </w:pPr>
      <w:r>
        <w:rPr>
          <w:rFonts w:ascii="Arial" w:cs="Arial" w:eastAsia="Arial" w:hAnsi="Arial"/>
          <w:sz w:val="16"/>
          <w:szCs w:val="16"/>
          <w:color w:val="auto"/>
        </w:rPr>
        <w:t>Our net revenues were RMB1,974.0 million, RMB2,193.9 million and RMB2,203.8million (US$337.7 million), respectively, in 2018, 2019 and 2020. During the same periods, our gross billings were RMB3,214.4 million, RMB2,358.5 million and RMB2,350.4 million (US$360.2 million), respectively, and our new student enrollments were 526,014, 363,013and 434,240, respectively. Our new student enrollments increased in 2020, primarily due to the increase in professional skills and general interest courses catering to growing demands for diverse personal education. We are seeking to offer a broader range of courses, foster a more social and entertaining learning experience, and use cutting-edge technologies, particularly artificial intelligence, to improve students’ learning experience and outcomes. All of these endeavors involve risks and will require significant management, financial and human resources. We cannot assure you that they will achieve the anticipated results or that our gross billings and new student enrollments will not decline in the future due to the risks and uncertainties discussed in this “Item 3.D. Risk Factors.” If we are not able to achieve growth in our gross billings and new student enrollments effectively, or at all, our business and prospects may be materially and adversely affected.</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and we may not achieve profitability in the future.</w:t>
      </w:r>
    </w:p>
    <w:p>
      <w:pPr>
        <w:spacing w:after="0" w:line="103" w:lineRule="exact"/>
        <w:rPr>
          <w:sz w:val="20"/>
          <w:szCs w:val="20"/>
          <w:color w:val="auto"/>
        </w:rPr>
      </w:pPr>
    </w:p>
    <w:p>
      <w:pPr>
        <w:ind w:right="100" w:firstLine="547"/>
        <w:spacing w:after="0" w:line="264" w:lineRule="auto"/>
        <w:rPr>
          <w:sz w:val="20"/>
          <w:szCs w:val="20"/>
          <w:color w:val="auto"/>
        </w:rPr>
      </w:pPr>
      <w:r>
        <w:rPr>
          <w:rFonts w:ascii="Arial" w:cs="Arial" w:eastAsia="Arial" w:hAnsi="Arial"/>
          <w:sz w:val="17"/>
          <w:szCs w:val="17"/>
          <w:color w:val="auto"/>
        </w:rPr>
        <w:t>We had net losses of RMB927.0 million, RMB395.2 million and RMB431.0 million (US$66.1 million) in 2018, 2019 and 2020, respectively. We cannot assure you, however, that our net loss will be narrowed or that we will be able to generate net profits in the future.</w:t>
      </w:r>
    </w:p>
    <w:p>
      <w:pPr>
        <w:spacing w:after="0" w:line="168" w:lineRule="exact"/>
        <w:rPr>
          <w:sz w:val="20"/>
          <w:szCs w:val="20"/>
          <w:color w:val="auto"/>
        </w:rPr>
      </w:pPr>
    </w:p>
    <w:p>
      <w:pPr>
        <w:ind w:right="380" w:firstLine="547"/>
        <w:spacing w:after="0" w:line="264" w:lineRule="auto"/>
        <w:rPr>
          <w:sz w:val="20"/>
          <w:szCs w:val="20"/>
          <w:color w:val="auto"/>
        </w:rPr>
      </w:pPr>
      <w:r>
        <w:rPr>
          <w:rFonts w:ascii="Arial" w:cs="Arial" w:eastAsia="Arial" w:hAnsi="Arial"/>
          <w:sz w:val="17"/>
          <w:szCs w:val="17"/>
          <w:color w:val="auto"/>
        </w:rPr>
        <w:t>We intend to continue to invest heavily for the foreseeable future in increasing our market share, improving the capacity of our technology infrastructure to better support an even larger student base and to offer additional courses and educational content.</w:t>
      </w:r>
    </w:p>
    <w:p>
      <w:pPr>
        <w:spacing w:after="0" w:line="168" w:lineRule="exact"/>
        <w:rPr>
          <w:sz w:val="20"/>
          <w:szCs w:val="20"/>
          <w:color w:val="auto"/>
        </w:rPr>
      </w:pPr>
    </w:p>
    <w:p>
      <w:pPr>
        <w:ind w:right="60" w:firstLine="547"/>
        <w:spacing w:after="0" w:line="251" w:lineRule="auto"/>
        <w:rPr>
          <w:sz w:val="20"/>
          <w:szCs w:val="20"/>
          <w:color w:val="auto"/>
        </w:rPr>
      </w:pPr>
      <w:r>
        <w:rPr>
          <w:rFonts w:ascii="Arial" w:cs="Arial" w:eastAsia="Arial" w:hAnsi="Arial"/>
          <w:sz w:val="17"/>
          <w:szCs w:val="17"/>
          <w:color w:val="auto"/>
        </w:rPr>
        <w:t>These efforts may be more costly than we expect and our net revenues may not increase sufficiently to offset these expenses. We may continue to take actions and make investments that do not generate optimal short-term financial results and may even result in increased operating losses in the short term with no assurance that we will eventually achieve our intended long-term benefits or profitability. These factors, among others set out in this “Item 3.D. Risk Factors,” may negatively affect our ability to achieve profitability in the near term, if at all.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i w:val="1"/>
          <w:iCs w:val="1"/>
          <w:color w:val="auto"/>
        </w:rPr>
        <w:t>If we are unable to conduct sales and marketing activities cost-effectively, our results of operations and financial condition may be materially and adversely affected.</w:t>
      </w:r>
    </w:p>
    <w:p>
      <w:pPr>
        <w:spacing w:after="0" w:line="149" w:lineRule="exact"/>
        <w:rPr>
          <w:sz w:val="20"/>
          <w:szCs w:val="20"/>
          <w:color w:val="auto"/>
        </w:rPr>
      </w:pPr>
    </w:p>
    <w:p>
      <w:pPr>
        <w:ind w:right="120" w:firstLine="547"/>
        <w:spacing w:after="0" w:line="254" w:lineRule="auto"/>
        <w:rPr>
          <w:sz w:val="20"/>
          <w:szCs w:val="20"/>
          <w:color w:val="auto"/>
        </w:rPr>
      </w:pPr>
      <w:r>
        <w:rPr>
          <w:rFonts w:ascii="Arial" w:cs="Arial" w:eastAsia="Arial" w:hAnsi="Arial"/>
          <w:sz w:val="17"/>
          <w:szCs w:val="17"/>
          <w:color w:val="auto"/>
        </w:rPr>
        <w:t>We rely on our sales and marketing efforts to increase student enrollments. Our sales and marketing expenses primarily include expenses incurred in relation to sales and marketing personnel and marketing spending. We incurred approximately RMB2,152.8 million, RMB1,792.3 million and RMB2,123.6 million (US$325.5 million), respectively, in sales and marketing expenses in 2018, 2019 and 2020.</w:t>
      </w:r>
    </w:p>
    <w:p>
      <w:pPr>
        <w:spacing w:after="0" w:line="177" w:lineRule="exact"/>
        <w:rPr>
          <w:sz w:val="20"/>
          <w:szCs w:val="20"/>
          <w:color w:val="auto"/>
        </w:rPr>
      </w:pPr>
    </w:p>
    <w:p>
      <w:pPr>
        <w:ind w:right="20" w:firstLine="547"/>
        <w:spacing w:after="0" w:line="264" w:lineRule="auto"/>
        <w:rPr>
          <w:sz w:val="20"/>
          <w:szCs w:val="20"/>
          <w:color w:val="auto"/>
        </w:rPr>
      </w:pPr>
      <w:r>
        <w:rPr>
          <w:rFonts w:ascii="Arial" w:cs="Arial" w:eastAsia="Arial" w:hAnsi="Arial"/>
          <w:sz w:val="16"/>
          <w:szCs w:val="16"/>
          <w:color w:val="auto"/>
        </w:rPr>
        <w:t>Our sales and marketing activities may not be well received by the market and may not result in the levels of sales that we anticipate. We also may not be able to retain or engage a sufficient number of experienced sales and marketing personnel, or to train newly onboard sales and marketing personnel, which we believe is critical to implementing our sales and marketing strategies cost-effectively. Further, sales and marketing approaches and tools in China’s online education market are evolving rapidly. This requires us to continually enhance our sales and marketing approaches and experiment with new methods to keep pace with industry developments and student preferences. Moreover, our sales and marketing activities may be deemed to violate PRC laws and regulations, and we may be exposed to administrative penalties, such as paying fines or publishing explanatory notes to limit the adverse effects of our marketing efforts. If we are deemed guilty of significant infringements, we may be ordered to cease sales and marketing activities temporarily and our business license may be revoked. Failure to engage in sales and marketing activities in a compliant and cost-effective manner may reduce our market share, cause our revenues and gross billings to decline, negatively impact our profitability, and materially harm our business, financial condition and results of operations.</w:t>
      </w:r>
    </w:p>
    <w:p>
      <w:pPr>
        <w:spacing w:after="0" w:line="271"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b w:val="1"/>
          <w:bCs w:val="1"/>
          <w:i w:val="1"/>
          <w:iCs w:val="1"/>
          <w:color w:val="auto"/>
        </w:rPr>
        <w:t>We may be adversely affected by any negative publicity concerning us and our business, shareholders, affiliates, directors, officers and employees and the industry in which we operate, regardless of its accuracy, that could harm our reputation and business.</w:t>
      </w:r>
    </w:p>
    <w:p>
      <w:pPr>
        <w:spacing w:after="0" w:line="68" w:lineRule="exact"/>
        <w:rPr>
          <w:sz w:val="20"/>
          <w:szCs w:val="20"/>
          <w:color w:val="auto"/>
        </w:rPr>
      </w:pPr>
    </w:p>
    <w:p>
      <w:pPr>
        <w:jc w:val="both"/>
        <w:ind w:right="80" w:firstLine="547"/>
        <w:spacing w:after="0" w:line="251" w:lineRule="auto"/>
        <w:rPr>
          <w:sz w:val="20"/>
          <w:szCs w:val="20"/>
          <w:color w:val="auto"/>
        </w:rPr>
      </w:pPr>
      <w:r>
        <w:rPr>
          <w:rFonts w:ascii="Arial" w:cs="Arial" w:eastAsia="Arial" w:hAnsi="Arial"/>
          <w:sz w:val="17"/>
          <w:szCs w:val="17"/>
          <w:color w:val="auto"/>
        </w:rPr>
        <w:t>Negative publicity about us and our business, shareholders, affiliates, directors, officers, and teachers and other employees, as well as the industry in which we operate, can harm our operations. We have been exposed to negative publicity concerning refund dispute and administrative penalty and alleged improper or misleading statement made in our sales and marketing activities in the past. Negative publicity concerning these parties could be related to a wide variety of matters, including, but are not limited to:</w:t>
      </w:r>
    </w:p>
    <w:p>
      <w:pPr>
        <w:spacing w:after="0" w:line="79" w:lineRule="exact"/>
        <w:rPr>
          <w:sz w:val="20"/>
          <w:szCs w:val="20"/>
          <w:color w:val="auto"/>
        </w:rPr>
      </w:pPr>
    </w:p>
    <w:p>
      <w:pPr>
        <w:ind w:left="1080" w:right="540" w:hanging="545"/>
        <w:spacing w:after="0" w:line="264"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alleged misconduct or other improper activities committed by our students or our directors, officers, and teachers and other employees, including misrepresentation made by our employees to potential students during sales and marketing activities;</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false or malicious allegations or rumors about us or our directors, shareholders, affiliates, officers, and teachers and other employees;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complaints by our students about our education services and sales and marketing activities;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tuition refund disputes between us and our students or administrative penalties;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security breaches of confidential student or employee information;</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employment-related claims relating to alleged employment discrimination, wage and hour violations; and</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governmental and regulatory investigations or penalties resulting from our failure to comply with applicable laws and regulations.</w:t>
      </w:r>
    </w:p>
    <w:p>
      <w:pPr>
        <w:spacing w:after="0" w:line="203" w:lineRule="exact"/>
        <w:rPr>
          <w:sz w:val="20"/>
          <w:szCs w:val="20"/>
          <w:color w:val="auto"/>
        </w:rPr>
      </w:pPr>
    </w:p>
    <w:p>
      <w:pPr>
        <w:ind w:right="100" w:firstLine="547"/>
        <w:spacing w:after="0" w:line="266" w:lineRule="auto"/>
        <w:rPr>
          <w:sz w:val="20"/>
          <w:szCs w:val="20"/>
          <w:color w:val="auto"/>
        </w:rPr>
      </w:pPr>
      <w:r>
        <w:rPr>
          <w:rFonts w:ascii="Arial" w:cs="Arial" w:eastAsia="Arial" w:hAnsi="Arial"/>
          <w:sz w:val="16"/>
          <w:szCs w:val="16"/>
          <w:color w:val="auto"/>
        </w:rPr>
        <w:t>In addition to traditional media, there has been an increasing use of social media platforms and similar devices in China, including instant messaging applications, such as Weixin/WeChat, social media websites and other forms of internet-based communications that provide individuals with access to a broad audience of consumers and other interested persons. The availability of information on instant messaging applications and social media platforms is virtually immediate as is its impact without affording us an opportunity for redress or correction. The opportunity for dissemination of information, including inaccurate information, is seemingly limitless and readily available. Information concerning our company, shareholders, directors, officers and employees may be posted on such platforms at any time. The risks associated with any such negative publicity or incorrect information cannot be completely eliminated or mitigated and may materially harm our reputation, business,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9" w:name="page10"/>
    <w:bookmarkEnd w:id="9"/>
    <w:p>
      <w:pPr>
        <w:ind w:right="340"/>
        <w:spacing w:after="0" w:line="332" w:lineRule="auto"/>
        <w:rPr>
          <w:sz w:val="20"/>
          <w:szCs w:val="20"/>
          <w:color w:val="auto"/>
        </w:rPr>
      </w:pPr>
      <w:r>
        <w:rPr>
          <w:rFonts w:ascii="Arial" w:cs="Arial" w:eastAsia="Arial" w:hAnsi="Arial"/>
          <w:sz w:val="15"/>
          <w:szCs w:val="15"/>
          <w:b w:val="1"/>
          <w:bCs w:val="1"/>
          <w:i w:val="1"/>
          <w:iCs w:val="1"/>
          <w:color w:val="auto"/>
        </w:rPr>
        <w:t>We face risks associated with our lack of a private school operating permit for our online education services as well as uncertainties surrounding PRC laws and regulations governing the education industry in general, including the Law for Promoting Private Education and its Implementation Rules.</w:t>
      </w:r>
    </w:p>
    <w:p>
      <w:pPr>
        <w:spacing w:after="0" w:line="21" w:lineRule="exact"/>
        <w:rPr>
          <w:sz w:val="20"/>
          <w:szCs w:val="20"/>
          <w:color w:val="auto"/>
        </w:rPr>
      </w:pPr>
    </w:p>
    <w:p>
      <w:pPr>
        <w:ind w:right="160" w:firstLine="547"/>
        <w:spacing w:after="0" w:line="254" w:lineRule="auto"/>
        <w:rPr>
          <w:sz w:val="20"/>
          <w:szCs w:val="20"/>
          <w:color w:val="auto"/>
        </w:rPr>
      </w:pPr>
      <w:r>
        <w:rPr>
          <w:rFonts w:ascii="Arial" w:cs="Arial" w:eastAsia="Arial" w:hAnsi="Arial"/>
          <w:sz w:val="17"/>
          <w:szCs w:val="17"/>
          <w:color w:val="auto"/>
        </w:rPr>
        <w:t>Wuhan Shangde Online Education Technology Co., Ltd., or Wuhan Shangde, our wholly owned subsidiary, and Beijing Sunlands and a number of other VIEs, through which we operate our online education business, currently do not hold a private school operating permit, and we may be subject to risks of administrative sanctions due to our lack of such permit.</w:t>
      </w:r>
    </w:p>
    <w:p>
      <w:pPr>
        <w:spacing w:after="0" w:line="177" w:lineRule="exact"/>
        <w:rPr>
          <w:sz w:val="20"/>
          <w:szCs w:val="20"/>
          <w:color w:val="auto"/>
        </w:rPr>
      </w:pPr>
    </w:p>
    <w:p>
      <w:pPr>
        <w:ind w:right="540" w:firstLine="547"/>
        <w:spacing w:after="0" w:line="332" w:lineRule="auto"/>
        <w:rPr>
          <w:sz w:val="20"/>
          <w:szCs w:val="20"/>
          <w:color w:val="auto"/>
        </w:rPr>
      </w:pPr>
      <w:r>
        <w:rPr>
          <w:rFonts w:ascii="Arial" w:cs="Arial" w:eastAsia="Arial" w:hAnsi="Arial"/>
          <w:sz w:val="15"/>
          <w:szCs w:val="15"/>
          <w:color w:val="auto"/>
        </w:rPr>
        <w:t>On November 7, 2016, China’s National People’s Congress passed an amendment to the Promotion of Private Education Law, or the Amendment, which became effective on September 1, 2017. The Amendment applies different regulatory requirements to non-profit and for-profit private schools.</w:t>
      </w:r>
    </w:p>
    <w:p>
      <w:pPr>
        <w:spacing w:after="0" w:line="121" w:lineRule="exact"/>
        <w:rPr>
          <w:sz w:val="20"/>
          <w:szCs w:val="20"/>
          <w:color w:val="auto"/>
        </w:rPr>
      </w:pPr>
    </w:p>
    <w:p>
      <w:pPr>
        <w:ind w:right="40" w:firstLine="547"/>
        <w:spacing w:after="0" w:line="265" w:lineRule="auto"/>
        <w:rPr>
          <w:sz w:val="20"/>
          <w:szCs w:val="20"/>
          <w:color w:val="auto"/>
        </w:rPr>
      </w:pPr>
      <w:r>
        <w:rPr>
          <w:rFonts w:ascii="Arial" w:cs="Arial" w:eastAsia="Arial" w:hAnsi="Arial"/>
          <w:sz w:val="16"/>
          <w:szCs w:val="16"/>
          <w:color w:val="auto"/>
        </w:rPr>
        <w:t>In December 2016, several PRC government agencies, including the MOE, the State Administration for Industry and Commerce which has now merged into the newly-established State Administration for Market Regulation, or the SAMR), and the Ministry of Human Resources and Social Welfare, jointly promulgated the Implementation Rules on the Supervision and Administration of For-profit Private Schools, or the Implementation Rules. Under the Implementation Rules, the establishment, division, merger or any other material change in a for-profit private school shall be approved by the competent education authorities or the authorities in charge of labor and social welfare and be registered with the competent local branch of SAMR, and a duly approved private school will be granted a private school operating permit. The Implementation Rules also provide that the provisions contained therein should be applicable to “for-profit private training institutions” in an analogous manner. See “Item 4. Information on the Company—4.B. Business Overview—Regulations—Regulation Relating to Private Education—The Law for Promoting Private Education and its Implementing Rules.”</w:t>
      </w:r>
    </w:p>
    <w:p>
      <w:pPr>
        <w:spacing w:after="0" w:line="169" w:lineRule="exact"/>
        <w:rPr>
          <w:sz w:val="20"/>
          <w:szCs w:val="20"/>
          <w:color w:val="auto"/>
        </w:rPr>
      </w:pPr>
    </w:p>
    <w:p>
      <w:pPr>
        <w:ind w:firstLine="547"/>
        <w:spacing w:after="0" w:line="280" w:lineRule="auto"/>
        <w:rPr>
          <w:sz w:val="20"/>
          <w:szCs w:val="20"/>
          <w:color w:val="auto"/>
        </w:rPr>
      </w:pPr>
      <w:r>
        <w:rPr>
          <w:rFonts w:ascii="Arial" w:cs="Arial" w:eastAsia="Arial" w:hAnsi="Arial"/>
          <w:sz w:val="15"/>
          <w:szCs w:val="15"/>
          <w:color w:val="auto"/>
        </w:rPr>
        <w:t>As of the date of this annual report, we have not received any notice of warning or been subject to any penalties or disciplinary action from government authorities due to our lack of a private school operating permit for our online education services. In August 2018, the Ministry of Justice, or MOJ, published the draft amendment to the Regulations on the Implementation of the Law for Promoting Private Education of the PRC, or MOJ Draft, for public comment. According to the MOJ Draft, online diploma-awarding education service providers shall obtain a private school operating permit and we, as an online non-diploma-awarding training service provider, shall file with the department of education at the provincial level. The MOJ Draft further stipulates that the internet technology service platform that provides the training and educational activities shall review and register the identity information of institutions or individuals applying for access to the platform. See “Item 4. Information on the Company—4.B. Business Overview—Regulation—Regulation Relating to Private Education—The Law for Promoting Private Education and its Implementing Rules.” As of the date of this annual report, the MOJ Draft is still pending final approval and has not come into effect. It is uncertain when and how the MOJ Draft would be signed into law and how local government would promulgate and implement rules related to the filing or licensing requirement applicable to online education service providers. In addition, we have made inquiries to the relevant education authorities and were informed that online education service providers were not required to obtain a private school operating permit for the provision of online education services, and that if such educational authorities were to require us to obtain a private school operating permit in the future, such authorities would not subject us to penalties for the provision of our services without obtaining a private school operating permit. We cannot assure you that the PRC government will not in the future require us to obtain a private school operating permit. If the PRC government requires us to obtain a private school operating permit or introduces additional amendments and guidelines to expand the coverage of the Amendment to explicitly cover online education service providers, and if we fail to do so, we may be subject to fines up to five times the illegitimate gains generated from the provision of training services without a proper license, other administrative sanctions, such as being ordered to refund tuition payments to the students, or criminal liabilities, for our lack of a private school operating permit.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10" w:name="page11"/>
    <w:bookmarkEnd w:id="10"/>
    <w:p>
      <w:pPr>
        <w:ind w:right="60" w:firstLine="547"/>
        <w:spacing w:after="0" w:line="280" w:lineRule="auto"/>
        <w:rPr>
          <w:sz w:val="20"/>
          <w:szCs w:val="20"/>
          <w:color w:val="auto"/>
        </w:rPr>
      </w:pPr>
      <w:r>
        <w:rPr>
          <w:rFonts w:ascii="Arial" w:cs="Arial" w:eastAsia="Arial" w:hAnsi="Arial"/>
          <w:sz w:val="15"/>
          <w:szCs w:val="15"/>
          <w:color w:val="auto"/>
        </w:rPr>
        <w:t>We may also be subject to regulatory requirements that are more stringent than the ones currently applicable to us, including those relating to sales and marketing, courses and educational content offerings, teachers’ qualification, as well as tuition fee rates and tuition refund policies, or laws and regulations that require us to obtain and maintain additional licenses and permits, and we may incur substantial expenses or alter or change our business to comply with these requirements. For example, on November 28, 2019, Beijing Administration for Market Regulation published the draft of Administrative Measures on Supervision and Service of the Prepaid Consumption of Beijing and the draft of Administrative Rules on Prepaid Consumption of the Academic After-school Training Institutions of Beijing for public comment. According to such measures and rules, (i) if a consumer requests a refund before the courses start, the training institution shall offer a full refund within 15 business days upon the refund requirement, (ii) if a consumer requests a refund before the completion of half of the courses, the corresponding fee may be deducted by the training institution according to the proportion of the completed courses, and the remaining part shall be refunded in a lump sum within 15 business days, (iii) if a consumer requests a refund after the completion of half of the courses, the training institution may not refund any tuition fee, and (iv) any refund for installment credit consumption shall comply with applicable regulations. In addition, pursuant to the Interim Measures of Wuhan for the Administration of Private Training Institutions promulgated by Wuhan Municipal Government effective on March 15, 2018, private training institutions shall abide by the following provisions with respect of refund fees: (i) if a student requires a refund before the beginning of the course, the institution shall refund all the fees paid to it with deduction of the educational service fees and other fees actually incurred; (ii) if a student requires a refund after the beginning of the course, the institution shall refund the remaining part of the fees after deducting the corresponding proportion of the tuition fees, the fees for collection and management and the relevant taxes and fees in accordance with the proportion of the class hours completed; (iii) where an institution fails to fulfill the commitments with the student, and the student requires a refund, the institution shall refund all the fees paid by the student; and (iv) the institution shall complete the examination and verification within three working days upon the receipt of the refund requirement and shall refund to the student within 30 days. It is uncertain as to whether and how such measures and rules would be applicable to us, and whether any future laws and regulations with respect to the tuition refund requirements for online education service providers like us will be introduced. We have been exposed to refund dispute between us and our students in the past. We cannot assure you that if we are subject to more stringent refund regulatory requirements, we can adjust our refund policy to comply with these requirements on a timely manner, which may cause us more refund disputes with our students and may have a material and adverse effect on our business, operating results and financial condition.</w:t>
      </w:r>
    </w:p>
    <w:p>
      <w:pPr>
        <w:spacing w:after="0" w:line="159" w:lineRule="exact"/>
        <w:rPr>
          <w:sz w:val="20"/>
          <w:szCs w:val="20"/>
          <w:color w:val="auto"/>
        </w:rPr>
      </w:pPr>
    </w:p>
    <w:p>
      <w:pPr>
        <w:ind w:right="140" w:firstLine="547"/>
        <w:spacing w:after="0" w:line="291" w:lineRule="auto"/>
        <w:rPr>
          <w:sz w:val="20"/>
          <w:szCs w:val="20"/>
          <w:color w:val="auto"/>
        </w:rPr>
      </w:pPr>
      <w:r>
        <w:rPr>
          <w:rFonts w:ascii="Arial" w:cs="Arial" w:eastAsia="Arial" w:hAnsi="Arial"/>
          <w:sz w:val="15"/>
          <w:szCs w:val="15"/>
          <w:color w:val="auto"/>
        </w:rPr>
        <w:t>Under the Amendment and the Implementation Rules, a material change in a for-profit private school shall be approved by the competent education authorities or the authorities in charge of labor and social welfare before it can be registered with the competent local branch of SAMR. If we were required to expand the authorized scope of our business license to cover our business of online education services, which shall be registered with the SAMR, to comply with applicable licensing requirements, we may not able to do so before we have obtained a private school operating permit. If any of the foregoing were to happen, our business operations may be disrupted, and our financial condition, results of operations and reputation may be materially and adversely affected.</w:t>
      </w:r>
    </w:p>
    <w:p>
      <w:pPr>
        <w:spacing w:after="0" w:line="150" w:lineRule="exact"/>
        <w:rPr>
          <w:sz w:val="20"/>
          <w:szCs w:val="20"/>
          <w:color w:val="auto"/>
        </w:rPr>
      </w:pPr>
    </w:p>
    <w:p>
      <w:pPr>
        <w:ind w:right="120" w:firstLine="547"/>
        <w:spacing w:after="0" w:line="282" w:lineRule="auto"/>
        <w:rPr>
          <w:sz w:val="20"/>
          <w:szCs w:val="20"/>
          <w:color w:val="auto"/>
        </w:rPr>
      </w:pPr>
      <w:r>
        <w:rPr>
          <w:rFonts w:ascii="Arial" w:cs="Arial" w:eastAsia="Arial" w:hAnsi="Arial"/>
          <w:sz w:val="15"/>
          <w:szCs w:val="15"/>
          <w:color w:val="auto"/>
        </w:rPr>
        <w:t>Moreover, the MOE, jointly with certain other PRC government authorities, promulgated the Opinions on Guiding and Regulating the Orderly and Healthy Development of Educational Mobile Apps on August 10, 2019, or the Opinions on Educational Apps, which requires, among others, mobile apps that offer services for school teaching and management, student learning and student life, or home-school interactions, with school faculty, students or parents as the main users, and with education or learning as the main application scenarios, be filed with the competent provincial regulatory authorities for education before the end of 2019. In addition, on November 11, 2019, MOE issued the Administrative Measures on Filing of Educational Mobile Apps, which requires, among others, that filings of existing educational mobile apps shall be completed before January 30, 2020. See “Item 4. Information on the Company—4.B. Business Overview—Regulations—Regulations on Online and Distance Education.” Our educational mobile apps Shangde Jigou and Shangde Zikao have been filed with competent regulatory authority as required under the Opinions on Educational Apps. However, as the Opinions on Educational Apps are relatively new and evolving, we cannot assure you that we are in full compliance with all relevant rules and will be able to complete or maintain such filing in relation with any of our new apps and comply with other regulatory requirements under the Opinions on Educational Apps in a timely manner, or at all. If we fail to promptly complete such filing and comply with other applicable regulatory requirements, we may be subject to fines, regulatory orders to suspend our operations or other regulatory and disciplinary sanctions.</w:t>
      </w:r>
    </w:p>
    <w:p>
      <w:pPr>
        <w:spacing w:after="0" w:line="162" w:lineRule="exact"/>
        <w:rPr>
          <w:sz w:val="20"/>
          <w:szCs w:val="20"/>
          <w:color w:val="auto"/>
        </w:rPr>
      </w:pPr>
    </w:p>
    <w:p>
      <w:pPr>
        <w:ind w:firstLine="547"/>
        <w:spacing w:after="0" w:line="304" w:lineRule="auto"/>
        <w:rPr>
          <w:sz w:val="20"/>
          <w:szCs w:val="20"/>
          <w:color w:val="auto"/>
        </w:rPr>
      </w:pPr>
      <w:r>
        <w:rPr>
          <w:rFonts w:ascii="Arial" w:cs="Arial" w:eastAsia="Arial" w:hAnsi="Arial"/>
          <w:sz w:val="15"/>
          <w:szCs w:val="15"/>
          <w:color w:val="auto"/>
        </w:rPr>
        <w:t>In addition to the existing regulatory regime, it is uncertain whether and how the PRC government would promulgate additional laws and regulations regarding the online education industry, and there is no assurance that we can comply with any such newly promulgated laws and regulations in a timely manner, or at all. Our failure to fully comply with these existing and future laws and regulations may materially and adversely affect our business, financial condition and results of operations.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We face regulatory risks and uncertainties associated with our teachers’ lack of teaching licenses.</w:t>
      </w:r>
    </w:p>
    <w:p>
      <w:pPr>
        <w:spacing w:after="0" w:line="103" w:lineRule="exact"/>
        <w:rPr>
          <w:sz w:val="20"/>
          <w:szCs w:val="20"/>
          <w:color w:val="auto"/>
        </w:rPr>
      </w:pPr>
    </w:p>
    <w:p>
      <w:pPr>
        <w:ind w:right="120" w:firstLine="547"/>
        <w:spacing w:after="0" w:line="254" w:lineRule="auto"/>
        <w:rPr>
          <w:sz w:val="20"/>
          <w:szCs w:val="20"/>
          <w:color w:val="auto"/>
        </w:rPr>
      </w:pPr>
      <w:r>
        <w:rPr>
          <w:rFonts w:ascii="Arial" w:cs="Arial" w:eastAsia="Arial" w:hAnsi="Arial"/>
          <w:sz w:val="17"/>
          <w:szCs w:val="17"/>
          <w:color w:val="auto"/>
        </w:rPr>
        <w:t>Pursuant to the Implementation Rules, the teachers employed by a for-profit private school shall obtain the teaching licenses or relevant professional skill qualifications required by PRC laws and regulations, although the definition or the scope of the “relevant professional skill qualifications” is not explicitly stated in the Implementation Rules. A substantial majority of our teachers currently do not hold teaching licenses.</w:t>
      </w:r>
    </w:p>
    <w:p>
      <w:pPr>
        <w:spacing w:after="0" w:line="177" w:lineRule="exact"/>
        <w:rPr>
          <w:sz w:val="20"/>
          <w:szCs w:val="20"/>
          <w:color w:val="auto"/>
        </w:rPr>
      </w:pPr>
    </w:p>
    <w:p>
      <w:pPr>
        <w:ind w:right="60" w:firstLine="547"/>
        <w:spacing w:after="0" w:line="286" w:lineRule="auto"/>
        <w:rPr>
          <w:sz w:val="20"/>
          <w:szCs w:val="20"/>
          <w:color w:val="auto"/>
        </w:rPr>
      </w:pPr>
      <w:r>
        <w:rPr>
          <w:rFonts w:ascii="Arial" w:cs="Arial" w:eastAsia="Arial" w:hAnsi="Arial"/>
          <w:sz w:val="15"/>
          <w:szCs w:val="15"/>
          <w:color w:val="auto"/>
        </w:rPr>
        <w:t>As of the date of this annual report, we have not received any notice of warning or been subject to any penalties or disciplinary action from government authorities due to the lack of teaching licenses. The current PRC laws and regulations, including the Amendment and the Implementation Rules, remain unclear as to whether the teachers of an online education service provider who provides non-diploma post-secondary and professional education like us are required to obtain and hold teaching licenses. We cannot assure you that the PRC government authorities will not take a contrary view. In the event that in the future our teachers are required by laws to obtain teaching licenses, we cannot assure you that they can meet the requirements for applying for teaching licenses. If our teachers are not able to apply for and obtain the teaching licenses on a timely basis, or at all, we may be ordered to rectify such noncompliance or subject to penalties under the then-effective PRC laws and regulations, in which case our business may be disrupted, and our financial condition, reputation and prospects would be materially and adversely affected.</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regulatory risks and uncertainties with respect to the licensing requirement for the online transmission of internet audio-visual programs.</w:t>
      </w:r>
    </w:p>
    <w:p>
      <w:pPr>
        <w:spacing w:after="0" w:line="115" w:lineRule="exact"/>
        <w:rPr>
          <w:sz w:val="20"/>
          <w:szCs w:val="20"/>
          <w:color w:val="auto"/>
        </w:rPr>
      </w:pPr>
    </w:p>
    <w:p>
      <w:pPr>
        <w:ind w:right="20" w:firstLine="547"/>
        <w:spacing w:after="0" w:line="262" w:lineRule="auto"/>
        <w:rPr>
          <w:sz w:val="20"/>
          <w:szCs w:val="20"/>
          <w:color w:val="auto"/>
        </w:rPr>
      </w:pPr>
      <w:r>
        <w:rPr>
          <w:rFonts w:ascii="Arial" w:cs="Arial" w:eastAsia="Arial" w:hAnsi="Arial"/>
          <w:sz w:val="16"/>
          <w:szCs w:val="16"/>
          <w:color w:val="auto"/>
        </w:rPr>
        <w:t>On December 20, 2007, the State Administration of Press Publication Radio Film and Television, or SAPPRFT, and the Ministry of Industry and Information Technology, or MIIT, jointly promulgated the Administrative Provisions on Internet Audio Visual Program Services, or the Audio Visual Program Provisions, which became effective on January 31, 2008 and were amended on August 28, 2015. Among other things, the Audio Visual Program Provisions stipulate that no entities or individuals may provide Internet audio-visual program services without a License for Online Transmission of Audio-Visual Programs issued by SAPPRFT or completing the relevant filing with SAPPRFT or its local bureaus, and only state-owned or state-controlled entities are eligible to apply for a License for Online Transmission of Audio Visual Programs. On April 1, 2010, SAPPRFT promulgated the Provisional Implementations of Tentative Categories of Internet Audio Visual Program Services, or the Categories, which clarified the scope of Internet audio-visual programs services, which was amended on March 10, 2017. According to the Categories, there are four categories of Internet audio-visual program services which are further divided into seventeen sub-categories. Sub-category No. 3 to the second category covers the making and editing of certain specialized audio-visual programs concerning, among other things, educational content, and broadcasting such content to the general public online. Sub-category No. 5 of the first category and sub-category No. 7 of the second category cover the live broadcasting of important political, martial, economic, social, cultural, sports activities or events or general social or community cultural activities, sports games and other organized activities. However, there are still significant uncertainties relating to the interpretation and implementation of the Audio Visual Program Provisions, in particular, the scope of “internet audio-visual programs.” See “Item 4. Information on the Company—4.B. Business Overview—Regulations—Regulations Relating to Online Transmission of Audio-Visual Programs.”</w:t>
      </w:r>
    </w:p>
    <w:p>
      <w:pPr>
        <w:spacing w:after="0" w:line="178" w:lineRule="exact"/>
        <w:rPr>
          <w:sz w:val="20"/>
          <w:szCs w:val="20"/>
          <w:color w:val="auto"/>
        </w:rPr>
      </w:pPr>
    </w:p>
    <w:p>
      <w:pPr>
        <w:ind w:right="40" w:firstLine="547"/>
        <w:spacing w:after="0" w:line="247" w:lineRule="auto"/>
        <w:rPr>
          <w:sz w:val="20"/>
          <w:szCs w:val="20"/>
          <w:color w:val="auto"/>
        </w:rPr>
      </w:pPr>
      <w:r>
        <w:rPr>
          <w:rFonts w:ascii="Arial" w:cs="Arial" w:eastAsia="Arial" w:hAnsi="Arial"/>
          <w:sz w:val="17"/>
          <w:szCs w:val="17"/>
          <w:color w:val="auto"/>
        </w:rPr>
        <w:t>We deliver our courses in live streaming format. Our teachers and students communicate and interact live with each other via our virtual learning community. The audio and video data are transmitted through the platforms between specific recipients instantly without any further redaction. We believe the nature of the raw data we transmit distinguishes us from general providers of internet audio-visual program services, such as the operator of online video websites, and the provision of the Audio-Visual Program Provisions are not applicable with regard to our offering of the courses. However, we cannot assure you that the competent PRC government authorities will not ultimately take a view contrary to our opinion. In addition, we also offer video recordings of live streaming courses and certain other audio-video contents on our online platforms to our students as supplementary course materials. If the government authorities determine that our offering of the courses fall within the relevant category of Internet audio-visual program services under the Categories, we may be required to obtain the License for Online Transmission of Audio Visual Programs.</w:t>
      </w:r>
    </w:p>
    <w:p>
      <w:pPr>
        <w:spacing w:after="0" w:line="184" w:lineRule="exact"/>
        <w:rPr>
          <w:sz w:val="20"/>
          <w:szCs w:val="20"/>
          <w:color w:val="auto"/>
        </w:rPr>
      </w:pPr>
    </w:p>
    <w:p>
      <w:pPr>
        <w:ind w:firstLine="547"/>
        <w:spacing w:after="0" w:line="288" w:lineRule="auto"/>
        <w:rPr>
          <w:sz w:val="20"/>
          <w:szCs w:val="20"/>
          <w:color w:val="auto"/>
        </w:rPr>
      </w:pPr>
      <w:r>
        <w:rPr>
          <w:rFonts w:ascii="Arial" w:cs="Arial" w:eastAsia="Arial" w:hAnsi="Arial"/>
          <w:sz w:val="15"/>
          <w:szCs w:val="15"/>
          <w:color w:val="auto"/>
        </w:rPr>
        <w:t>The Categories describe “Internet audio-visual program services” in a very broad, vague manner and are unclear as to whether online courses, whether delivered in a live streaming format or through video recordings, fall into the definition of audio-visual programs. We have made inquiries to the relevant bureaus of SAPPRFT and were informed that online educational content provided through live streaming or recorded courses does not fall within the scope of internet audio-visual programs, the transmission of which does not require a License for Online Transmission of Audio-Visual Programs. We cannot assure you that the PRC government will not ultimately take a view that live streaming or recorded courses or any other content offered on our platforms are subject to the Audio Visual Program Provisions. We currently do not hold a License for Online Transmission of Audio Visual Programs, and since we are not a state-owned or state-controlled entity, we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12" w:name="page13"/>
    <w:bookmarkEnd w:id="12"/>
    <w:p>
      <w:pPr>
        <w:spacing w:after="0" w:line="248" w:lineRule="auto"/>
        <w:rPr>
          <w:sz w:val="20"/>
          <w:szCs w:val="20"/>
          <w:color w:val="auto"/>
        </w:rPr>
      </w:pPr>
      <w:r>
        <w:rPr>
          <w:rFonts w:ascii="Arial" w:cs="Arial" w:eastAsia="Arial" w:hAnsi="Arial"/>
          <w:sz w:val="17"/>
          <w:szCs w:val="17"/>
          <w:color w:val="auto"/>
        </w:rPr>
        <w:t>are not eligible to apply for such license. If the PRC government determines that our content should be considered as “internet audio-visual programs” for the purpose of the Audio-Visual Program Provisions, we may be required to obtain a License for Online Transmission of Audio Visual Programs. We are, however, not eligible apply for such license since we are not a state-owned or state-controlled entity. If this were to occur, we may be subject to penalties, fines, legal sanctions or an order to suspend the provision of our live streaming courses. As of the date of this annual report, we have not received any notice of warning or been subject to penalties or other disciplinary action from the relevant governmental authorities regarding the lack of a License for Online Transmission of Audio Visual Programs in conducting of our business.</w:t>
      </w:r>
    </w:p>
    <w:p>
      <w:pPr>
        <w:spacing w:after="0" w:line="283"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b w:val="1"/>
          <w:bCs w:val="1"/>
          <w:i w:val="1"/>
          <w:iCs w:val="1"/>
          <w:color w:val="auto"/>
        </w:rPr>
        <w:t>Our failure to obtain and maintain other approvals, licenses, permits or filings applicable to our business could have a material adverse impact on our business, financial conditions and results of operations.</w:t>
      </w:r>
    </w:p>
    <w:p>
      <w:pPr>
        <w:spacing w:after="0" w:line="68" w:lineRule="exact"/>
        <w:rPr>
          <w:sz w:val="20"/>
          <w:szCs w:val="20"/>
          <w:color w:val="auto"/>
        </w:rPr>
      </w:pPr>
    </w:p>
    <w:p>
      <w:pPr>
        <w:ind w:right="20" w:firstLine="547"/>
        <w:spacing w:after="0" w:line="278" w:lineRule="auto"/>
        <w:rPr>
          <w:sz w:val="20"/>
          <w:szCs w:val="20"/>
          <w:color w:val="auto"/>
        </w:rPr>
      </w:pPr>
      <w:r>
        <w:rPr>
          <w:rFonts w:ascii="Arial" w:cs="Arial" w:eastAsia="Arial" w:hAnsi="Arial"/>
          <w:sz w:val="16"/>
          <w:szCs w:val="16"/>
          <w:color w:val="auto"/>
        </w:rPr>
        <w:t>A number of PRC regulatory authorities, such as the SAMR, the Cyberspace Administration of China, the MITT, the SAPPRFT, and the State Council Information Office, the Ministry of Civil Affairs, and the Ministry of Human Resources and Social Welfare, oversee different aspects of our business operations, and we are required to obtain a wide range of government approvals, licenses, permits and filings in connection with our operations.</w:t>
      </w:r>
    </w:p>
    <w:p>
      <w:pPr>
        <w:spacing w:after="0" w:line="158" w:lineRule="exact"/>
        <w:rPr>
          <w:sz w:val="20"/>
          <w:szCs w:val="20"/>
          <w:color w:val="auto"/>
        </w:rPr>
      </w:pPr>
    </w:p>
    <w:p>
      <w:pPr>
        <w:ind w:firstLine="547"/>
        <w:spacing w:after="0" w:line="269" w:lineRule="auto"/>
        <w:rPr>
          <w:sz w:val="20"/>
          <w:szCs w:val="20"/>
          <w:color w:val="auto"/>
        </w:rPr>
      </w:pPr>
      <w:r>
        <w:rPr>
          <w:rFonts w:ascii="Arial" w:cs="Arial" w:eastAsia="Arial" w:hAnsi="Arial"/>
          <w:sz w:val="16"/>
          <w:szCs w:val="16"/>
          <w:color w:val="auto"/>
        </w:rPr>
        <w:t>We currently do not hold several approvals, licenses and permits that are required for certain aspects of our business operations. Under the current PRC laws and regulations, the provision of our educational content through our online platform may be considered “online publishing” and may require us to obtain an Internet Publishing License, which we currently do not have. See “Item 4. Information on the Company—4.B. Business Overview—Regulations—Regulations Relating to Online Publishing.” As of the date of this annual report, we have submitted an application to the competent government authorities for the approval of an Internet Publishing License. However, we may not be able to receive the approval for such licenses in a timely manner, or at all.</w:t>
      </w:r>
    </w:p>
    <w:p>
      <w:pPr>
        <w:spacing w:after="0" w:line="165" w:lineRule="exact"/>
        <w:rPr>
          <w:sz w:val="20"/>
          <w:szCs w:val="20"/>
          <w:color w:val="auto"/>
        </w:rPr>
      </w:pPr>
    </w:p>
    <w:p>
      <w:pPr>
        <w:ind w:firstLine="547"/>
        <w:spacing w:after="0" w:line="282" w:lineRule="auto"/>
        <w:rPr>
          <w:sz w:val="20"/>
          <w:szCs w:val="20"/>
          <w:color w:val="auto"/>
        </w:rPr>
      </w:pPr>
      <w:r>
        <w:rPr>
          <w:rFonts w:ascii="Arial" w:cs="Arial" w:eastAsia="Arial" w:hAnsi="Arial"/>
          <w:sz w:val="15"/>
          <w:szCs w:val="15"/>
          <w:color w:val="auto"/>
        </w:rPr>
        <w:t>One of our subsidiaries, Wuhan Shangde, has registered “online educational training” in its authorized scope of business. However, our VIEs, and certain of their operating subsidiaries currently do not include “occupational training” and “educational facilitation services” in their authorized scope of business. Based on our consultation with the competent government authorities in Beijing, such government authorities currently may not accept applications for inclusion of “occupational training,” “educational facilitation services” or similar items in the scope of business of companies that do not hold a private school operating permit. For additional information about the private school operating permit, see “—We face risks associated with our lack of a private school operating permit for our online education services as well as uncertainties surrounding PRC laws and regulations governing the education industry in general, including the Law for Promoting Private Education and its Implementation Rules.” Even if our application were to be accepted, there is no assurance that it will be approved by the government authorities in a timely fashion, or at all. If it comes to the attention of the government authorities that our VIEs and their operating subsidiaries are operating beyond their respective authorized scope of business, we may be subject to fines, confiscation of the gains derived from the noncompliant operations, or may be required to cease our VIEs’ noncompliant operations. In addition, we deliver courses in live streaming format on our proprietary live streaming platform which the relevant authorities may regard as a live-streaming platform and may thus require us to make necessary filings as a live-streaming platform. See “Item 4. Information on the Company—4.B. Business Overview —Regulations—Regulations Relating to Internet Live Streaming Services.”</w:t>
      </w:r>
    </w:p>
    <w:p>
      <w:pPr>
        <w:spacing w:after="0" w:line="159" w:lineRule="exact"/>
        <w:rPr>
          <w:sz w:val="20"/>
          <w:szCs w:val="20"/>
          <w:color w:val="auto"/>
        </w:rPr>
      </w:pPr>
    </w:p>
    <w:p>
      <w:pPr>
        <w:ind w:right="120" w:firstLine="547"/>
        <w:spacing w:after="0" w:line="266" w:lineRule="auto"/>
        <w:rPr>
          <w:sz w:val="20"/>
          <w:szCs w:val="20"/>
          <w:color w:val="auto"/>
        </w:rPr>
      </w:pPr>
      <w:r>
        <w:rPr>
          <w:rFonts w:ascii="Arial" w:cs="Arial" w:eastAsia="Arial" w:hAnsi="Arial"/>
          <w:sz w:val="16"/>
          <w:szCs w:val="16"/>
          <w:color w:val="auto"/>
        </w:rPr>
        <w:t>As of the date of this annual report, we have not been subject to any fines or other form of regulatory or administrative penalties or sanctions due to the lack of any the above-mentioned approvals, licenses or, permits or filings. However, we cannot guarantee that the government authorities will not impose any penalties or sanctions on us in the future, which may include warnings, fines, mandates to remedy any violations, confiscation of the gains derived from the services for which approvals, licenses, permits or filings are required, and/or an order to cease to provide such services. In addition, we cannot guarantee that the government will not promulgate new laws and regulations that require additional licenses, permits, approvals and/or filings for the operation of any of our existing or future business. If we are unable to obtain such licenses, permits, approvals or filings in a timely fashion, we could be subject to penalties and operational disruption and our financial condition and results of operations could be adversely affected.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continue to recruit, train and retain a sufficient number of qualified faculty members.</w:t>
      </w:r>
    </w:p>
    <w:p>
      <w:pPr>
        <w:spacing w:after="0" w:line="103" w:lineRule="exact"/>
        <w:rPr>
          <w:sz w:val="20"/>
          <w:szCs w:val="20"/>
          <w:color w:val="auto"/>
        </w:rPr>
      </w:pPr>
    </w:p>
    <w:p>
      <w:pPr>
        <w:ind w:right="40" w:firstLine="547"/>
        <w:spacing w:after="0" w:line="278" w:lineRule="auto"/>
        <w:rPr>
          <w:sz w:val="20"/>
          <w:szCs w:val="20"/>
          <w:color w:val="auto"/>
        </w:rPr>
      </w:pPr>
      <w:r>
        <w:rPr>
          <w:rFonts w:ascii="Arial" w:cs="Arial" w:eastAsia="Arial" w:hAnsi="Arial"/>
          <w:sz w:val="16"/>
          <w:szCs w:val="16"/>
          <w:color w:val="auto"/>
        </w:rPr>
        <w:t>Our faculty members are key to the quality of our educational services, as well as our brand and reputation. Our ability to continue to attract faculty members, including teachers and mentors, with necessary experience and qualifications is a key driver in the success of our business. We seek to recruit qualified faculty members who are dedicated to teaching and are able to communicate with our students in an interactive online setting.</w:t>
      </w:r>
    </w:p>
    <w:p>
      <w:pPr>
        <w:spacing w:after="0" w:line="158" w:lineRule="exact"/>
        <w:rPr>
          <w:sz w:val="20"/>
          <w:szCs w:val="20"/>
          <w:color w:val="auto"/>
        </w:rPr>
      </w:pPr>
    </w:p>
    <w:p>
      <w:pPr>
        <w:ind w:right="260" w:firstLine="547"/>
        <w:spacing w:after="0" w:line="304" w:lineRule="auto"/>
        <w:rPr>
          <w:sz w:val="20"/>
          <w:szCs w:val="20"/>
          <w:color w:val="auto"/>
        </w:rPr>
      </w:pPr>
      <w:r>
        <w:rPr>
          <w:rFonts w:ascii="Arial" w:cs="Arial" w:eastAsia="Arial" w:hAnsi="Arial"/>
          <w:sz w:val="15"/>
          <w:szCs w:val="15"/>
          <w:color w:val="auto"/>
        </w:rPr>
        <w:t>Additionally, given the interactive nature of our live streaming lessons, we tend to hire teachers and mentors with strong education background and good communication skills enabling them to engage and interact with students. The market for recruitment of faculty members in China is competitive. In order to recruit qualified full-time teachers and mentors, we must provide candidates with competitive compensation packages and offer attractive career development opportunities.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13" w:name="page14"/>
    <w:bookmarkEnd w:id="13"/>
    <w:p>
      <w:pPr>
        <w:ind w:right="60"/>
        <w:spacing w:after="0" w:line="254" w:lineRule="auto"/>
        <w:rPr>
          <w:sz w:val="20"/>
          <w:szCs w:val="20"/>
          <w:color w:val="auto"/>
        </w:rPr>
      </w:pPr>
      <w:r>
        <w:rPr>
          <w:rFonts w:ascii="Arial" w:cs="Arial" w:eastAsia="Arial" w:hAnsi="Arial"/>
          <w:sz w:val="17"/>
          <w:szCs w:val="17"/>
          <w:color w:val="auto"/>
        </w:rPr>
        <w:t>Although we have not experienced major difficulties in recruiting or training qualified teachers and mentors in the past, we cannot guarantee we will be able to continue to recruit, train and retain a sufficient number of qualified faculty members in the future as we continue to expand our course offerings and business scale, which may have a material adverse effect on our business, financial condition and results of operations.</w:t>
      </w:r>
    </w:p>
    <w:p>
      <w:pPr>
        <w:spacing w:after="0" w:line="276"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b w:val="1"/>
          <w:bCs w:val="1"/>
          <w:i w:val="1"/>
          <w:iCs w:val="1"/>
          <w:color w:val="auto"/>
        </w:rPr>
        <w:t>We may not be able to timely improve or expand our course and educational content offerings in a cost-effective manner to make them appealing to existing and prospective students, or at all.</w:t>
      </w:r>
    </w:p>
    <w:p>
      <w:pPr>
        <w:spacing w:after="0" w:line="68" w:lineRule="exact"/>
        <w:rPr>
          <w:sz w:val="20"/>
          <w:szCs w:val="20"/>
          <w:color w:val="auto"/>
        </w:rPr>
      </w:pPr>
    </w:p>
    <w:p>
      <w:pPr>
        <w:ind w:right="20" w:firstLine="547"/>
        <w:spacing w:after="0" w:line="264" w:lineRule="auto"/>
        <w:rPr>
          <w:sz w:val="20"/>
          <w:szCs w:val="20"/>
          <w:color w:val="auto"/>
        </w:rPr>
      </w:pPr>
      <w:r>
        <w:rPr>
          <w:rFonts w:ascii="Arial" w:cs="Arial" w:eastAsia="Arial" w:hAnsi="Arial"/>
          <w:sz w:val="16"/>
          <w:szCs w:val="16"/>
          <w:color w:val="auto"/>
        </w:rPr>
        <w:t>We regularly and constantly update our existing courses and educational content and develop new courses and educational content to meet student’s demand and the latest market trends. The revisions, improvements and expansions of our existing course and content offerings and the development of new course and content offerings may not be accepted by existing or prospective students. Even if we are able to develop acceptable new course and educational content offerings, we may not be able to introduce them as quickly as students require or as quickly as our competitors introduce competing offerings. The process of performing detailed market research and recruiting qualified faculty for new course and educational content offerings could be costly and time-consuming. Furthermore, offering new courses or content or upgrading existing ones may require us to make significant investments in educational content development, increase sales and marketing efforts and reallocate resources from other uses, all of which may not be successful. If we are unsuccessful in pursuing course and educational content development and upgrading opportunities due to the financial constraints, failure to attract qualified faculty, or other factors, our ability to attract and retain students could be impaired and our financial results could suffer.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our online live streaming course delivery model.</w:t>
      </w:r>
    </w:p>
    <w:p>
      <w:pPr>
        <w:spacing w:after="0" w:line="103" w:lineRule="exact"/>
        <w:rPr>
          <w:sz w:val="20"/>
          <w:szCs w:val="20"/>
          <w:color w:val="auto"/>
        </w:rPr>
      </w:pPr>
    </w:p>
    <w:p>
      <w:pPr>
        <w:ind w:firstLine="547"/>
        <w:spacing w:after="0" w:line="265" w:lineRule="auto"/>
        <w:rPr>
          <w:sz w:val="20"/>
          <w:szCs w:val="20"/>
          <w:color w:val="auto"/>
        </w:rPr>
      </w:pPr>
      <w:r>
        <w:rPr>
          <w:rFonts w:ascii="Arial" w:cs="Arial" w:eastAsia="Arial" w:hAnsi="Arial"/>
          <w:sz w:val="16"/>
          <w:szCs w:val="16"/>
          <w:color w:val="auto"/>
        </w:rPr>
        <w:t>We believe that, even with the proliferation of internet and mobile devices in China, some of our target students may still be inclined to choose traditional face-to-face lessons offered by offline learning providers over online courses as they find the former more intimate and reliable. We cannot assure you that our live streaming course delivery format will continue to be attractive to our students in the future. If our live streaming course delivery model becomes less appealing to our students, our business and prospects may be affected. In addition, there is no assurance that our live streaming capacity will be able to support a growing number of students accessing our courses online without any service interruptions. Furthermore, we cannot assure that we will be able to address PRC regulatory and legislative developments relating to online streaming business. See “—We face regulatory risks and uncertainties with respect to the licensing requirement for the online transmission of internet audio-visual programs” and “—Our failure to obtain and maintain other approvals, licenses, permits or filings applicable to our business could have a material adverse impact on our business, financial conditions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the risks associated with third-party live streaming service providers.</w:t>
      </w:r>
    </w:p>
    <w:p>
      <w:pPr>
        <w:spacing w:after="0" w:line="103" w:lineRule="exact"/>
        <w:rPr>
          <w:sz w:val="20"/>
          <w:szCs w:val="20"/>
          <w:color w:val="auto"/>
        </w:rPr>
      </w:pPr>
    </w:p>
    <w:p>
      <w:pPr>
        <w:ind w:firstLine="547"/>
        <w:spacing w:after="0" w:line="248" w:lineRule="auto"/>
        <w:rPr>
          <w:sz w:val="20"/>
          <w:szCs w:val="20"/>
          <w:color w:val="auto"/>
        </w:rPr>
      </w:pPr>
      <w:r>
        <w:rPr>
          <w:rFonts w:ascii="Arial" w:cs="Arial" w:eastAsia="Arial" w:hAnsi="Arial"/>
          <w:sz w:val="17"/>
          <w:szCs w:val="17"/>
          <w:color w:val="auto"/>
        </w:rPr>
        <w:t>Currently, while we rely on our proprietary live streaming platform to deliver online courses, we also use certain third-party vendors to provide live streaming services to support our online course delivery. Because the live streaming technologies and infrastructure are owned and managed by third parties, any problems with the reliability and performance of such technologies and infrastructure could result in unanticipated delays and unscheduled service interruption could further cause us to be unable to deliver our courses in a live streaming format, forcing us to resort to using prerecorded lectures. Our inability to deliver live streaming courses during service interruptions may damage the quality of our education service and student engagement and experience and negatively impact our reputation, financial condition and results of operations.</w:t>
      </w:r>
    </w:p>
    <w:p>
      <w:pPr>
        <w:spacing w:after="0" w:line="183" w:lineRule="exact"/>
        <w:rPr>
          <w:sz w:val="20"/>
          <w:szCs w:val="20"/>
          <w:color w:val="auto"/>
        </w:rPr>
      </w:pPr>
    </w:p>
    <w:p>
      <w:pPr>
        <w:ind w:right="20" w:firstLine="547"/>
        <w:spacing w:after="0" w:line="272" w:lineRule="auto"/>
        <w:rPr>
          <w:sz w:val="20"/>
          <w:szCs w:val="20"/>
          <w:color w:val="auto"/>
        </w:rPr>
      </w:pPr>
      <w:r>
        <w:rPr>
          <w:rFonts w:ascii="Arial" w:cs="Arial" w:eastAsia="Arial" w:hAnsi="Arial"/>
          <w:sz w:val="16"/>
          <w:szCs w:val="16"/>
          <w:color w:val="auto"/>
        </w:rPr>
        <w:t>We do not maintain long-term arrangements with our live streaming service providers. The term of the service agreements we enter into with third-party live streaming service providers are generally one year. If we cannot renew such agreements upon their expirations or terminations on commercially reasonable terms, or at all, or if the live streaming service providers become unwilling or unable to provide us with live streaming services at any time for any reasons, our ability to deliver live streaming online courses will be severely impacted, and our students’ learning experience and our reputation will be harmed.</w:t>
      </w:r>
    </w:p>
    <w:p>
      <w:pPr>
        <w:spacing w:after="0" w:line="262"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b w:val="1"/>
          <w:bCs w:val="1"/>
          <w:i w:val="1"/>
          <w:iCs w:val="1"/>
          <w:color w:val="auto"/>
        </w:rPr>
        <w:t>Failure to adequately and promptly respond to changes in the exams our students must take to pursue their desired degrees, diplomas or certifications could cause our education services to be less attractive to our students.</w:t>
      </w:r>
    </w:p>
    <w:p>
      <w:pPr>
        <w:spacing w:after="0" w:line="68" w:lineRule="exact"/>
        <w:rPr>
          <w:sz w:val="20"/>
          <w:szCs w:val="20"/>
          <w:color w:val="auto"/>
        </w:rPr>
      </w:pPr>
    </w:p>
    <w:p>
      <w:pPr>
        <w:ind w:right="20" w:firstLine="547"/>
        <w:spacing w:after="0" w:line="295" w:lineRule="auto"/>
        <w:rPr>
          <w:sz w:val="20"/>
          <w:szCs w:val="20"/>
          <w:color w:val="auto"/>
        </w:rPr>
      </w:pPr>
      <w:r>
        <w:rPr>
          <w:rFonts w:ascii="Arial" w:cs="Arial" w:eastAsia="Arial" w:hAnsi="Arial"/>
          <w:sz w:val="15"/>
          <w:szCs w:val="15"/>
          <w:color w:val="auto"/>
        </w:rPr>
        <w:t>There have been continuous changes in the curriculum requirements associated with, and the format of, the exams our existing and prospective students must take to pursue their desired degrees, diplomas or certifications, the manner in which the exams are administered, as well as topics frequently tested in the exams. These changes require us to continually update and enhance our course offerings, our educational content and our teaching methods. Any inability to track and respond to these changes in a timely and cost-effective manner would make our education services less attractive to students, which may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4" w:name="page15"/>
    <w:bookmarkEnd w:id="14"/>
    <w:p>
      <w:pPr>
        <w:spacing w:after="0" w:line="254" w:lineRule="auto"/>
        <w:rPr>
          <w:sz w:val="20"/>
          <w:szCs w:val="20"/>
          <w:color w:val="auto"/>
        </w:rPr>
      </w:pPr>
      <w:r>
        <w:rPr>
          <w:rFonts w:ascii="Arial" w:cs="Arial" w:eastAsia="Arial" w:hAnsi="Arial"/>
          <w:sz w:val="17"/>
          <w:szCs w:val="17"/>
          <w:color w:val="auto"/>
        </w:rPr>
        <w:t>materially and adversely affect our reputation and ability to continue to attract students without a significant decrease in our tuition. In addition, as we further expand our course offerings, we cannot assure that we will be able to adapt our existing educational content and methods to new courses that we have limited experience in teaching.</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risks associated with the installment tuition payment plan we offer to our students.</w:t>
      </w:r>
    </w:p>
    <w:p>
      <w:pPr>
        <w:spacing w:after="0" w:line="103" w:lineRule="exact"/>
        <w:rPr>
          <w:sz w:val="20"/>
          <w:szCs w:val="20"/>
          <w:color w:val="auto"/>
        </w:rPr>
      </w:pPr>
    </w:p>
    <w:p>
      <w:pPr>
        <w:ind w:firstLine="547"/>
        <w:spacing w:after="0" w:line="286" w:lineRule="auto"/>
        <w:rPr>
          <w:sz w:val="20"/>
          <w:szCs w:val="20"/>
          <w:color w:val="auto"/>
        </w:rPr>
      </w:pPr>
      <w:r>
        <w:rPr>
          <w:rFonts w:ascii="Arial" w:cs="Arial" w:eastAsia="Arial" w:hAnsi="Arial"/>
          <w:sz w:val="15"/>
          <w:szCs w:val="15"/>
          <w:color w:val="auto"/>
        </w:rPr>
        <w:t>In 2015, we launched an installment payment option enabling eligible students to obtain loans from accredited third-party credit providers in China to finance all or part of their tuition. The third-party credit providers are responsible for performing credit assessment, approving loan applications, providing the funds, and collecting delinquent loan payments. Under the loan agreement between the borrowing student and the lending credit provider, the borrowing student is obligated to repay the loan principal in installments over a period ranging from three to 18 months. Under the cooperation agreement between us and each credit provider, we are obligated to pay the full amount of interest payable under a loan, as financial service fees, to the credit provider. We do not provide any guarantees for the repayment of student loans in favor of the credit providers. In 2018, 2019 and 2020, our student loan coverage ratio was 78.3%, 70.4% and 54.9%, respectively. For the same periods, we made interest payments of RMB159.9 million, RMB118.0 million and RMB83.3 million (US$12.8 million), respectively, to the credit providers.</w:t>
      </w:r>
    </w:p>
    <w:p>
      <w:pPr>
        <w:spacing w:after="0" w:line="156" w:lineRule="exact"/>
        <w:rPr>
          <w:sz w:val="20"/>
          <w:szCs w:val="20"/>
          <w:color w:val="auto"/>
        </w:rPr>
      </w:pPr>
    </w:p>
    <w:p>
      <w:pPr>
        <w:ind w:right="60" w:firstLine="547"/>
        <w:spacing w:after="0" w:line="249" w:lineRule="auto"/>
        <w:rPr>
          <w:sz w:val="20"/>
          <w:szCs w:val="20"/>
          <w:color w:val="auto"/>
        </w:rPr>
      </w:pPr>
      <w:r>
        <w:rPr>
          <w:rFonts w:ascii="Arial" w:cs="Arial" w:eastAsia="Arial" w:hAnsi="Arial"/>
          <w:sz w:val="17"/>
          <w:szCs w:val="17"/>
          <w:color w:val="auto"/>
        </w:rPr>
        <w:t>As part of our long-term sales and marketing strategy, we plan to continue to make the interest payments for our students under their loans and pay service fees to the credit providers, which may place significant strains on our financial resources as our student enrollments continue to grow. We may be subject to risks associated with an increase in interest rates to the extent that we continue to make interest payments for the loans taken by our students. If we cease to do so due to increases in interest rates or for other reasons, our course packages may become more costly for our students to purchase, which could in turn negatively impact our business, financial condition and reputation.</w:t>
      </w:r>
    </w:p>
    <w:p>
      <w:pPr>
        <w:spacing w:after="0" w:line="182" w:lineRule="exact"/>
        <w:rPr>
          <w:sz w:val="20"/>
          <w:szCs w:val="20"/>
          <w:color w:val="auto"/>
        </w:rPr>
      </w:pPr>
    </w:p>
    <w:p>
      <w:pPr>
        <w:ind w:right="40" w:firstLine="547"/>
        <w:spacing w:after="0" w:line="248" w:lineRule="auto"/>
        <w:rPr>
          <w:sz w:val="20"/>
          <w:szCs w:val="20"/>
          <w:color w:val="auto"/>
        </w:rPr>
      </w:pPr>
      <w:r>
        <w:rPr>
          <w:rFonts w:ascii="Arial" w:cs="Arial" w:eastAsia="Arial" w:hAnsi="Arial"/>
          <w:sz w:val="17"/>
          <w:szCs w:val="17"/>
          <w:color w:val="auto"/>
        </w:rPr>
        <w:t>The availability of funding from our existing and potential credit providers depends on many factors, such as their liquidity and capital sufficiency, the legal and regulatory environment, the general economic conditions, default rates of our students on the loans, and, where applicable, the availability of lenders on the credit providers’ platforms. In addition, our credit providers may seek to acquire borrowers independently instead of through cooperation with us. We currently work with a limited number of credit providers and we cannot assure you that our credit providers will continue to cooperate with us on commercially favorable terms, or at all, or that existing or potential credit providers will be able to provide loans in a sufficient amount to meet our students’ borrowing needs. If any of these were to occur, our course packages may become less compelling to prospective students who wish to obtain student loans, and as a result our business and financial condition may be negatively affected.</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 to or failures of our IT infrastructure could reduce student satisfaction and could harm our operations.</w:t>
      </w:r>
    </w:p>
    <w:p>
      <w:pPr>
        <w:spacing w:after="0" w:line="103" w:lineRule="exact"/>
        <w:rPr>
          <w:sz w:val="20"/>
          <w:szCs w:val="20"/>
          <w:color w:val="auto"/>
        </w:rPr>
      </w:pPr>
    </w:p>
    <w:p>
      <w:pPr>
        <w:ind w:firstLine="547"/>
        <w:spacing w:after="0" w:line="340" w:lineRule="auto"/>
        <w:rPr>
          <w:sz w:val="20"/>
          <w:szCs w:val="20"/>
          <w:color w:val="auto"/>
        </w:rPr>
      </w:pPr>
      <w:r>
        <w:rPr>
          <w:rFonts w:ascii="Arial" w:cs="Arial" w:eastAsia="Arial" w:hAnsi="Arial"/>
          <w:sz w:val="13"/>
          <w:szCs w:val="13"/>
          <w:color w:val="auto"/>
        </w:rPr>
        <w:t>The performance and reliability of our IT infrastructure is critical to our operations and reputation. We provide our course offerings and educational content to our students and faculty primarily through our applications and platforms built upon Genesis, our proprietary IT infrastructure. In addition, our employees, including our faculty and sales and marketing personnel, rely on our integrated IT infrastructure to carry out their marketing, sales, operation and teaching functions. As part of their educational experience, our students interact with their peers and our faculty via our platforms on a frequent basis. Accordingly, any errors, defects, disruptions or other performance problems with our IT infrastructure could damage our reputation, decrease student satisfaction and retention, adversely impact our ability to attract new students and expand our course offerings, and materially disrupt our operations. If any of these occur, our business operations, reputation and prospects could be harmed.</w:t>
      </w:r>
    </w:p>
    <w:p>
      <w:pPr>
        <w:spacing w:after="0" w:line="224"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b w:val="1"/>
          <w:bCs w:val="1"/>
          <w:i w:val="1"/>
          <w:iCs w:val="1"/>
          <w:color w:val="auto"/>
        </w:rPr>
        <w:t>Our business depends on the continued success of our brand “Sunlands,” and if we fail to maintain and enhance recognition of our brand, we may face difficulty enrolling new students, and our reputation and operating results may be harmed.</w:t>
      </w:r>
    </w:p>
    <w:p>
      <w:pPr>
        <w:spacing w:after="0" w:line="68" w:lineRule="exact"/>
        <w:rPr>
          <w:sz w:val="20"/>
          <w:szCs w:val="20"/>
          <w:color w:val="auto"/>
        </w:rPr>
      </w:pPr>
    </w:p>
    <w:p>
      <w:pPr>
        <w:ind w:right="20" w:firstLine="547"/>
        <w:spacing w:after="0" w:line="291" w:lineRule="auto"/>
        <w:rPr>
          <w:sz w:val="20"/>
          <w:szCs w:val="20"/>
          <w:color w:val="auto"/>
        </w:rPr>
      </w:pPr>
      <w:r>
        <w:rPr>
          <w:rFonts w:ascii="Arial" w:cs="Arial" w:eastAsia="Arial" w:hAnsi="Arial"/>
          <w:sz w:val="15"/>
          <w:szCs w:val="15"/>
          <w:color w:val="auto"/>
        </w:rPr>
        <w:t>We believe that market awareness of our brand “Sunlands” has contributed significantly to the success of our business. Maintaining and enhancing our brand are critical to our efforts to grow our student enrollments and gross billings. Failure to maintain and enhance our brand recognition could have a material and adverse effect on our business, operating results and financial condition. We have devoted significant resources to our brand promotion efforts in recent years, but we cannot assure you that these efforts will be successful. If we are unable to further enhance our brand recognition, or if we incur excessive marketing and promotion expenses, or if our brand image is negatively impacted by any negative publicity, our business and results of operations may be materially and adversely affected.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 w:name="page16"/>
    <w:bookmarkEnd w:id="15"/>
    <w:p>
      <w:pPr>
        <w:ind w:right="240"/>
        <w:spacing w:after="0" w:line="254" w:lineRule="auto"/>
        <w:rPr>
          <w:sz w:val="20"/>
          <w:szCs w:val="20"/>
          <w:color w:val="auto"/>
        </w:rPr>
      </w:pPr>
      <w:r>
        <w:rPr>
          <w:rFonts w:ascii="Arial" w:cs="Arial" w:eastAsia="Arial" w:hAnsi="Arial"/>
          <w:sz w:val="17"/>
          <w:szCs w:val="17"/>
          <w:b w:val="1"/>
          <w:bCs w:val="1"/>
          <w:i w:val="1"/>
          <w:iCs w:val="1"/>
          <w:color w:val="auto"/>
        </w:rPr>
        <w:t>Students may decide not to continue taking our courses for a number of reasons, including a perceived lack of improvement in their academic performance or general dissatisfaction with our course and educational content offerings, which may adversely affect our business, financial condition, results of operations and reputation.</w:t>
      </w:r>
    </w:p>
    <w:p>
      <w:pPr>
        <w:spacing w:after="0" w:line="77" w:lineRule="exact"/>
        <w:rPr>
          <w:sz w:val="20"/>
          <w:szCs w:val="20"/>
          <w:color w:val="auto"/>
        </w:rPr>
      </w:pPr>
    </w:p>
    <w:p>
      <w:pPr>
        <w:ind w:right="120" w:firstLine="547"/>
        <w:spacing w:after="0" w:line="288" w:lineRule="auto"/>
        <w:rPr>
          <w:sz w:val="20"/>
          <w:szCs w:val="20"/>
          <w:color w:val="auto"/>
        </w:rPr>
      </w:pPr>
      <w:r>
        <w:rPr>
          <w:rFonts w:ascii="Arial" w:cs="Arial" w:eastAsia="Arial" w:hAnsi="Arial"/>
          <w:sz w:val="15"/>
          <w:szCs w:val="15"/>
          <w:color w:val="auto"/>
        </w:rPr>
        <w:t>The success of our business depends on our ability to deliver high-quality learning experiences and help students achieve their learning objectives. We may not always be able to meet our students’ expectations in terms of academic performance due to a variety of reasons, many of which are outside of our control. We may face increased dropout rates and student dissatisfaction due to our students’ perceptions of our failure to help them achieve their anticipated academic goals, our students’ overall dissatisfaction with the quality of our course and educational content offerings and our faculty, as well as changing views of the value of the diplomas, degrees and qualifications they are pursuing through taking our courses. These factors may contribute to reduced student engagement and increased challenges in attracting and enrolling prospective students, all of which may adversely affect our prospects, business, financial condition, results of operations and reputation.</w:t>
      </w:r>
    </w:p>
    <w:p>
      <w:pPr>
        <w:spacing w:after="0" w:line="25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b w:val="1"/>
          <w:bCs w:val="1"/>
          <w:i w:val="1"/>
          <w:iCs w:val="1"/>
          <w:color w:val="auto"/>
        </w:rPr>
        <w:t>We face risks associated with our reliance on our STE course offerings, including risks resulting from changes in government policies or requirements relating to STE exams.</w:t>
      </w:r>
    </w:p>
    <w:p>
      <w:pPr>
        <w:spacing w:after="0" w:line="68" w:lineRule="exact"/>
        <w:rPr>
          <w:sz w:val="20"/>
          <w:szCs w:val="20"/>
          <w:color w:val="auto"/>
        </w:rPr>
      </w:pPr>
    </w:p>
    <w:p>
      <w:pPr>
        <w:ind w:right="100" w:firstLine="547"/>
        <w:spacing w:after="0" w:line="269" w:lineRule="auto"/>
        <w:rPr>
          <w:sz w:val="20"/>
          <w:szCs w:val="20"/>
          <w:color w:val="auto"/>
        </w:rPr>
      </w:pPr>
      <w:r>
        <w:rPr>
          <w:rFonts w:ascii="Arial" w:cs="Arial" w:eastAsia="Arial" w:hAnsi="Arial"/>
          <w:sz w:val="16"/>
          <w:szCs w:val="16"/>
          <w:color w:val="auto"/>
        </w:rPr>
        <w:t>Our course offerings are concentrated to our Self-taught Higher Education Examination, or the STE course offerings, namely post-secondary courses designed for students pursuing associate diplomas or bachelor’s degrees by taking the STE exams. STE course offerings represent a significant portion of our net revenues, gross billings and new student enrollments. Our STE course offerings accounted for approximately 85.8%, 80.5% and 66.8%, respectively, of our net revenues and approximately 88.3%, 75.1% and 53.1%, respectively, of our gross billings in 2018, 2019 and 2020. During the same periods, our STE course offerings accounted for approximately 80.1%, 75.4% and 46.2%, respectively, of our new student enrollments.</w:t>
      </w:r>
    </w:p>
    <w:p>
      <w:pPr>
        <w:spacing w:after="0" w:line="165" w:lineRule="exact"/>
        <w:rPr>
          <w:sz w:val="20"/>
          <w:szCs w:val="20"/>
          <w:color w:val="auto"/>
        </w:rPr>
      </w:pPr>
    </w:p>
    <w:p>
      <w:pPr>
        <w:ind w:right="40" w:firstLine="547"/>
        <w:spacing w:after="0" w:line="295" w:lineRule="auto"/>
        <w:rPr>
          <w:sz w:val="20"/>
          <w:szCs w:val="20"/>
          <w:color w:val="auto"/>
        </w:rPr>
      </w:pPr>
      <w:r>
        <w:rPr>
          <w:rFonts w:ascii="Arial" w:cs="Arial" w:eastAsia="Arial" w:hAnsi="Arial"/>
          <w:sz w:val="15"/>
          <w:szCs w:val="15"/>
          <w:color w:val="auto"/>
        </w:rPr>
        <w:t>Our reliance on STE course offerings may expose us to concentration risks. If there are significant reductions in the perceived value of degrees or diplomas our students are pursuing through the STE exams, or if the PRC government releases substantial updates to the requirements or formats of the STE exams and we are unable to upgrade our course or educational content offerings to address such developments in a timely manner, the demand for and attractiveness of our STE course offerings may be adversely affected, which could have an adverse impact on our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effectively identify, pursue and consummate strategic alliances or acquisitions, our ability to grow and to achieve profitability could be impacted.</w:t>
      </w:r>
    </w:p>
    <w:p>
      <w:pPr>
        <w:spacing w:after="0" w:line="126" w:lineRule="exact"/>
        <w:rPr>
          <w:sz w:val="20"/>
          <w:szCs w:val="20"/>
          <w:color w:val="auto"/>
        </w:rPr>
      </w:pPr>
    </w:p>
    <w:p>
      <w:pPr>
        <w:ind w:firstLine="547"/>
        <w:spacing w:after="0" w:line="291" w:lineRule="auto"/>
        <w:rPr>
          <w:sz w:val="20"/>
          <w:szCs w:val="20"/>
          <w:color w:val="auto"/>
        </w:rPr>
      </w:pPr>
      <w:r>
        <w:rPr>
          <w:rFonts w:ascii="Arial" w:cs="Arial" w:eastAsia="Arial" w:hAnsi="Arial"/>
          <w:sz w:val="15"/>
          <w:szCs w:val="15"/>
          <w:color w:val="auto"/>
        </w:rPr>
        <w:t>We may from time to time engage in evaluations of, and discussions with, possible domestic and international acquisition or alliance candidates. We may not be able to identify suitable strategic alliances or acquisition opportunities, complete such transactions on commercially favorable terms, or successfully integrate business operations, infrastructure and management philosophies of acquired businesses and companies. There may be particular complexities, regulatory or otherwise, associated with our expansion into new markets, and our strategies may not succeed beyond our current markets. If we are unable to effectively address these challenges, our ability to execute acquisitions as a component of our long-term strategy will be impaired, which could have an adverse effect on our growth.</w:t>
      </w:r>
    </w:p>
    <w:p>
      <w:pPr>
        <w:spacing w:after="0" w:line="250" w:lineRule="exact"/>
        <w:rPr>
          <w:sz w:val="20"/>
          <w:szCs w:val="20"/>
          <w:color w:val="auto"/>
        </w:rPr>
      </w:pPr>
    </w:p>
    <w:p>
      <w:pPr>
        <w:ind w:right="460"/>
        <w:spacing w:after="0" w:line="264" w:lineRule="auto"/>
        <w:rPr>
          <w:sz w:val="20"/>
          <w:szCs w:val="20"/>
          <w:color w:val="auto"/>
        </w:rPr>
      </w:pPr>
      <w:r>
        <w:rPr>
          <w:rFonts w:ascii="Arial" w:cs="Arial" w:eastAsia="Arial" w:hAnsi="Arial"/>
          <w:sz w:val="17"/>
          <w:szCs w:val="17"/>
          <w:b w:val="1"/>
          <w:bCs w:val="1"/>
          <w:i w:val="1"/>
          <w:iCs w:val="1"/>
          <w:color w:val="auto"/>
        </w:rPr>
        <w:t>We face intense competition in our industry, which could divert student to our competitors, lead to pricing pressure and loss of market share, and significantly reduce our gross billings and net revenues.</w:t>
      </w:r>
    </w:p>
    <w:p>
      <w:pPr>
        <w:spacing w:after="0" w:line="68" w:lineRule="exact"/>
        <w:rPr>
          <w:sz w:val="20"/>
          <w:szCs w:val="20"/>
          <w:color w:val="auto"/>
        </w:rPr>
      </w:pPr>
    </w:p>
    <w:p>
      <w:pPr>
        <w:ind w:firstLine="547"/>
        <w:spacing w:after="0" w:line="249" w:lineRule="auto"/>
        <w:rPr>
          <w:sz w:val="20"/>
          <w:szCs w:val="20"/>
          <w:color w:val="auto"/>
        </w:rPr>
      </w:pPr>
      <w:r>
        <w:rPr>
          <w:rFonts w:ascii="Arial" w:cs="Arial" w:eastAsia="Arial" w:hAnsi="Arial"/>
          <w:sz w:val="17"/>
          <w:szCs w:val="17"/>
          <w:color w:val="auto"/>
        </w:rPr>
        <w:t>China’s post-secondary and professional education market is intensely competitive. We compete with other online education service providers or traditional offline players, for student enrollments and engagement, high-quality academic and administrative faculty, and sales and marketing personnel, among other things. Some of our current and future competitors may have substantially greater name recognition and financial and other resources than we do, which may enable them to compete more effectively for potential students and decrease our market share. We also expect to face competition as a result of new entrants to the post-secondary and professional education market.</w:t>
      </w:r>
    </w:p>
    <w:p>
      <w:pPr>
        <w:spacing w:after="0" w:line="182" w:lineRule="exact"/>
        <w:rPr>
          <w:sz w:val="20"/>
          <w:szCs w:val="20"/>
          <w:color w:val="auto"/>
        </w:rPr>
      </w:pPr>
    </w:p>
    <w:p>
      <w:pPr>
        <w:ind w:firstLine="547"/>
        <w:spacing w:after="0" w:line="248" w:lineRule="auto"/>
        <w:rPr>
          <w:sz w:val="20"/>
          <w:szCs w:val="20"/>
          <w:color w:val="auto"/>
        </w:rPr>
      </w:pPr>
      <w:r>
        <w:rPr>
          <w:rFonts w:ascii="Arial" w:cs="Arial" w:eastAsia="Arial" w:hAnsi="Arial"/>
          <w:sz w:val="17"/>
          <w:szCs w:val="17"/>
          <w:color w:val="auto"/>
        </w:rPr>
        <w:t>We may not be able to compete successfully against current or future competitors and may face competitive pressures that could adversely affect our business or results of operations. For example, increased competition may result in pricing pressure for us in terms of the tuition we are able to negotiate to receive from a student. In addition, online education is characterized by rapid changes in students’ technological requirements and expectations and evolving market standards, and our competitors may develop platforms or other technologies that are superior to the platform and technology we use. These differences may affect our ability to recruit and retain students, which may render our online course offerings less competitive. The increasingly competitive landscape may also result in longer and more complex sales cycles with a prospective student or a decrease in our market share, any of which could negatively affect our gross billings and net revenues and our ability to grow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16" w:name="page17"/>
    <w:bookmarkEnd w:id="16"/>
    <w:p>
      <w:pPr>
        <w:ind w:right="540"/>
        <w:spacing w:after="0" w:line="264" w:lineRule="auto"/>
        <w:rPr>
          <w:sz w:val="20"/>
          <w:szCs w:val="20"/>
          <w:color w:val="auto"/>
        </w:rPr>
      </w:pPr>
      <w:r>
        <w:rPr>
          <w:rFonts w:ascii="Arial" w:cs="Arial" w:eastAsia="Arial" w:hAnsi="Arial"/>
          <w:sz w:val="17"/>
          <w:szCs w:val="17"/>
          <w:b w:val="1"/>
          <w:bCs w:val="1"/>
          <w:i w:val="1"/>
          <w:iCs w:val="1"/>
          <w:color w:val="auto"/>
        </w:rPr>
        <w:t>If our security measures are breached or fail and result in unauthorized disclosure of data by our employees or our third-party agents, we could lose existing students, fail to attract new students and be exposed to protracted and costly litigation.</w:t>
      </w:r>
    </w:p>
    <w:p>
      <w:pPr>
        <w:spacing w:after="0" w:line="68" w:lineRule="exact"/>
        <w:rPr>
          <w:sz w:val="20"/>
          <w:szCs w:val="20"/>
          <w:color w:val="auto"/>
        </w:rPr>
      </w:pPr>
    </w:p>
    <w:p>
      <w:pPr>
        <w:ind w:firstLine="547"/>
        <w:spacing w:after="0" w:line="262" w:lineRule="auto"/>
        <w:rPr>
          <w:sz w:val="20"/>
          <w:szCs w:val="20"/>
          <w:color w:val="auto"/>
        </w:rPr>
      </w:pPr>
      <w:r>
        <w:rPr>
          <w:rFonts w:ascii="Arial" w:cs="Arial" w:eastAsia="Arial" w:hAnsi="Arial"/>
          <w:sz w:val="16"/>
          <w:szCs w:val="16"/>
          <w:color w:val="auto"/>
        </w:rPr>
        <w:t>Maintaining platform security is of critical importance to our students because the platform stores and transmits proprietary and confidential information, which may include sensitive personally identifiable information that may be subject to stringent legal and regulatory obligations. As an online education service provider, we face an increasing number of threats to our IT infrastructure, including unauthorized activity and access by our employees or third-party agents, system viruses, worms, malicious code and organized cyberattacks, which could breach our security and disrupt our business. For example, we have introduced data security and confidentiality protocols into the cooperation agreements we enter into with third-party sales agents with whom we share prospective students’ contact information, and we have made technical improvements in our IT infrastructure to prevent unauthorized access of confidential or sensitive personal information by our employees and third-party sales agents in the process of engaging prospective students. These measures, however, may not be as effective as we anticipate. In addition, there is no assurance that our third-party sales agents will comply with contractual and legal requirements with respect to data privacy when they collect data from our prospective students. If our security measures are breached or fail as a result of third-party action, employee error, malfeasance or otherwise, we could be subject to liability or our business could be interrupted, potentially over an extended period of time. Any or all of these issues could harm our reputation, adversely affect our ability to attract and enroll prospective students, cause prospective students not to enroll or stay enrolled, or subject us to third-party lawsuits, regulatory fines or other action or liability. Further, any reputational damage resulting from breach of our security measures could create distrust of our company by prospective students or investors. We may be required to expend significant additional resources to protect against the threat of these disruptions and security breaches or to alleviate problems caused by such disruptions or breaches.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Privacy concerns could limit our ability to collect and leverage our user data and disclosure of user data could adversely impact our business and reputation.</w:t>
      </w:r>
    </w:p>
    <w:p>
      <w:pPr>
        <w:spacing w:after="0" w:line="126" w:lineRule="exact"/>
        <w:rPr>
          <w:sz w:val="20"/>
          <w:szCs w:val="20"/>
          <w:color w:val="auto"/>
        </w:rPr>
      </w:pPr>
    </w:p>
    <w:p>
      <w:pPr>
        <w:ind w:right="80" w:firstLine="547"/>
        <w:spacing w:after="0" w:line="291" w:lineRule="auto"/>
        <w:rPr>
          <w:sz w:val="20"/>
          <w:szCs w:val="20"/>
          <w:color w:val="auto"/>
        </w:rPr>
      </w:pPr>
      <w:r>
        <w:rPr>
          <w:rFonts w:ascii="Arial" w:cs="Arial" w:eastAsia="Arial" w:hAnsi="Arial"/>
          <w:sz w:val="15"/>
          <w:szCs w:val="15"/>
          <w:color w:val="auto"/>
        </w:rPr>
        <w:t>In the ordinary course of our business and in particular in connection with conducting sales and marketing activities with our existing and prospective students as well as the utilization of our AI-powered personalized study programs, we collect and utilize data supplied by our users. We currently face certain legal obligations regarding the manner in which we treat such information. Increased regulation of data utilization practices, including self-regulation or findings under existing laws that limit our ability to collect, transfer and use data, could have an adverse effect on our business. In addition, if we were to disclose data about our users in a manner that was objectionable to them, our business reputation could be adversely affected, and we could face potential legal claims that could impact our operating results.</w:t>
      </w:r>
    </w:p>
    <w:p>
      <w:pPr>
        <w:spacing w:after="0" w:line="150" w:lineRule="exact"/>
        <w:rPr>
          <w:sz w:val="20"/>
          <w:szCs w:val="20"/>
          <w:color w:val="auto"/>
        </w:rPr>
      </w:pPr>
    </w:p>
    <w:p>
      <w:pPr>
        <w:ind w:right="160" w:firstLine="547"/>
        <w:spacing w:after="0" w:line="278" w:lineRule="auto"/>
        <w:rPr>
          <w:sz w:val="20"/>
          <w:szCs w:val="20"/>
          <w:color w:val="auto"/>
        </w:rPr>
      </w:pPr>
      <w:r>
        <w:rPr>
          <w:rFonts w:ascii="Arial" w:cs="Arial" w:eastAsia="Arial" w:hAnsi="Arial"/>
          <w:sz w:val="16"/>
          <w:szCs w:val="16"/>
          <w:color w:val="auto"/>
        </w:rPr>
        <w:t>Internationally, we may become subject to additional and/or more stringent legal obligations concerning our treatment of customer and other personal information, such as laws regarding data localization and/or restrictions on data export. Failure to comply with these obligations could subject us to liability, and to the extent that we need to alter our business model or practices to adapt to these obligations, we could incur additional expenses.</w:t>
      </w:r>
    </w:p>
    <w:p>
      <w:pPr>
        <w:spacing w:after="0" w:line="25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We are subject to a variety of laws and other obligations regarding data protection, any failure to comply with applicable laws and obligations could have a material adverse effect on our business, financial condition and results of operations.</w:t>
      </w:r>
    </w:p>
    <w:p>
      <w:pPr>
        <w:spacing w:after="0" w:line="168" w:lineRule="exact"/>
        <w:rPr>
          <w:sz w:val="20"/>
          <w:szCs w:val="20"/>
          <w:color w:val="auto"/>
        </w:rPr>
      </w:pPr>
    </w:p>
    <w:p>
      <w:pPr>
        <w:ind w:right="20" w:firstLine="547"/>
        <w:spacing w:after="0" w:line="281" w:lineRule="auto"/>
        <w:rPr>
          <w:sz w:val="20"/>
          <w:szCs w:val="20"/>
          <w:color w:val="auto"/>
        </w:rPr>
      </w:pPr>
      <w:r>
        <w:rPr>
          <w:rFonts w:ascii="Arial" w:cs="Arial" w:eastAsia="Arial" w:hAnsi="Arial"/>
          <w:sz w:val="15"/>
          <w:szCs w:val="15"/>
          <w:color w:val="auto"/>
        </w:rPr>
        <w:t>We are subject to various regulatory requirements relating to the security and privacy of data, including restrictions on the collection, storage and use of personal information and requirements to take steps to prevent personal data from being divulged, stolen, or tampered with. See “Item 4. Information on the Company—4.B. Business Overview—Regulation—Regulations Relating to Internet Information Security and Privacy Protection.” Regulatory requirements regarding the protection of data are constantly evolving and can be subject to differing interpretations or significant change, making the extent of our responsibilities in that regard uncertain. For example, the Cybersecurity Law of the PRC became effective in June 2017, but there are great uncertainties as to the interpretation and application of the law. It is possible that those regulatory requirements may be interpreted and applied in a manner that is inconsistent with our practices. In addition, the Office of the Central Cyberspace Affairs Commission, the MIIT, the Ministry of Public Security, and the SAMR jointly issued an announcement on January 23, 2019 regarding carrying out special campaigns against mobile internet application programs collecting and using personal information in violation of applicable laws and regulations, which prohibits business operators from collecting personal information irrelevant to their services, or forcing users to give authorization in disguised manner. In addition, the PRC regulatory authorities have recently taken steps to strengthen the regulation on data protection and conducted several rounds of relevant inspections recently. We have been taking and will continue to take reasonable measures to comply with such announcement, provisions and inspection requirements. However, as these announcements and provisions are relatively new, and the related implementation rules have yet been promulgated, it remains uncertain how these announcements and provisions will be implemented. We cannot assure you we can adapt our operations to it in a timely manner.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17" w:name="page18"/>
    <w:bookmarkEnd w:id="17"/>
    <w:p>
      <w:pPr>
        <w:ind w:firstLine="547"/>
        <w:spacing w:after="0" w:line="282" w:lineRule="auto"/>
        <w:rPr>
          <w:sz w:val="20"/>
          <w:szCs w:val="20"/>
          <w:color w:val="auto"/>
        </w:rPr>
      </w:pPr>
      <w:r>
        <w:rPr>
          <w:rFonts w:ascii="Arial" w:cs="Arial" w:eastAsia="Arial" w:hAnsi="Arial"/>
          <w:sz w:val="15"/>
          <w:szCs w:val="15"/>
          <w:color w:val="auto"/>
        </w:rPr>
        <w:t>Any failure, or perceived failure by us to maintain the security of our students’ data and other confidential information or to comply with applicable privacy, data security and personal information protection laws, regulations, policies, contractual provisions, industry standards, and other requirements, may result in civil or regulatory liability, including governmental or data protection authority enforcement actions and investigations, fines, penalties, enforcement orders requiring us to cease operating in a certain way, litigation, or adverse publicity, and may require us to expend significant resources in responding to and defending allegations and claims. Furthermore, the PRC regulatory and enforcement regime with regard to privacy, data security and personal information protection is still evolving. PRC regulators have been increasingly focused on regulation in the areas of data security and data protection. We cannot assure you that relevant regulators will not interpret or implement these laws or regulations in ways that negatively affect us. It is possible that we may become subject to additional or new laws and regulations, which may result in additional expenses to us and subject us to potential liability and negative publicity. We expect that these areas will receive greater attention and focus from regulators, and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fines, suspension of business and revocation of required licenses, and our reputation and results of operations could be materially and adversely affected.</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Tuition refunds or potential refund disputes may negatively affect our cash flow, financial condition, and reputation.</w:t>
      </w:r>
    </w:p>
    <w:p>
      <w:pPr>
        <w:spacing w:after="0" w:line="103" w:lineRule="exact"/>
        <w:rPr>
          <w:sz w:val="20"/>
          <w:szCs w:val="20"/>
          <w:color w:val="auto"/>
        </w:rPr>
      </w:pPr>
    </w:p>
    <w:p>
      <w:pPr>
        <w:ind w:right="40" w:firstLine="547"/>
        <w:spacing w:after="0" w:line="286" w:lineRule="auto"/>
        <w:rPr>
          <w:sz w:val="20"/>
          <w:szCs w:val="20"/>
          <w:color w:val="auto"/>
        </w:rPr>
      </w:pPr>
      <w:r>
        <w:rPr>
          <w:rFonts w:ascii="Arial" w:cs="Arial" w:eastAsia="Arial" w:hAnsi="Arial"/>
          <w:sz w:val="15"/>
          <w:szCs w:val="15"/>
          <w:color w:val="auto"/>
        </w:rPr>
        <w:t>We offer different tuition refund options to our students depending on the time of enrollment and subject to certain conditions and restrictions in the service contract between us and each of our students. Generally, a student is offered a full, unconditional refund within 24 hours upon enrollment. If the student makes a refund request after taking at least one live streaming course lasting 30 minutes by reason of any material academic issue of our courses within certain refund period, we offer a refund excluding the registration fees and the fees of delivered courses upon our confirmation. In addition, we offer students a refund for the undelivered courses excluding the registration fees. Prior to June 2019, such refund was provided only within seven days upon enrollment while starting from June 2019, we offer such refund during the entire service period. When calculating gross billings for a specific period, we deduct the total amount of refunds from the total amount of cash received for the sale of course packages for such period. See “Item 4. Information on the Company—4.B. Business Overview—Our Tuition and Fees.”</w:t>
      </w:r>
    </w:p>
    <w:p>
      <w:pPr>
        <w:spacing w:after="0" w:line="56" w:lineRule="exact"/>
        <w:rPr>
          <w:sz w:val="20"/>
          <w:szCs w:val="20"/>
          <w:color w:val="auto"/>
        </w:rPr>
      </w:pPr>
    </w:p>
    <w:p>
      <w:pPr>
        <w:ind w:firstLine="547"/>
        <w:spacing w:after="0" w:line="282" w:lineRule="auto"/>
        <w:rPr>
          <w:sz w:val="20"/>
          <w:szCs w:val="20"/>
          <w:color w:val="auto"/>
        </w:rPr>
      </w:pPr>
      <w:r>
        <w:rPr>
          <w:rFonts w:ascii="Arial" w:cs="Arial" w:eastAsia="Arial" w:hAnsi="Arial"/>
          <w:sz w:val="15"/>
          <w:szCs w:val="15"/>
          <w:color w:val="auto"/>
        </w:rPr>
        <w:t>In 2018, 2019 and 2020, we had made RMB 276.4 million, RMB345.9 million and RMB335.5 million (US$51.4 million) of refund payments, respectively, most of which were made pursuant to our tuition refund policy, see “Item 4. Information on the Company—4.B. Business Overview—Business—Our Tuition and Fees.” The number of refund requests and the amount of refunds could be affected by a number of factors. These factors include, without limitation to, student dissatisfaction with our teaching quality and our course and educational content offerings, privacy concerns relating to our online platforms, negative publicity regarding us or online education in general, the terms and scope of our refund policy, and any change or development in PRC laws and regulations with respect to fees and tuitions charged by online education providers like us. See “—We face risks associated with our lack of a private school operating permit for our online education services as well as uncertainties surrounding PRC laws and regulations governing the education industry, including the Law for Promoting Private Education and its Implementing Rules.” As part of our efforts to enhance user experience, from June 2019, we amended certain terms of our refund policy to facilitate a more flexible and smoother refund process. Any refund payments that we may be required to make to our students, as well as the expenses we could incur for processing refunds and resolving refund disputes, could be substantial and could adversely affect our gross billings, net revenues, liquidity and financial condition. A high volume of refunds and refund disputes may also generate negative publicity that could harm our reputation. We have experienced in the past, and may experience in the future, negative publicity in relation to refund disputes between us and our students, which may significantly harm our brand name and divert our attention from operating our business.</w:t>
      </w:r>
    </w:p>
    <w:p>
      <w:pPr>
        <w:spacing w:after="0" w:line="259"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b w:val="1"/>
          <w:bCs w:val="1"/>
          <w:i w:val="1"/>
          <w:iCs w:val="1"/>
          <w:color w:val="auto"/>
        </w:rPr>
        <w:t>We cannot assure you that we will not be subject to liability claims or legal or regulatory liability for any inappropriate or illegal content, which could subject us to liabilities and cause damages to our reputation.</w:t>
      </w:r>
    </w:p>
    <w:p>
      <w:pPr>
        <w:spacing w:after="0" w:line="68" w:lineRule="exact"/>
        <w:rPr>
          <w:sz w:val="20"/>
          <w:szCs w:val="20"/>
          <w:color w:val="auto"/>
        </w:rPr>
      </w:pPr>
    </w:p>
    <w:p>
      <w:pPr>
        <w:ind w:right="80" w:firstLine="547"/>
        <w:spacing w:after="0" w:line="266" w:lineRule="auto"/>
        <w:rPr>
          <w:sz w:val="20"/>
          <w:szCs w:val="20"/>
          <w:color w:val="auto"/>
        </w:rPr>
      </w:pPr>
      <w:r>
        <w:rPr>
          <w:rFonts w:ascii="Arial" w:cs="Arial" w:eastAsia="Arial" w:hAnsi="Arial"/>
          <w:sz w:val="16"/>
          <w:szCs w:val="16"/>
          <w:color w:val="auto"/>
        </w:rPr>
        <w:t>Although we implement various monitoring procedures to identify and remove inappropriate or illegal content, we cannot assure you that there will be no inappropriate or illegal content included in our content offerings including content generated and uploaded to our online platforms by our users. For example, we have been historically penalized for inaccurate advertising. We may face civil, administrative or criminal liability or legal or regulatory sanctions, such as requiring us to restrict or discontinue our content, products or services, if an individual or corporate, governmental or other entity believes that any of the content offerings violates any laws, regulations or governmental policies or infringes upon its legal rights. Even if such a claim were not successful, defending such a claim may cause us to incur substantial costs. Moreover, any accusation of inappropriate or illegal content in our content offerings could lead to significant negative publicity, which could harm our reputation, business,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Our success depends on the continuing efforts of our senior management team and other key employees.</w:t>
      </w:r>
    </w:p>
    <w:p>
      <w:pPr>
        <w:spacing w:after="0" w:line="103" w:lineRule="exact"/>
        <w:rPr>
          <w:sz w:val="20"/>
          <w:szCs w:val="20"/>
          <w:color w:val="auto"/>
        </w:rPr>
      </w:pPr>
    </w:p>
    <w:p>
      <w:pPr>
        <w:ind w:firstLine="547"/>
        <w:spacing w:after="0" w:line="284" w:lineRule="auto"/>
        <w:rPr>
          <w:sz w:val="20"/>
          <w:szCs w:val="20"/>
          <w:color w:val="auto"/>
        </w:rPr>
      </w:pPr>
      <w:r>
        <w:rPr>
          <w:rFonts w:ascii="Arial" w:cs="Arial" w:eastAsia="Arial" w:hAnsi="Arial"/>
          <w:sz w:val="15"/>
          <w:szCs w:val="15"/>
          <w:color w:val="auto"/>
        </w:rPr>
        <w:t>We depend on the continued contributions of our senior management and other key employees, including, in particular, Mr. Jianhong Yin, also known as Peng Ou, our founder and the chairman of our Board of Directors, and Mr. Tongbo Liu, our director and Chief Executive Officer. The loss of the services of any of our senior management or other key employees could harm our business. Competition for qualified talents in China is intense. If one or more of our senior management or other key employees are unable or unwilling to continue in their present positions, we may not be able to find replacements in a timely manner, or at all, and our business may be disrupted. Moreover, if any member of our senior management team or any of our other key personnel joins a competitor or forms or invests in a competing business, we may lose student enrollments, qualified teaching faculty members and other key sales and marketing personnel to our competitors. Our future success is also dependent on our ability to attract a significant number of qualified employees and retain existing key employees. If we are unable to do so, our business and growth may be materially and adversely affected. Our need to significantly increase the number of our qualified employees and retain key employees may cause us to materially increase compensation-related costs, including share-based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maintain our corporate culture as we grow, we could lose the innovation, collaboration and focus that contribute to our business.</w:t>
      </w:r>
    </w:p>
    <w:p>
      <w:pPr>
        <w:spacing w:after="0" w:line="115" w:lineRule="exact"/>
        <w:rPr>
          <w:sz w:val="20"/>
          <w:szCs w:val="20"/>
          <w:color w:val="auto"/>
        </w:rPr>
      </w:pPr>
    </w:p>
    <w:p>
      <w:pPr>
        <w:ind w:right="40" w:firstLine="547"/>
        <w:spacing w:after="0" w:line="251" w:lineRule="auto"/>
        <w:rPr>
          <w:sz w:val="20"/>
          <w:szCs w:val="20"/>
          <w:color w:val="auto"/>
        </w:rPr>
      </w:pPr>
      <w:r>
        <w:rPr>
          <w:rFonts w:ascii="Arial" w:cs="Arial" w:eastAsia="Arial" w:hAnsi="Arial"/>
          <w:sz w:val="17"/>
          <w:szCs w:val="17"/>
          <w:color w:val="auto"/>
        </w:rPr>
        <w:t>We believe that a critical component of our success is our corporate culture, which fosters innovations and has roots in a deep understanding of our students and the evolving education industry in China. As we continue to expand and grow our business, we may find it difficult to maintain these valuable aspects of our corporate culture. Any failure to preserve our culture could undermine our reputation in the marketplace and negatively impact our ability to attract and retain employees and students, which would in turn jeopardize our future success.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from time to time be subject to infringement claims relating to intellectual properties of third parties.</w:t>
      </w:r>
    </w:p>
    <w:p>
      <w:pPr>
        <w:spacing w:after="0" w:line="103" w:lineRule="exact"/>
        <w:rPr>
          <w:sz w:val="20"/>
          <w:szCs w:val="20"/>
          <w:color w:val="auto"/>
        </w:rPr>
      </w:pPr>
    </w:p>
    <w:p>
      <w:pPr>
        <w:jc w:val="both"/>
        <w:ind w:right="180" w:firstLine="547"/>
        <w:spacing w:after="0" w:line="254" w:lineRule="auto"/>
        <w:rPr>
          <w:sz w:val="20"/>
          <w:szCs w:val="20"/>
          <w:color w:val="auto"/>
        </w:rPr>
      </w:pPr>
      <w:r>
        <w:rPr>
          <w:rFonts w:ascii="Arial" w:cs="Arial" w:eastAsia="Arial" w:hAnsi="Arial"/>
          <w:sz w:val="17"/>
          <w:szCs w:val="17"/>
          <w:color w:val="auto"/>
        </w:rPr>
        <w:t>We cannot assure you that our course offerings and educational contents and our IT technologies and platforms do not or will not infringe upon copyrights or other intellectual property rights held by third parties. We may encounter disputes from time to time over rights and obligations concerning intellectual properties, and we may not prevail in those disputes.</w:t>
      </w:r>
    </w:p>
    <w:p>
      <w:pPr>
        <w:spacing w:after="0" w:line="177" w:lineRule="exact"/>
        <w:rPr>
          <w:sz w:val="20"/>
          <w:szCs w:val="20"/>
          <w:color w:val="auto"/>
        </w:rPr>
      </w:pPr>
    </w:p>
    <w:p>
      <w:pPr>
        <w:ind w:firstLine="547"/>
        <w:spacing w:after="0" w:line="264" w:lineRule="auto"/>
        <w:rPr>
          <w:sz w:val="20"/>
          <w:szCs w:val="20"/>
          <w:color w:val="auto"/>
        </w:rPr>
      </w:pPr>
      <w:r>
        <w:rPr>
          <w:rFonts w:ascii="Arial" w:cs="Arial" w:eastAsia="Arial" w:hAnsi="Arial"/>
          <w:sz w:val="16"/>
          <w:szCs w:val="16"/>
          <w:color w:val="auto"/>
        </w:rPr>
        <w:t>We have adopted policies and procedures to prohibit our students and employees from infringing upon third-party copyright or intellectual property rights. However, we cannot ensure that they will not, against our policies, use third-party copyrighted materials or intellectual property without proper authorization in our classes or via any medium through which we provide our services. We may incur liability for unauthorized duplication or distribution of materials posted on our websites or used in our classes. We have been involved in claims against us alleging our infringement of third-party intellectual property rights and we may be subject to such claims in the future. We have not entered into any licensing arrangements with, or otherwise obtained any consent from, the government agencies administering the STE exams for using certain exam questions in our quiz banks. Although we have never been subject to any legal or administrative penalties or proceedings relating to our use of these sample questions, we cannot assure you that we will not be subject to infringement claims associated with our use of real STE questions in the future. Any such intellectual property infringement claim could result in costly litigation and divert our management attention and resources, which in turn could negatively affect our business, financial condition and prospect.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protect our intellectual property rights, our brand and business may suffer.</w:t>
      </w:r>
    </w:p>
    <w:p>
      <w:pPr>
        <w:spacing w:after="0" w:line="103" w:lineRule="exact"/>
        <w:rPr>
          <w:sz w:val="20"/>
          <w:szCs w:val="20"/>
          <w:color w:val="auto"/>
        </w:rPr>
      </w:pPr>
    </w:p>
    <w:p>
      <w:pPr>
        <w:ind w:firstLine="547"/>
        <w:spacing w:after="0" w:line="285" w:lineRule="auto"/>
        <w:rPr>
          <w:sz w:val="20"/>
          <w:szCs w:val="20"/>
          <w:color w:val="auto"/>
        </w:rPr>
      </w:pPr>
      <w:r>
        <w:rPr>
          <w:rFonts w:ascii="Arial" w:cs="Arial" w:eastAsia="Arial" w:hAnsi="Arial"/>
          <w:sz w:val="15"/>
          <w:szCs w:val="15"/>
          <w:color w:val="auto"/>
        </w:rPr>
        <w:t>We rely on a combination of patent, copyright, trademark and trade secret laws and restrictions on disclosure to protect our intellectual property rights. Although we seek to obtain copyright or patent protection for our intellectual property when applicable, it is possible that we may not be able to do so successfully or that the copyright or patent we have obtained may not be sufficient to protect all of our intellectual property rights. In particular, we rely, to the great extent, upon our educational content developed in-house, including course syllabi and outlines, quiz banks, teaching notes, and learning outcomes trees, to provide high-quality online education services. Despite our efforts to protect our proprietary education contents and other intellectual property rights, unauthorized parties may attempt to copy or duplicate our intellectual property or otherwise use our intellectual properties without obtaining our consent. Monitoring unauthorized use of our intellectual property is difficult and costly, and we cannot be certain that the steps we have taken will effectively prevent misappropriation of our intellectual properties. If we are not successful in protecting our intellectual property rights, our business and results of operations may be adversely affected.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19" w:name="page20"/>
    <w:bookmarkEnd w:id="19"/>
    <w:p>
      <w:pPr>
        <w:ind w:right="380"/>
        <w:spacing w:after="0" w:line="264" w:lineRule="auto"/>
        <w:rPr>
          <w:sz w:val="20"/>
          <w:szCs w:val="20"/>
          <w:color w:val="auto"/>
        </w:rPr>
      </w:pPr>
      <w:r>
        <w:rPr>
          <w:rFonts w:ascii="Arial" w:cs="Arial" w:eastAsia="Arial" w:hAnsi="Arial"/>
          <w:sz w:val="17"/>
          <w:szCs w:val="17"/>
          <w:b w:val="1"/>
          <w:bCs w:val="1"/>
          <w:i w:val="1"/>
          <w:iCs w:val="1"/>
          <w:color w:val="auto"/>
        </w:rPr>
        <w:t>Our students, employees and third-party vendors may engage in intentional or negligent misconduct or other improper activities or misuse our platform, which could harm our brand and reputation.</w:t>
      </w:r>
    </w:p>
    <w:p>
      <w:pPr>
        <w:spacing w:after="0" w:line="68" w:lineRule="exact"/>
        <w:rPr>
          <w:sz w:val="20"/>
          <w:szCs w:val="20"/>
          <w:color w:val="auto"/>
        </w:rPr>
      </w:pPr>
    </w:p>
    <w:p>
      <w:pPr>
        <w:ind w:right="20" w:firstLine="547"/>
        <w:spacing w:after="0" w:line="283" w:lineRule="auto"/>
        <w:rPr>
          <w:sz w:val="20"/>
          <w:szCs w:val="20"/>
          <w:color w:val="auto"/>
        </w:rPr>
      </w:pPr>
      <w:r>
        <w:rPr>
          <w:rFonts w:ascii="Arial" w:cs="Arial" w:eastAsia="Arial" w:hAnsi="Arial"/>
          <w:sz w:val="15"/>
          <w:szCs w:val="15"/>
          <w:color w:val="auto"/>
        </w:rPr>
        <w:t>We are exposed to the risk of fraud or other misconducts committed by our students, employees and vendors, including certain third-party sales and marketing agencies. For example, in some instances, our students and our faculty members may post to our platform articles or other third-party content for use in class discussions. The PRC laws governing the fair use of these third-party materials are imprecise and adjudicated on a case-by-case basis, which makes it challenging for us to adopt and implement policies governing these practices. We could, as a result, incur liability to third parties for the unauthorized duplication, distribution or other use of these materials. Any such claims could subject us to costly litigation and impose a significant strain on our financial resources and attention of management personnel regardless of whether the claims have merit. We may be required to alter or cease our uses of such materials, which may include changing or removing content from courses or altering the functionality of our platform, or to pay monetary damages. Fraud or other misconducts by our students, employees or third parties may also involve engaging in unauthorized misrepresentation to our potential students and misappropriating third-party intellectual property and other propitiatory rights during marketing activities, misusing sensitive personal information of our students, and engaging in bribery or other unlawful payments, any of which could result in customer complaints, regulatory and legal liabilities, as well as serious harm to our brand and reputation.</w:t>
      </w:r>
    </w:p>
    <w:p>
      <w:pPr>
        <w:spacing w:after="0" w:line="159" w:lineRule="exact"/>
        <w:rPr>
          <w:sz w:val="20"/>
          <w:szCs w:val="20"/>
          <w:color w:val="auto"/>
        </w:rPr>
      </w:pPr>
    </w:p>
    <w:p>
      <w:pPr>
        <w:ind w:right="80" w:firstLine="547"/>
        <w:spacing w:after="0" w:line="285" w:lineRule="auto"/>
        <w:rPr>
          <w:sz w:val="20"/>
          <w:szCs w:val="20"/>
          <w:color w:val="auto"/>
        </w:rPr>
      </w:pPr>
      <w:r>
        <w:rPr>
          <w:rFonts w:ascii="Arial" w:cs="Arial" w:eastAsia="Arial" w:hAnsi="Arial"/>
          <w:sz w:val="15"/>
          <w:szCs w:val="15"/>
          <w:color w:val="auto"/>
        </w:rPr>
        <w:t>Our courses undergo multiple rounds of internal review before being broadly released. While we proactively monitor our live courses and other content and communications to ensure that we are able to identify content that may be deemed inappropriate or in violation of laws, regulations and government policies, since we have limited control over the real-time and offline behavior of our users and employees, to the extent any improper behavior is associated with our content and services, our ability to protect our reputation may be limited. If any of our users and employees suffer or allege to have suffered harm following contact initiated through our services, we may face civil lawsuits or other liabilities. In response to allegations of illegal or inappropriate activities, PRC government authorities may intervene and hold us liable for non-compliance with PRC laws and regulations concerning the dissemination of information on the internet and subject us to administrative penalties or other sanctions, such as requiring us to restrict or discontinue our content or services. As a result, our business may suffer and our reputation, business, financial condition and results of operations may be materially and adversely affected.</w:t>
      </w:r>
    </w:p>
    <w:p>
      <w:pPr>
        <w:spacing w:after="0" w:line="255"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b w:val="1"/>
          <w:bCs w:val="1"/>
          <w:i w:val="1"/>
          <w:iCs w:val="1"/>
          <w:color w:val="auto"/>
        </w:rPr>
        <w:t>We may be the subject of detrimental conduct by third parties such as our competitors, including complaints to regulatory agencies and the public dissemination of malicious assessments of our business, which could have a negative impact on our reputation and cause us to lose market share, students and revenues, and adversely affect the price of the ADSs.</w:t>
      </w:r>
    </w:p>
    <w:p>
      <w:pPr>
        <w:spacing w:after="0" w:line="77" w:lineRule="exact"/>
        <w:rPr>
          <w:sz w:val="20"/>
          <w:szCs w:val="20"/>
          <w:color w:val="auto"/>
        </w:rPr>
      </w:pPr>
    </w:p>
    <w:p>
      <w:pPr>
        <w:ind w:firstLine="547"/>
        <w:spacing w:after="0" w:line="286" w:lineRule="auto"/>
        <w:rPr>
          <w:sz w:val="20"/>
          <w:szCs w:val="20"/>
          <w:color w:val="auto"/>
        </w:rPr>
      </w:pPr>
      <w:r>
        <w:rPr>
          <w:rFonts w:ascii="Arial" w:cs="Arial" w:eastAsia="Arial" w:hAnsi="Arial"/>
          <w:sz w:val="15"/>
          <w:szCs w:val="15"/>
          <w:color w:val="auto"/>
        </w:rPr>
        <w:t>We have been, and in the future may be, the target of anti-competitive, harassing or other detrimental conduct by third parties including our competitors. Such conduct may include complaints, anonymous or otherwise, to regulatory agencies regarding our operations, accounting, business relationships, business prospects and business ethics. Additionally, allegations, directly or indirectly against us, may be posted online by anyone, whether or not related to us, on an anonymous basis. We may be subject to government or regulatory investigation as a result of such third-party conduct and may be required to expend significant time and incur substantial costs to address such third-party conduct, and there is no assurance that we will be able to conclusively refute each of the allegations within a reasonable period of time, or at all. Our reputation may also be materially negatively affected as a result of the public dissemination of anonymous allegations or malicious statements about our business, which in turn may cause us to lose students and revenues, and adversely affect the price of the ADSs.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user metrics and other estimates are subject to inaccuracy in measuring our operating performance, which may harm our reputation.</w:t>
      </w:r>
    </w:p>
    <w:p>
      <w:pPr>
        <w:spacing w:after="0" w:line="103" w:lineRule="exact"/>
        <w:rPr>
          <w:sz w:val="20"/>
          <w:szCs w:val="20"/>
          <w:color w:val="auto"/>
        </w:rPr>
      </w:pPr>
    </w:p>
    <w:p>
      <w:pPr>
        <w:ind w:firstLine="547"/>
        <w:spacing w:after="0" w:line="283" w:lineRule="auto"/>
        <w:rPr>
          <w:sz w:val="20"/>
          <w:szCs w:val="20"/>
          <w:color w:val="auto"/>
        </w:rPr>
      </w:pPr>
      <w:r>
        <w:rPr>
          <w:rFonts w:ascii="Arial" w:cs="Arial" w:eastAsia="Arial" w:hAnsi="Arial"/>
          <w:sz w:val="15"/>
          <w:szCs w:val="15"/>
          <w:color w:val="auto"/>
        </w:rPr>
        <w:t>We continually review number of students, new student enrollments, gross billings per new student enrollment, and other operating metrics to evaluate growth trends, measure our performance and make strategic decisions. These metrics are calculated using internal data, have not been validated by an independent third party and may not be indicative of our future operating performance. While these numbers are based on what we believe to be reasonable estimates for the applicable period of measurement, there are inherent challenges in measuring how our website and mobile application are used across a large student base. For example, we may not be able to identify individual students who have multiple accounts from multiple students who share one account on our website or mobile application. In addition, we collect student reviews to measure student satisfaction rate and other student engagement metrics, but these reviews may not be representative of our entire student population. Errors or inaccuracies in our metrics or data could result in incorrect business decisions and inefficiencies. For instance, if a significant understatement or overstatement of student satisfaction or marketing spending were to occur, we might expend resources to implement unnecessary business measures or fail to take required actions to remedy an unfavorable trend. If investors do not perceive our operating metrics to accurately represent our operating performance, or if we discover material inaccuracies in our operating metrics, our reputation may be harmed.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0" w:name="page21"/>
    <w:bookmarkEnd w:id="20"/>
    <w:p>
      <w:pPr>
        <w:ind w:right="260"/>
        <w:spacing w:after="0" w:line="264" w:lineRule="auto"/>
        <w:rPr>
          <w:sz w:val="20"/>
          <w:szCs w:val="20"/>
          <w:color w:val="auto"/>
        </w:rPr>
      </w:pPr>
      <w:r>
        <w:rPr>
          <w:rFonts w:ascii="Arial" w:cs="Arial" w:eastAsia="Arial" w:hAnsi="Arial"/>
          <w:sz w:val="17"/>
          <w:szCs w:val="17"/>
          <w:b w:val="1"/>
          <w:bCs w:val="1"/>
          <w:i w:val="1"/>
          <w:iCs w:val="1"/>
          <w:color w:val="auto"/>
        </w:rPr>
        <w:t>If we fail to implement and maintain an effective system of internal controls, we may be unable to accurately or timely report our results of operations or prevent fraud, and investor confidence and the market price of the ADSs may be materially and adversely affected.</w:t>
      </w:r>
    </w:p>
    <w:p>
      <w:pPr>
        <w:spacing w:after="0" w:line="143" w:lineRule="exact"/>
        <w:rPr>
          <w:sz w:val="20"/>
          <w:szCs w:val="20"/>
          <w:color w:val="auto"/>
        </w:rPr>
      </w:pPr>
    </w:p>
    <w:p>
      <w:pPr>
        <w:ind w:firstLine="398"/>
        <w:spacing w:after="0" w:line="284" w:lineRule="auto"/>
        <w:rPr>
          <w:sz w:val="20"/>
          <w:szCs w:val="20"/>
          <w:color w:val="auto"/>
        </w:rPr>
      </w:pPr>
      <w:r>
        <w:rPr>
          <w:rFonts w:ascii="Arial" w:cs="Arial" w:eastAsia="Arial" w:hAnsi="Arial"/>
          <w:sz w:val="15"/>
          <w:szCs w:val="15"/>
          <w:color w:val="auto"/>
        </w:rPr>
        <w:t>We are a public company in the United States subject to the Sarbanes-Oxley Act of 2002. Section 404 of the Sarbanes-Oxley Act of 2002, or Section 404, requires that we include a report from management on our internal control over financial reporting in our annual report on Form 20-F beginning with our annual report for the fiscal year ended December 31, 2019.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and we may be unable to timely complete our evaluation testing and any required remediation.</w:t>
      </w:r>
    </w:p>
    <w:p>
      <w:pPr>
        <w:spacing w:after="0" w:line="119" w:lineRule="exact"/>
        <w:rPr>
          <w:sz w:val="20"/>
          <w:szCs w:val="20"/>
          <w:color w:val="auto"/>
        </w:rPr>
      </w:pPr>
    </w:p>
    <w:p>
      <w:pPr>
        <w:ind w:right="160" w:firstLine="547"/>
        <w:spacing w:after="0" w:line="285" w:lineRule="auto"/>
        <w:rPr>
          <w:sz w:val="20"/>
          <w:szCs w:val="20"/>
          <w:color w:val="auto"/>
        </w:rPr>
      </w:pPr>
      <w:r>
        <w:rPr>
          <w:rFonts w:ascii="Arial" w:cs="Arial" w:eastAsia="Arial" w:hAnsi="Arial"/>
          <w:sz w:val="15"/>
          <w:szCs w:val="15"/>
          <w:color w:val="auto"/>
        </w:rPr>
        <w:t>During the course of documenting and testing our internal control procedures, in order to satisfy the requirements of Section 404, we may identify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increased costs as a result of being a public company, particularly after we cease to qualify as an “emerging growth company.”</w:t>
      </w:r>
    </w:p>
    <w:p>
      <w:pPr>
        <w:spacing w:after="0" w:line="115" w:lineRule="exact"/>
        <w:rPr>
          <w:sz w:val="20"/>
          <w:szCs w:val="20"/>
          <w:color w:val="auto"/>
        </w:rPr>
      </w:pPr>
    </w:p>
    <w:p>
      <w:pPr>
        <w:ind w:right="40" w:firstLine="547"/>
        <w:spacing w:after="0" w:line="264" w:lineRule="auto"/>
        <w:rPr>
          <w:sz w:val="20"/>
          <w:szCs w:val="20"/>
          <w:color w:val="auto"/>
        </w:rPr>
      </w:pPr>
      <w:r>
        <w:rPr>
          <w:rFonts w:ascii="Arial" w:cs="Arial" w:eastAsia="Arial" w:hAnsi="Arial"/>
          <w:sz w:val="16"/>
          <w:szCs w:val="16"/>
          <w:color w:val="auto"/>
        </w:rPr>
        <w:t>We are a public company and expect to continue to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 companies. As a company with less than US$1.07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permits an emerging growth company to delay adopting new or revised accounting standards until such time as those standards apply to private companies.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2" w:lineRule="exact"/>
        <w:rPr>
          <w:sz w:val="20"/>
          <w:szCs w:val="20"/>
          <w:color w:val="auto"/>
        </w:rPr>
      </w:pPr>
    </w:p>
    <w:p>
      <w:pPr>
        <w:ind w:right="40" w:firstLine="547"/>
        <w:spacing w:after="0" w:line="264" w:lineRule="auto"/>
        <w:rPr>
          <w:sz w:val="20"/>
          <w:szCs w:val="20"/>
          <w:color w:val="auto"/>
        </w:rPr>
      </w:pPr>
      <w:r>
        <w:rPr>
          <w:rFonts w:ascii="Arial" w:cs="Arial" w:eastAsia="Arial" w:hAnsi="Arial"/>
          <w:sz w:val="16"/>
          <w:szCs w:val="16"/>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and the other rules and regulations of the SEC. For example, as a result of becoming a public company, we have appointed independent directors and adopted policies regarding internal controls and disclosure controls and procedures. We also expect that operating as a public company also makes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We have granted, and may continue to grant, share incentives, which may result in increased share based compensation expenses.</w:t>
      </w:r>
    </w:p>
    <w:p>
      <w:pPr>
        <w:spacing w:after="0" w:line="103" w:lineRule="exact"/>
        <w:rPr>
          <w:sz w:val="20"/>
          <w:szCs w:val="20"/>
          <w:color w:val="auto"/>
        </w:rPr>
      </w:pPr>
    </w:p>
    <w:p>
      <w:pPr>
        <w:ind w:right="280" w:firstLine="547"/>
        <w:spacing w:after="0" w:line="264" w:lineRule="auto"/>
        <w:rPr>
          <w:sz w:val="20"/>
          <w:szCs w:val="20"/>
          <w:color w:val="auto"/>
        </w:rPr>
      </w:pPr>
      <w:r>
        <w:rPr>
          <w:rFonts w:ascii="Arial" w:cs="Arial" w:eastAsia="Arial" w:hAnsi="Arial"/>
          <w:sz w:val="17"/>
          <w:szCs w:val="17"/>
          <w:color w:val="auto"/>
        </w:rPr>
        <w:t>We adopted an equity incentive plan in October 2017, or the 2017 Plan, for the purpose of granting share based compensation awards to employees, officers, directors and consultants to incentivize their performance and promote the success of our business.</w:t>
      </w:r>
    </w:p>
    <w:p>
      <w:pPr>
        <w:spacing w:after="0" w:line="168" w:lineRule="exact"/>
        <w:rPr>
          <w:sz w:val="20"/>
          <w:szCs w:val="20"/>
          <w:color w:val="auto"/>
        </w:rPr>
      </w:pPr>
    </w:p>
    <w:p>
      <w:pPr>
        <w:ind w:right="80" w:firstLine="547"/>
        <w:spacing w:after="0" w:line="336" w:lineRule="auto"/>
        <w:rPr>
          <w:sz w:val="20"/>
          <w:szCs w:val="20"/>
          <w:color w:val="auto"/>
        </w:rPr>
      </w:pPr>
      <w:r>
        <w:rPr>
          <w:rFonts w:ascii="Arial" w:cs="Arial" w:eastAsia="Arial" w:hAnsi="Arial"/>
          <w:sz w:val="13"/>
          <w:szCs w:val="13"/>
          <w:color w:val="auto"/>
        </w:rPr>
        <w:t>We account for compensation costs for all share-based awards using a fair-value based method and recognize expenses in our consolidated statements of operations in accordance with U.S. GAAP. Under the 2017 Plan, we are authorized to grant options, restricted stock units and other types of awards the administrator of the 2017 Plan decides. Under the 2017 Plan, the maximum aggregate number of shares which may be issued pursuant to all awards is 829,349 shares. As of the date of this annual report, options to purchase a total of 35,433 ordinary shares were outstanding under the 2017 Plan. All of the ordinary shares reserved and issuable upon the exercise of options granted pursuant to the 2017 Plan shall, upon issuance of such ordinary shares, be designated as Class C ordinary shares. We believe the granting of share-based awards is of significant importance to our ability to attract and retain key personnel and employees, and we will continue to grant share-based awards in the future. As a result, our expenses associated with share-based compensation may increase, which may have an adverse effect on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benefits plans as required by PRC regulations may subject us to penalties.</w:t>
      </w:r>
    </w:p>
    <w:p>
      <w:pPr>
        <w:spacing w:after="0" w:line="103" w:lineRule="exact"/>
        <w:rPr>
          <w:sz w:val="20"/>
          <w:szCs w:val="20"/>
          <w:color w:val="auto"/>
        </w:rPr>
      </w:pPr>
    </w:p>
    <w:p>
      <w:pPr>
        <w:ind w:firstLine="547"/>
        <w:spacing w:after="0" w:line="264" w:lineRule="auto"/>
        <w:rPr>
          <w:sz w:val="20"/>
          <w:szCs w:val="20"/>
          <w:color w:val="auto"/>
        </w:rPr>
      </w:pPr>
      <w:r>
        <w:rPr>
          <w:rFonts w:ascii="Arial" w:cs="Arial" w:eastAsia="Arial" w:hAnsi="Arial"/>
          <w:sz w:val="16"/>
          <w:szCs w:val="16"/>
          <w:color w:val="auto"/>
        </w:rPr>
        <w:t>Companies operating in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employees up to a maximum amount specified by the local government from time to time at locations where our employees are based. The requirement of employee benefit plans has not been implemented consistently by the local governments in China given the different levels of economic development in different locations. Our failure in making contributions to various employee benefit plans and in complying with applicable PRC labor-related laws may subject us to late payment penalties, and we could be required to make up the contributions for these plans as well as to pay late fees and fines. If we are subject to late fees or fines in relation to the underpaid employee benefits, our financial condition and results of operations may be adversely affected. In addition, to the extent that we can make a reasonable estimate of the liability arising from our failure in making full contributions to various employee benefit plans, we record a related contingent liability. However, the amount of our estimates may be inaccurate, in which case our financial condition and cash flow may be adversely affected if we were to pay late fees or fines in relation to the underpaid employee benefits.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labor costs in the PRC may adversely affect our business and results of operations.</w:t>
      </w:r>
    </w:p>
    <w:p>
      <w:pPr>
        <w:spacing w:after="0" w:line="103" w:lineRule="exact"/>
        <w:rPr>
          <w:sz w:val="20"/>
          <w:szCs w:val="20"/>
          <w:color w:val="auto"/>
        </w:rPr>
      </w:pPr>
    </w:p>
    <w:p>
      <w:pPr>
        <w:ind w:right="40" w:firstLine="547"/>
        <w:spacing w:after="0" w:line="286" w:lineRule="auto"/>
        <w:rPr>
          <w:sz w:val="20"/>
          <w:szCs w:val="20"/>
          <w:color w:val="auto"/>
        </w:rPr>
      </w:pPr>
      <w:r>
        <w:rPr>
          <w:rFonts w:ascii="Arial" w:cs="Arial" w:eastAsia="Arial" w:hAnsi="Arial"/>
          <w:sz w:val="15"/>
          <w:szCs w:val="15"/>
          <w:color w:val="auto"/>
        </w:rPr>
        <w:t>The currently effective PRC Labor Contract Law was first adopted on June 29, 2007 and later amended on December 28, 2012. The PRC Labor Contract Law has reinforced the protection of employees who, under the PRC Labor Contract Law, have the right, among others, to have written employment contracts, to enter into employment contracts with no fixed term under certain circumstances, to receive overtime wages and to terminate or alter terms in labor contracts. Furthermore, the PRC Labor Contract Law sets forth additional restrictions and increases the costs involved with dismissing employees. To the extent that we need to significantly reduce our workforce, the PRC Labor Contract Law could adversely affect our ability to do so in a timely and cost-effective manner, and our results of operations could be adversely affected. In addition, for employees whose employment contracts include noncompetition terms, the PRC Labor Contract Law requires us to pay monthly compensation after such employment is terminated, which will increase our operating expenses.</w:t>
      </w:r>
    </w:p>
    <w:p>
      <w:pPr>
        <w:spacing w:after="0" w:line="156" w:lineRule="exact"/>
        <w:rPr>
          <w:sz w:val="20"/>
          <w:szCs w:val="20"/>
          <w:color w:val="auto"/>
        </w:rPr>
      </w:pPr>
    </w:p>
    <w:p>
      <w:pPr>
        <w:ind w:right="60" w:firstLine="547"/>
        <w:spacing w:after="0" w:line="285" w:lineRule="auto"/>
        <w:rPr>
          <w:sz w:val="20"/>
          <w:szCs w:val="20"/>
          <w:color w:val="auto"/>
        </w:rPr>
      </w:pPr>
      <w:r>
        <w:rPr>
          <w:rFonts w:ascii="Arial" w:cs="Arial" w:eastAsia="Arial" w:hAnsi="Arial"/>
          <w:sz w:val="15"/>
          <w:szCs w:val="15"/>
          <w:color w:val="auto"/>
        </w:rPr>
        <w:t>In addition, we are required by PRC laws and regulations to make social insurance registration and open housing fund account with relevant governmental authorities and pay various statutory employee benefits, including pensions, housing fund, medical insurance, work-related injury insurance, unemployment insurance and maternity insurance to designated government agencies for the benefit of our employees. The relevant government agencies may examine whether an employer has made adequate payments of the requisite statutory employee benefits, and those employers who fail to make adequate payments may be subject to late payment fees, fines and/or other penalties. If we fail to make adequate social insurance and housing fund contributions, we may be subject to fines and legal sanctions, and our business, financial condition and results of operations may be adversely affected. We expect that our labor costs, including wages and employee benefits, will continue to increase. Unless we are able to pass on these increased labor costs to our customers by increasing the prices of our products and services, our financial conditions and results of operations would be materially and adversely affected.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We face certain risks relating to the real properties that we lease.</w:t>
      </w:r>
    </w:p>
    <w:p>
      <w:pPr>
        <w:spacing w:after="0" w:line="103" w:lineRule="exact"/>
        <w:rPr>
          <w:sz w:val="20"/>
          <w:szCs w:val="20"/>
          <w:color w:val="auto"/>
        </w:rPr>
      </w:pPr>
    </w:p>
    <w:p>
      <w:pPr>
        <w:ind w:right="20" w:firstLine="547"/>
        <w:spacing w:after="0" w:line="249" w:lineRule="auto"/>
        <w:rPr>
          <w:sz w:val="20"/>
          <w:szCs w:val="20"/>
          <w:color w:val="auto"/>
        </w:rPr>
      </w:pPr>
      <w:r>
        <w:rPr>
          <w:rFonts w:ascii="Arial" w:cs="Arial" w:eastAsia="Arial" w:hAnsi="Arial"/>
          <w:sz w:val="17"/>
          <w:szCs w:val="17"/>
          <w:color w:val="auto"/>
        </w:rPr>
        <w:t>We lease real properties from third parties primarily for our office use in China, and the lease agreements for most of these leased properties have not been registered with the PRC governmental authorities as required by PRC law.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and RMB10,000 for our lease agreements that have not been registered with the relevant PRC governmental authorities.</w:t>
      </w:r>
    </w:p>
    <w:p>
      <w:pPr>
        <w:spacing w:after="0" w:line="182" w:lineRule="exact"/>
        <w:rPr>
          <w:sz w:val="20"/>
          <w:szCs w:val="20"/>
          <w:color w:val="auto"/>
        </w:rPr>
      </w:pPr>
    </w:p>
    <w:p>
      <w:pPr>
        <w:ind w:right="140" w:firstLine="547"/>
        <w:spacing w:after="0" w:line="251" w:lineRule="auto"/>
        <w:rPr>
          <w:sz w:val="20"/>
          <w:szCs w:val="20"/>
          <w:color w:val="auto"/>
        </w:rPr>
      </w:pPr>
      <w:r>
        <w:rPr>
          <w:rFonts w:ascii="Arial" w:cs="Arial" w:eastAsia="Arial" w:hAnsi="Arial"/>
          <w:sz w:val="17"/>
          <w:szCs w:val="17"/>
          <w:color w:val="auto"/>
        </w:rPr>
        <w:t>As of the date of this annual report, we are not aware of any regulatory or governmental actions, claims or investigations being contemplated or any challenges by third parties to our use of our leased properties the lease agreements of which have not been registered with the government authorities. However, we cannot assure you that the government authorities will not impose fines on us due to our failure to register any of our lease agreements, which may negatively impact our financial condition.</w:t>
      </w:r>
    </w:p>
    <w:p>
      <w:pPr>
        <w:spacing w:after="0" w:line="179" w:lineRule="exact"/>
        <w:rPr>
          <w:sz w:val="20"/>
          <w:szCs w:val="20"/>
          <w:color w:val="auto"/>
        </w:rPr>
      </w:pPr>
    </w:p>
    <w:p>
      <w:pPr>
        <w:ind w:right="20" w:firstLine="547"/>
        <w:spacing w:after="0" w:line="284" w:lineRule="auto"/>
        <w:rPr>
          <w:sz w:val="20"/>
          <w:szCs w:val="20"/>
          <w:color w:val="auto"/>
        </w:rPr>
      </w:pPr>
      <w:r>
        <w:rPr>
          <w:rFonts w:ascii="Arial" w:cs="Arial" w:eastAsia="Arial" w:hAnsi="Arial"/>
          <w:sz w:val="15"/>
          <w:szCs w:val="15"/>
          <w:color w:val="auto"/>
        </w:rPr>
        <w:t>We lease real properties from third parties in China for marketing and providing offline consultation related to our online services for potential students or existing students. 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As of the date of this annual report, we are not aware of any claim or challenge brought by any third parties concerning the use of our leased properties without obtaining proper ownership proof. If our lease 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interrupted.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depend on the performance of the internet infrastructure and telecommunications networks in China.</w:t>
      </w:r>
    </w:p>
    <w:p>
      <w:pPr>
        <w:spacing w:after="0" w:line="103" w:lineRule="exact"/>
        <w:rPr>
          <w:sz w:val="20"/>
          <w:szCs w:val="20"/>
          <w:color w:val="auto"/>
        </w:rPr>
      </w:pPr>
    </w:p>
    <w:p>
      <w:pPr>
        <w:ind w:firstLine="547"/>
        <w:spacing w:after="0" w:line="284" w:lineRule="auto"/>
        <w:rPr>
          <w:sz w:val="20"/>
          <w:szCs w:val="20"/>
          <w:color w:val="auto"/>
        </w:rPr>
      </w:pPr>
      <w:r>
        <w:rPr>
          <w:rFonts w:ascii="Arial" w:cs="Arial" w:eastAsia="Arial" w:hAnsi="Arial"/>
          <w:sz w:val="15"/>
          <w:szCs w:val="15"/>
          <w:color w:val="auto"/>
        </w:rPr>
        <w:t>The successful operation of our business depends on the performance of the internet infrastructure and telecommunications networks in China. Almost all access to the internet is maintained through state-owned telecommunications operators under the administrative control and regulatory supervision of the MIIT. Moreover, we have entered into contracts with various subsidiaries of a limited number of telecommunications service providers at provincial level and rely on them to provide us with data communications capacity through local telecommunications lines. We have limited access to alternative networks or services in the event of disruptions, failures or other problems with China’s internet infrastructure or the telecommunications networks provided by telecommunications service providers. Our platform regularly serves a large number of users and advertisers. With the expansion of our business, we may be required to upgrade our technology and infrastructure to keep up with the increasing traffic on our platform. However, we have no control over the costs of the services provided by telecommunications service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w:t>
      </w:r>
    </w:p>
    <w:p>
      <w:pPr>
        <w:spacing w:after="0" w:line="256" w:lineRule="exact"/>
        <w:rPr>
          <w:sz w:val="20"/>
          <w:szCs w:val="20"/>
          <w:color w:val="auto"/>
        </w:rPr>
      </w:pPr>
    </w:p>
    <w:p>
      <w:pPr>
        <w:ind w:right="460"/>
        <w:spacing w:after="0" w:line="264" w:lineRule="auto"/>
        <w:rPr>
          <w:sz w:val="20"/>
          <w:szCs w:val="20"/>
          <w:color w:val="auto"/>
        </w:rPr>
      </w:pPr>
      <w:r>
        <w:rPr>
          <w:rFonts w:ascii="Arial" w:cs="Arial" w:eastAsia="Arial" w:hAnsi="Arial"/>
          <w:sz w:val="17"/>
          <w:szCs w:val="17"/>
          <w:b w:val="1"/>
          <w:bCs w:val="1"/>
          <w:i w:val="1"/>
          <w:iCs w:val="1"/>
          <w:color w:val="auto"/>
        </w:rPr>
        <w:t>We and certain of our directors and officers have been named as defendants in several shareholder class action lawsuits, which could have a material adverse impact on our business, financial condition, results of operation, cash flows and reputation.</w:t>
      </w:r>
    </w:p>
    <w:p>
      <w:pPr>
        <w:spacing w:after="0" w:line="68" w:lineRule="exact"/>
        <w:rPr>
          <w:sz w:val="20"/>
          <w:szCs w:val="20"/>
          <w:color w:val="auto"/>
        </w:rPr>
      </w:pPr>
    </w:p>
    <w:p>
      <w:pPr>
        <w:ind w:right="20" w:firstLine="547"/>
        <w:spacing w:after="0" w:line="264" w:lineRule="auto"/>
        <w:rPr>
          <w:sz w:val="20"/>
          <w:szCs w:val="20"/>
          <w:color w:val="auto"/>
        </w:rPr>
      </w:pPr>
      <w:r>
        <w:rPr>
          <w:rFonts w:ascii="Arial" w:cs="Arial" w:eastAsia="Arial" w:hAnsi="Arial"/>
          <w:sz w:val="16"/>
          <w:szCs w:val="16"/>
          <w:color w:val="auto"/>
        </w:rPr>
        <w:t>We will have to defend against the class actions described in “Item 8. Financial Information—A. Consolidated Statements and Other Financial Information— Legal Proceedings,” including any appeals of such lawsuits should our initial defense be unsuccessful. We are currently unable to estimate the potential loss, if any, associated with the resolution of such lawsuit. We cannot guarantee that we will not be a target for lawsuits in the future, including putative class action lawsuits brought by shareholders.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or changes to our business practices, and thus have a material adverse effect on our business, financial condition, results of operation, cash flows and reputation. In addition, there can be no assurance that our insurance carriers will cover all or part of the defense costs, or any liabilities that may arise from these matters. The litigation process may utilize a significant portion of our cash resources and divert management’s attention from the day-to-day operations of our company, all of which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3" w:name="page24"/>
    <w:bookmarkEnd w:id="23"/>
    <w:p>
      <w:pPr>
        <w:ind w:right="280"/>
        <w:spacing w:after="0" w:line="264" w:lineRule="auto"/>
        <w:rPr>
          <w:sz w:val="20"/>
          <w:szCs w:val="20"/>
          <w:color w:val="auto"/>
        </w:rPr>
      </w:pPr>
      <w:r>
        <w:rPr>
          <w:rFonts w:ascii="Arial" w:cs="Arial" w:eastAsia="Arial" w:hAnsi="Arial"/>
          <w:sz w:val="17"/>
          <w:szCs w:val="17"/>
          <w:color w:val="auto"/>
        </w:rPr>
        <w:t>could harm our business. We also may be subject to claims for indemnification related to these matters, and we cannot predict the impact that indemnification claims may have on our business or financial results.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do not have any business insurance coverage.</w:t>
      </w:r>
    </w:p>
    <w:p>
      <w:pPr>
        <w:spacing w:after="0" w:line="103" w:lineRule="exact"/>
        <w:rPr>
          <w:sz w:val="20"/>
          <w:szCs w:val="20"/>
          <w:color w:val="auto"/>
        </w:rPr>
      </w:pPr>
    </w:p>
    <w:p>
      <w:pPr>
        <w:ind w:right="320" w:firstLine="547"/>
        <w:spacing w:after="0" w:line="249" w:lineRule="auto"/>
        <w:rPr>
          <w:sz w:val="20"/>
          <w:szCs w:val="20"/>
          <w:color w:val="auto"/>
        </w:rPr>
      </w:pPr>
      <w:r>
        <w:rPr>
          <w:rFonts w:ascii="Arial" w:cs="Arial" w:eastAsia="Arial" w:hAnsi="Arial"/>
          <w:sz w:val="17"/>
          <w:szCs w:val="17"/>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282" w:lineRule="exact"/>
        <w:rPr>
          <w:sz w:val="20"/>
          <w:szCs w:val="20"/>
          <w:color w:val="auto"/>
        </w:rPr>
      </w:pPr>
    </w:p>
    <w:p>
      <w:pPr>
        <w:ind w:right="420"/>
        <w:spacing w:after="0" w:line="264" w:lineRule="auto"/>
        <w:rPr>
          <w:sz w:val="20"/>
          <w:szCs w:val="20"/>
          <w:color w:val="auto"/>
        </w:rPr>
      </w:pPr>
      <w:r>
        <w:rPr>
          <w:rFonts w:ascii="Arial" w:cs="Arial" w:eastAsia="Arial" w:hAnsi="Arial"/>
          <w:sz w:val="17"/>
          <w:szCs w:val="17"/>
          <w:b w:val="1"/>
          <w:bCs w:val="1"/>
          <w:i w:val="1"/>
          <w:iCs w:val="1"/>
          <w:color w:val="auto"/>
        </w:rPr>
        <w:t>We face risks related to natural disasters, extreme weather conditions, health epidemics and other catastrophic incidents, which could significantly disrupt our operations.</w:t>
      </w:r>
    </w:p>
    <w:p>
      <w:pPr>
        <w:spacing w:after="0" w:line="68" w:lineRule="exact"/>
        <w:rPr>
          <w:sz w:val="20"/>
          <w:szCs w:val="20"/>
          <w:color w:val="auto"/>
        </w:rPr>
      </w:pPr>
    </w:p>
    <w:p>
      <w:pPr>
        <w:ind w:right="180" w:firstLine="547"/>
        <w:spacing w:after="0" w:line="353" w:lineRule="auto"/>
        <w:rPr>
          <w:sz w:val="20"/>
          <w:szCs w:val="20"/>
          <w:color w:val="auto"/>
        </w:rPr>
      </w:pPr>
      <w:r>
        <w:rPr>
          <w:rFonts w:ascii="Arial" w:cs="Arial" w:eastAsia="Arial" w:hAnsi="Arial"/>
          <w:sz w:val="13"/>
          <w:szCs w:val="13"/>
          <w:color w:val="auto"/>
        </w:rPr>
        <w:t>China has in the past experienced significant natural disasters, including earthquakes, extreme weather conditions, as well as health scares related to epidemic diseases, and any similar event could materially impact our business in the future. If a disaster or other disruption were to occur in the future that affects the regions where we operate our business, our operations could be materially and adversely affected due to loss of personnel and damages to property. Even if we are not directly affected, such a disaster or disruption could affect the operations or financial condition of our ecosystem participants, which could harm our results of operations.</w:t>
      </w:r>
    </w:p>
    <w:p>
      <w:pPr>
        <w:spacing w:after="0" w:line="117" w:lineRule="exact"/>
        <w:rPr>
          <w:sz w:val="20"/>
          <w:szCs w:val="20"/>
          <w:color w:val="auto"/>
        </w:rPr>
      </w:pPr>
    </w:p>
    <w:p>
      <w:pPr>
        <w:ind w:firstLine="547"/>
        <w:spacing w:after="0" w:line="280" w:lineRule="auto"/>
        <w:rPr>
          <w:sz w:val="20"/>
          <w:szCs w:val="20"/>
          <w:color w:val="auto"/>
        </w:rPr>
      </w:pPr>
      <w:r>
        <w:rPr>
          <w:rFonts w:ascii="Arial" w:cs="Arial" w:eastAsia="Arial" w:hAnsi="Arial"/>
          <w:sz w:val="15"/>
          <w:szCs w:val="15"/>
          <w:color w:val="auto"/>
        </w:rPr>
        <w:t>In addition, accidents, disasters and public health challenges in China and globally could impact our business and results of operations. These types of events could negatively impact user activity and our local operations, if any, in the affected regions, or, depending upon the severity, across China or globally, which could adversely impact our business and results of operations. For example, the outbreak of coronavirus, or COVID-19, had caused temporary interruptions to the learning activities of our students and operations of our business partners and negatively affected certain aspects of our business operations in 2020. For example, the Self-taught Higher Education Examination, or the STE, a state-administered exam in China for learners pursuing associate diplomas or bachelor’s degrees, was postponed by the Ministry of Education of the PRC as a result of the COVID-19 pandemic, resulting in fluctuations in enrollments for our STE courses which have historically represented a significant portion of our net revenues, gross billings and new student enrollments of our online course offerings. We have taken precautionary measures intended to minimize the risks of COVID-19 to our students, employees, teachers, mentors and business partners, including temporarily requiring our employees to work remotely or canceling or postponing sponsored offline events and activities, which could compromise our efficiency and productivity during such periods, require us to incur additional costs, slow down our branding and marketing efforts, and result in fluctuations in our results of operations. While the foregoing restrictions and measures have been eased and our business operations have been recovered, our results of operations may be adversely affected to the extent that COVID-19 continues to affect the Chinese economy in general. Additionally, as COVID-19 continues to evolve into a worldwide health crisis that could adversely affect the economies and financial markets of countries other than China, it may potentially result in an economic downturn that could affect demand for our users, business partners and services and therefore materially adversely affect our business, financial condition and results of operations. Furthermore, to the extent the COVID-19 pandemic adversely affects our business and financial results, it may also have the effect of heightening many of the other risks described in this section entitled “Item 3. Key Information— 3.D. Risk Factors,” such as those relating to our ability to improve or expand our product and service offerings, and to retain existing or attract new advertising customers, among other things.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Corporate Structure</w:t>
      </w:r>
    </w:p>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77" w:lineRule="exact"/>
        <w:rPr>
          <w:sz w:val="20"/>
          <w:szCs w:val="20"/>
          <w:color w:val="auto"/>
        </w:rPr>
      </w:pPr>
    </w:p>
    <w:p>
      <w:pPr>
        <w:ind w:right="80" w:firstLine="547"/>
        <w:spacing w:after="0" w:line="269" w:lineRule="auto"/>
        <w:rPr>
          <w:sz w:val="20"/>
          <w:szCs w:val="20"/>
          <w:color w:val="auto"/>
        </w:rPr>
      </w:pPr>
      <w:r>
        <w:rPr>
          <w:rFonts w:ascii="Arial" w:cs="Arial" w:eastAsia="Arial" w:hAnsi="Arial"/>
          <w:sz w:val="16"/>
          <w:szCs w:val="16"/>
          <w:color w:val="auto"/>
        </w:rPr>
        <w:t>Foreign investment in the value-added telecommunication services industry in China is extensively regulated and subject to numerous restrictions. Pursuant to the list of special management measures for the market entry of foreign investment, or the Negative List, published by the National Development and Reform Commission and the Ministry of Commerce on June 23, 2020 and effective on July 23, 2020, with a few exceptions, foreign investors are not allowed to own more than 50% of the equity interests in a value-added telecommunication service provider. Specifically, any foreign investor must have experience in providing value-added telecommunications services overseas and maintain a good track record.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4" w:name="page25"/>
    <w:bookmarkEnd w:id="24"/>
    <w:p>
      <w:pPr>
        <w:ind w:firstLine="547"/>
        <w:spacing w:after="0" w:line="265" w:lineRule="auto"/>
        <w:rPr>
          <w:sz w:val="20"/>
          <w:szCs w:val="20"/>
          <w:color w:val="auto"/>
        </w:rPr>
      </w:pPr>
      <w:r>
        <w:rPr>
          <w:rFonts w:ascii="Arial" w:cs="Arial" w:eastAsia="Arial" w:hAnsi="Arial"/>
          <w:sz w:val="16"/>
          <w:szCs w:val="16"/>
          <w:color w:val="auto"/>
        </w:rPr>
        <w:t>We are a Cayman Islands company and our wholly-owned PRC subsidiaries are currently considered foreign-invested enterprise. Accordingly, our PRC subsidiaries are not eligible to provide value-added telecommunication services in China. To ensure strict compliance with the PRC laws and regulations, we conduct such business activities through our consolidated variable interest entities, or our VIEs, and their respective subsidiaries. Our wholly owned subsidiaries in China have entered into a series of contractual arrangements with our VIEs, their respective shareholders and their respective subsidiaries, which enable us to (i) exercise effective control over our VIEs, (ii) receive substantially all of the economic benefits of our VIEs, and (iii) have an exclusive option to purchase all or part of the equity interests and assets in our VIEs when and to the extent permitted by PRC law. As a result of these contractual arrangements, we have control over and are the primary beneficiary of our VIEs and hence consolidate its financial results as our VIEs under U.S. GAAP. See “Item 4. Information of the Company—4.C. Organizational Structure” for further details.</w:t>
      </w:r>
    </w:p>
    <w:p>
      <w:pPr>
        <w:spacing w:after="0" w:line="169" w:lineRule="exact"/>
        <w:rPr>
          <w:sz w:val="20"/>
          <w:szCs w:val="20"/>
          <w:color w:val="auto"/>
        </w:rPr>
      </w:pPr>
    </w:p>
    <w:p>
      <w:pPr>
        <w:ind w:right="60" w:firstLine="547"/>
        <w:spacing w:after="0" w:line="284" w:lineRule="auto"/>
        <w:rPr>
          <w:sz w:val="20"/>
          <w:szCs w:val="20"/>
          <w:color w:val="auto"/>
        </w:rPr>
      </w:pPr>
      <w:r>
        <w:rPr>
          <w:rFonts w:ascii="Arial" w:cs="Arial" w:eastAsia="Arial" w:hAnsi="Arial"/>
          <w:sz w:val="15"/>
          <w:szCs w:val="15"/>
          <w:color w:val="auto"/>
        </w:rPr>
        <w:t>It is uncertain whether any new PRC laws, rules or regulations relating to variable interest entity structures will be adopted or if adopted, what they would provide. In particular, the MOJ Draft provide that, among other things, entities implementing group-based education shall not control non-profit schools by merger, acquisition, franchise or contractual arrangements. The MOJ Draft also provide that transactions among private schools and their affiliates shall be fair and open to public, for those agreements entered into by non-profit schools and their affiliates which is long-term or involving important interests or repeated performance, the educational authorities shall audit the necessity, legitimacy and compliance of such agreements. As of the date of this annual report, two of our schools are privately run non-enterprise institution and have not made the election to be registered as a for-profit or non-profit school. We will choose to be registered as a for-profit school for such school. However, we may not be able to complete the registration in timely manner given that more specific and stringent registration requirements and guidelines are expected to be introduced by the competent local authorities. Otherwise, the validity and enforceability of our contractual arrangements may be challenged. It is uncertain when the MOJ Draft would be signed into law and whether the final version would have any substantial changes from the draft.</w:t>
      </w:r>
    </w:p>
    <w:p>
      <w:pPr>
        <w:spacing w:after="0" w:line="156" w:lineRule="exact"/>
        <w:rPr>
          <w:sz w:val="20"/>
          <w:szCs w:val="20"/>
          <w:color w:val="auto"/>
        </w:rPr>
      </w:pPr>
    </w:p>
    <w:p>
      <w:pPr>
        <w:jc w:val="both"/>
        <w:ind w:right="60" w:firstLine="547"/>
        <w:spacing w:after="0" w:line="251" w:lineRule="auto"/>
        <w:rPr>
          <w:sz w:val="20"/>
          <w:szCs w:val="20"/>
          <w:color w:val="auto"/>
        </w:rPr>
      </w:pPr>
      <w:r>
        <w:rPr>
          <w:rFonts w:ascii="Arial" w:cs="Arial" w:eastAsia="Arial" w:hAnsi="Arial"/>
          <w:sz w:val="17"/>
          <w:szCs w:val="17"/>
          <w:color w:val="auto"/>
        </w:rPr>
        <w:t>If the PRC government finds that our contractual arrangements do not comply with its restrictions on foreign investment in the value-added telecommunication services, or if the PRC government otherwise finds that we, our VIEs, or any of its subsidiaries are in violation of PRC laws or regulations or lack the necessary permits or licenses to operate our business, the relevant PRC regulatory authorities, including the MIIT and SAMR, would have broad discretion in dealing with such violations or failures, including, without limitation:</w:t>
      </w:r>
    </w:p>
    <w:p>
      <w:pPr>
        <w:spacing w:after="0" w:line="79" w:lineRule="exact"/>
        <w:rPr>
          <w:sz w:val="20"/>
          <w:szCs w:val="20"/>
          <w:color w:val="auto"/>
        </w:rPr>
      </w:pPr>
    </w:p>
    <w:p>
      <w:pPr>
        <w:ind w:left="1080" w:hanging="545"/>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revoking the business licenses and/or operating licenses of such entities;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discontinuing or placing restrictions or onerous conditions on our operation through any transactions between our PRC subsidiaries and our VIEs;</w:t>
      </w:r>
    </w:p>
    <w:p>
      <w:pPr>
        <w:spacing w:after="0" w:line="126" w:lineRule="exact"/>
        <w:rPr>
          <w:rFonts w:ascii="Arial" w:cs="Arial" w:eastAsia="Arial" w:hAnsi="Arial"/>
          <w:sz w:val="15"/>
          <w:szCs w:val="15"/>
          <w:color w:val="auto"/>
        </w:rPr>
      </w:pPr>
    </w:p>
    <w:p>
      <w:pPr>
        <w:ind w:left="1080" w:right="60" w:hanging="545"/>
        <w:spacing w:after="0" w:line="264"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imposing fines, confiscating the income from our PRC subsidiaries or our VIEs, or imposing other requirements with which we or our VIEs may not be able to comply;</w:t>
      </w:r>
    </w:p>
    <w:p>
      <w:pPr>
        <w:spacing w:after="0" w:line="68" w:lineRule="exact"/>
        <w:rPr>
          <w:rFonts w:ascii="Arial" w:cs="Arial" w:eastAsia="Arial" w:hAnsi="Arial"/>
          <w:sz w:val="17"/>
          <w:szCs w:val="17"/>
          <w:color w:val="auto"/>
        </w:rPr>
      </w:pPr>
    </w:p>
    <w:p>
      <w:pPr>
        <w:ind w:left="1080" w:hanging="545"/>
        <w:spacing w:after="0" w:line="254"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requiring us to restructure our ownership structure or operations, including terminating the contractual arrangements with our VIEs and deregistering the equity pledges of our VIEs, which in turn would affect our ability to consolidate, derive economic interests from, or exert effective control over our VIEs; or</w:t>
      </w:r>
    </w:p>
    <w:p>
      <w:pPr>
        <w:spacing w:after="0" w:line="76" w:lineRule="exact"/>
        <w:rPr>
          <w:rFonts w:ascii="Arial" w:cs="Arial" w:eastAsia="Arial" w:hAnsi="Arial"/>
          <w:sz w:val="17"/>
          <w:szCs w:val="17"/>
          <w:color w:val="auto"/>
        </w:rPr>
      </w:pPr>
    </w:p>
    <w:p>
      <w:pPr>
        <w:ind w:left="1080" w:hanging="545"/>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restricting or prohibiting our use of the proceeds of our initial public offering to finance our business and operations in China.</w:t>
      </w:r>
    </w:p>
    <w:p>
      <w:pPr>
        <w:spacing w:after="0" w:line="203" w:lineRule="exact"/>
        <w:rPr>
          <w:sz w:val="20"/>
          <w:szCs w:val="20"/>
          <w:color w:val="auto"/>
        </w:rPr>
      </w:pPr>
    </w:p>
    <w:p>
      <w:pPr>
        <w:ind w:right="180" w:firstLine="547"/>
        <w:spacing w:after="0" w:line="251" w:lineRule="auto"/>
        <w:rPr>
          <w:sz w:val="20"/>
          <w:szCs w:val="20"/>
          <w:color w:val="auto"/>
        </w:rPr>
      </w:pPr>
      <w:r>
        <w:rPr>
          <w:rFonts w:ascii="Arial" w:cs="Arial" w:eastAsia="Arial" w:hAnsi="Arial"/>
          <w:sz w:val="17"/>
          <w:szCs w:val="17"/>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VIEs that most significantly impact its economic performance and/or our failure to receive the economic benefits from our VIEs, we may not be able to consolidate the entity in our consolidated financial statements in accordance with GAAP.</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25" w:name="page26"/>
    <w:bookmarkEnd w:id="25"/>
    <w:p>
      <w:pPr>
        <w:spacing w:after="0" w:line="264" w:lineRule="auto"/>
        <w:rPr>
          <w:sz w:val="20"/>
          <w:szCs w:val="20"/>
          <w:color w:val="auto"/>
        </w:rPr>
      </w:pPr>
      <w:r>
        <w:rPr>
          <w:rFonts w:ascii="Arial" w:cs="Arial" w:eastAsia="Arial" w:hAnsi="Arial"/>
          <w:sz w:val="17"/>
          <w:szCs w:val="17"/>
          <w:b w:val="1"/>
          <w:bCs w:val="1"/>
          <w:i w:val="1"/>
          <w:iCs w:val="1"/>
          <w:color w:val="auto"/>
        </w:rPr>
        <w:t>We rely on contractual arrangements with our VIEs and their respective shareholders for a large portion of our business operations which may not be as effective as direct ownership in providing operational control.</w:t>
      </w:r>
    </w:p>
    <w:p>
      <w:pPr>
        <w:spacing w:after="0" w:line="68" w:lineRule="exact"/>
        <w:rPr>
          <w:sz w:val="20"/>
          <w:szCs w:val="20"/>
          <w:color w:val="auto"/>
        </w:rPr>
      </w:pPr>
    </w:p>
    <w:p>
      <w:pPr>
        <w:ind w:right="160" w:firstLine="547"/>
        <w:spacing w:after="0" w:line="269" w:lineRule="auto"/>
        <w:rPr>
          <w:sz w:val="20"/>
          <w:szCs w:val="20"/>
          <w:color w:val="auto"/>
        </w:rPr>
      </w:pPr>
      <w:r>
        <w:rPr>
          <w:rFonts w:ascii="Arial" w:cs="Arial" w:eastAsia="Arial" w:hAnsi="Arial"/>
          <w:sz w:val="16"/>
          <w:szCs w:val="16"/>
          <w:color w:val="auto"/>
        </w:rPr>
        <w:t>We have relied and expect to continue to rely on contractual arrangements with our VIEs, their respective shareholders and their respective subsidiaries to operate our online education services business in China. These contractual arrangements may not be as effective as direct ownership in providing us with control over our VIEs. For example, our VIEs and their respective shareholders could breach their contractual arrangements with us by, among other things, failing to conduct their operations in an acceptable manner or taking other actions that are detrimental to our interests. The revenues contributed by our VIEs and their respective subsidiaries constituted substantially all of our net revenues in 2018 and 2019, and approximately 50% in 2020.</w:t>
      </w:r>
    </w:p>
    <w:p>
      <w:pPr>
        <w:spacing w:after="0" w:line="165" w:lineRule="exact"/>
        <w:rPr>
          <w:sz w:val="20"/>
          <w:szCs w:val="20"/>
          <w:color w:val="auto"/>
        </w:rPr>
      </w:pPr>
    </w:p>
    <w:p>
      <w:pPr>
        <w:ind w:firstLine="547"/>
        <w:spacing w:after="0" w:line="265" w:lineRule="auto"/>
        <w:rPr>
          <w:sz w:val="20"/>
          <w:szCs w:val="20"/>
          <w:color w:val="auto"/>
        </w:rPr>
      </w:pPr>
      <w:r>
        <w:rPr>
          <w:rFonts w:ascii="Arial" w:cs="Arial" w:eastAsia="Arial" w:hAnsi="Arial"/>
          <w:sz w:val="16"/>
          <w:szCs w:val="16"/>
          <w:color w:val="auto"/>
        </w:rPr>
        <w:t>If we had direct ownership of our VIEs, we would be able to exercise our rights as a shareholder to effect changes in the board of directors of our VIEs, which in turn could implement changes, subject to any applicable fiduciary obligations, at the management and operational level. However, under the current contractual arrangements, we rely on the performance by our VIEs and their respective shareholders of their obligations under the contracts to exercise control over our VIEs. The shareholders of our consolidated VIEs may not act in the best interests of our company or may not perform their obligations under these contracts. Such risks exist throughout the period in which we intend to operate certain portions of our business through the contractual arrangements with our VIEs. If any disputes relating to these contracts remain unresolved, we will have to enforce our rights under these contracts through the operations of PRC law and arbitration, litigation and other legal proceedings and therefore will be subject to uncertainties in the PRC legal system. Therefore, our contractual arrangements with our VIEs may not be as effective in ensuring our control over the relevant portion of our business operations as direct ownership would be.</w:t>
      </w:r>
    </w:p>
    <w:p>
      <w:pPr>
        <w:spacing w:after="0" w:line="268"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b w:val="1"/>
          <w:bCs w:val="1"/>
          <w:i w:val="1"/>
          <w:iCs w:val="1"/>
          <w:color w:val="auto"/>
        </w:rPr>
        <w:t>Any failure by our VIEs or their respective shareholders to perform their obligations under our contractual arrangements with them would have a material and adverse effect on our business.</w:t>
      </w:r>
    </w:p>
    <w:p>
      <w:pPr>
        <w:spacing w:after="0" w:line="68" w:lineRule="exact"/>
        <w:rPr>
          <w:sz w:val="20"/>
          <w:szCs w:val="20"/>
          <w:color w:val="auto"/>
        </w:rPr>
      </w:pPr>
    </w:p>
    <w:p>
      <w:pPr>
        <w:ind w:right="20" w:firstLine="547"/>
        <w:spacing w:after="0" w:line="285" w:lineRule="auto"/>
        <w:rPr>
          <w:sz w:val="20"/>
          <w:szCs w:val="20"/>
          <w:color w:val="auto"/>
        </w:rPr>
      </w:pPr>
      <w:r>
        <w:rPr>
          <w:rFonts w:ascii="Arial" w:cs="Arial" w:eastAsia="Arial" w:hAnsi="Arial"/>
          <w:sz w:val="15"/>
          <w:szCs w:val="15"/>
          <w:color w:val="auto"/>
        </w:rPr>
        <w:t>If our VIEs or their respective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claiming damages, which we cannot assure will be effective under PRC law. For example, if the shareholders of our VIEs refuse to transfer their equity interest in our VIEs to us or our designee if we exercise the purchase option pursuant to these contractual arrangements, or if they otherwise act in bad faith toward us, then we may have to take legal actions to compel them to perform their contractual obligations. In addition, if any third parties claim any interest in such shareholders’ equity interests in our VIEs, our ability to exercise shareholders’ rights or foreclose the share pledge according to the contractual arrangements may be impaired. If these or other disputes between the shareholders of our VIEs and third parties were to impair our control over our VIEs, our ability to consolidate the financial results of our VIEs would be affected, which would in turn result in a material adverse effect on our business, operations and financial condition.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6" w:name="page27"/>
    <w:bookmarkEnd w:id="26"/>
    <w:p>
      <w:pPr>
        <w:ind w:right="60"/>
        <w:spacing w:after="0" w:line="264" w:lineRule="auto"/>
        <w:rPr>
          <w:sz w:val="20"/>
          <w:szCs w:val="20"/>
          <w:color w:val="auto"/>
        </w:rPr>
      </w:pPr>
      <w:r>
        <w:rPr>
          <w:rFonts w:ascii="Arial" w:cs="Arial" w:eastAsia="Arial" w:hAnsi="Arial"/>
          <w:sz w:val="17"/>
          <w:szCs w:val="17"/>
          <w:b w:val="1"/>
          <w:bCs w:val="1"/>
          <w:i w:val="1"/>
          <w:iCs w:val="1"/>
          <w:color w:val="auto"/>
        </w:rPr>
        <w:t>Our contractual arrangements are governed by PRC law. Accordingly, these contracts would be interpreted in accordance with PRC law, and any disputes would be resolved in accordance with PRC legal procedures.</w:t>
      </w:r>
    </w:p>
    <w:p>
      <w:pPr>
        <w:spacing w:after="0" w:line="68" w:lineRule="exact"/>
        <w:rPr>
          <w:sz w:val="20"/>
          <w:szCs w:val="20"/>
          <w:color w:val="auto"/>
        </w:rPr>
      </w:pPr>
    </w:p>
    <w:p>
      <w:pPr>
        <w:ind w:right="40" w:firstLine="547"/>
        <w:spacing w:after="0" w:line="265" w:lineRule="auto"/>
        <w:rPr>
          <w:sz w:val="20"/>
          <w:szCs w:val="20"/>
          <w:color w:val="auto"/>
        </w:rPr>
      </w:pPr>
      <w:r>
        <w:rPr>
          <w:rFonts w:ascii="Arial" w:cs="Arial" w:eastAsia="Arial" w:hAnsi="Arial"/>
          <w:sz w:val="16"/>
          <w:szCs w:val="16"/>
          <w:color w:val="auto"/>
        </w:rPr>
        <w:t>The legal system in the PRC is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which would require additional expenses and delay. In the event we are unable to enforce these contractual arrangements, or if we suffer significant delays or other obstacles in the process of enforcing these contractual arrangements, we may not be able to exert effective control over our VIEs, and our ability to conduct our business may be negatively affected.</w:t>
      </w:r>
    </w:p>
    <w:p>
      <w:pPr>
        <w:spacing w:after="0" w:line="268" w:lineRule="exact"/>
        <w:rPr>
          <w:sz w:val="20"/>
          <w:szCs w:val="20"/>
          <w:color w:val="auto"/>
        </w:rPr>
      </w:pPr>
    </w:p>
    <w:p>
      <w:pPr>
        <w:ind w:right="500"/>
        <w:spacing w:after="0" w:line="264" w:lineRule="auto"/>
        <w:rPr>
          <w:sz w:val="20"/>
          <w:szCs w:val="20"/>
          <w:color w:val="auto"/>
        </w:rPr>
      </w:pPr>
      <w:r>
        <w:rPr>
          <w:rFonts w:ascii="Arial" w:cs="Arial" w:eastAsia="Arial" w:hAnsi="Arial"/>
          <w:sz w:val="17"/>
          <w:szCs w:val="17"/>
          <w:b w:val="1"/>
          <w:bCs w:val="1"/>
          <w:i w:val="1"/>
          <w:iCs w:val="1"/>
          <w:color w:val="auto"/>
        </w:rPr>
        <w:t>The shareholders of our VIEs may have actual or potential conflicts of interest with us, which may materially and adversely affect our business and financial condition.</w:t>
      </w:r>
    </w:p>
    <w:p>
      <w:pPr>
        <w:spacing w:after="0" w:line="68" w:lineRule="exact"/>
        <w:rPr>
          <w:sz w:val="20"/>
          <w:szCs w:val="20"/>
          <w:color w:val="auto"/>
        </w:rPr>
      </w:pPr>
    </w:p>
    <w:p>
      <w:pPr>
        <w:ind w:firstLine="547"/>
        <w:spacing w:after="0" w:line="265" w:lineRule="auto"/>
        <w:rPr>
          <w:sz w:val="20"/>
          <w:szCs w:val="20"/>
          <w:color w:val="auto"/>
        </w:rPr>
      </w:pPr>
      <w:r>
        <w:rPr>
          <w:rFonts w:ascii="Arial" w:cs="Arial" w:eastAsia="Arial" w:hAnsi="Arial"/>
          <w:sz w:val="16"/>
          <w:szCs w:val="16"/>
          <w:color w:val="auto"/>
        </w:rPr>
        <w:t>The shareholders of our VIEs may have actual or potential conflicts of interest with us. These shareholders may refuse to sign or breach, or cause our VIEs to breach, or refuse to renew, the existing contractual arrangements we have with them and our VIEs, which would have a material and adverse effect on our ability to effectively control our VIEs and receive economic benefits from it. For example, the shareholders may be able to cause our agreements with our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our business and subject us to substantial uncertainty as to the outcome of any such legal proceedings.</w:t>
      </w:r>
    </w:p>
    <w:p>
      <w:pPr>
        <w:spacing w:after="0" w:line="26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b w:val="1"/>
          <w:bCs w:val="1"/>
          <w:i w:val="1"/>
          <w:iCs w:val="1"/>
          <w:color w:val="auto"/>
        </w:rPr>
        <w:t>Contractual arrangements in relation to our VIEs may be subject to scrutiny by the PRC tax authorities and they may determine that we or our VIEs owe additional taxes, which could negatively affect our financial condition and the value of your investment.</w:t>
      </w:r>
    </w:p>
    <w:p>
      <w:pPr>
        <w:spacing w:after="0" w:line="68" w:lineRule="exact"/>
        <w:rPr>
          <w:sz w:val="20"/>
          <w:szCs w:val="20"/>
          <w:color w:val="auto"/>
        </w:rPr>
      </w:pPr>
    </w:p>
    <w:p>
      <w:pPr>
        <w:ind w:firstLine="547"/>
        <w:spacing w:after="0" w:line="265"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VIE contractual arrangements were not entered into on an arm’s-length basis in such a way as to result in an impermissible reduction in taxes under applicable PRC laws, rules and regulations, and adjust the income of our VIEs in the form of a transfer pricing adjustment. A transfer pricing adjustment could, among other things, result in a reduction of expense deductions recorded by our VIEs for PRC tax purposes, which could in turn increase its tax liabilities without reducing our PRC subsidiary’s tax expenses. In addition, the PRC tax authorities may impose late payment fees and other penalties on our VIEs for the adjusted but unpaid taxes according to the applicable regulations. Our financial position could be materially and adversely affected if our VIEs’ tax liabilities increase or if it is required to pay late payment fees and other penalties.</w:t>
      </w:r>
    </w:p>
    <w:p>
      <w:pPr>
        <w:spacing w:after="0" w:line="268"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b w:val="1"/>
          <w:bCs w:val="1"/>
          <w:i w:val="1"/>
          <w:iCs w:val="1"/>
          <w:color w:val="auto"/>
        </w:rPr>
        <w:t>We may lose the ability to use, or otherwise benefit from, the licenses, approvals and assets held by our VIEs, which could severely disrupt our business, render us unable to conduct some or all of our business operations and constrain our growth.</w:t>
      </w:r>
    </w:p>
    <w:p>
      <w:pPr>
        <w:spacing w:after="0" w:line="68" w:lineRule="exact"/>
        <w:rPr>
          <w:sz w:val="20"/>
          <w:szCs w:val="20"/>
          <w:color w:val="auto"/>
        </w:rPr>
      </w:pPr>
    </w:p>
    <w:p>
      <w:pPr>
        <w:ind w:firstLine="547"/>
        <w:spacing w:after="0" w:line="265" w:lineRule="auto"/>
        <w:rPr>
          <w:sz w:val="20"/>
          <w:szCs w:val="20"/>
          <w:color w:val="auto"/>
        </w:rPr>
      </w:pPr>
      <w:r>
        <w:rPr>
          <w:rFonts w:ascii="Arial" w:cs="Arial" w:eastAsia="Arial" w:hAnsi="Arial"/>
          <w:sz w:val="16"/>
          <w:szCs w:val="16"/>
          <w:color w:val="auto"/>
        </w:rPr>
        <w:t>As part of our contractual arrangements with our VIEs, our VIEs hold certain assets, licenses and permits that are material to our business operations, such as the ICP License and the License for the Production and Operation of Radio and Television Program. The contractual arrangements contain terms that specifically obligate VIEs’ shareholders to ensure the valid existence of the VIEs and restrict the disposal of material assets of the VIEs. However, in the event our VIEs’ shareholders breach the terms of these contractual arrangements and voluntarily liquidate our VIEs, or our VIEs declares bankruptcy and all or part of its assets become subject to liens or rights of third-party creditors, or are otherwise disposed of without our consent, we may be unable to conduct some or all of our business operations or otherwise benefit from the assets held by our VIEs, which could have a material adverse effect on our business, financial condition and results of operations. Furthermore, if our VIEs undergo a voluntary or involuntary liquidation proceeding, its shareholders or unrelated third-party creditors may claim rights to some or all of the assets of the VIEs, thereby hindering our ability to operate our business as well as constrain our growth.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7" w:name="page28"/>
    <w:bookmarkEnd w:id="27"/>
    <w:p>
      <w:pPr>
        <w:ind w:right="900"/>
        <w:spacing w:after="0" w:line="264" w:lineRule="auto"/>
        <w:rPr>
          <w:sz w:val="20"/>
          <w:szCs w:val="20"/>
          <w:color w:val="auto"/>
        </w:rPr>
      </w:pPr>
      <w:r>
        <w:rPr>
          <w:rFonts w:ascii="Arial" w:cs="Arial" w:eastAsia="Arial" w:hAnsi="Arial"/>
          <w:sz w:val="17"/>
          <w:szCs w:val="17"/>
          <w:b w:val="1"/>
          <w:bCs w:val="1"/>
          <w:i w:val="1"/>
          <w:iCs w:val="1"/>
          <w:color w:val="auto"/>
        </w:rPr>
        <w:t>Certain of our existing shareholders have substantial influence over our company, and their interests may not be aligned with the interests of our other stockholders.</w:t>
      </w:r>
    </w:p>
    <w:p>
      <w:pPr>
        <w:spacing w:after="0" w:line="68" w:lineRule="exact"/>
        <w:rPr>
          <w:sz w:val="20"/>
          <w:szCs w:val="20"/>
          <w:color w:val="auto"/>
        </w:rPr>
      </w:pPr>
    </w:p>
    <w:p>
      <w:pPr>
        <w:ind w:firstLine="547"/>
        <w:spacing w:after="0" w:line="263" w:lineRule="auto"/>
        <w:rPr>
          <w:sz w:val="20"/>
          <w:szCs w:val="20"/>
          <w:color w:val="auto"/>
        </w:rPr>
      </w:pPr>
      <w:r>
        <w:rPr>
          <w:rFonts w:ascii="Arial" w:cs="Arial" w:eastAsia="Arial" w:hAnsi="Arial"/>
          <w:sz w:val="16"/>
          <w:szCs w:val="16"/>
          <w:color w:val="auto"/>
        </w:rPr>
        <w:t>Mr. Peng Ou, our founder and the chairman of our Board of Directors, owns approximately 56.1% of our voting power and Mr. Tongbo Liu, our director and our Chief Executive Officer, owns approximately 21.2% of our voting power as of the date of this annual report. In addition, Mr. Peng Ou, Mr. Tongbo Liu and certain of our senior management and employees collectively beneficially own all of our issued and outstanding Class C ordinary shares which constitute approximately 84.3% of the aggregate voting power of our total issued and outstanding share capital as of the date of this annual report. In addition, up to 429,169 ordinary shares reserved and issuable upon the exercise of options granted pursuant to our equity incentive plan adopted in October 2017 shall be, upon issuance of such ordinary shares, designated as Class C ordinary shares, the voting power of which will be held by certain of our senior employees. See “—Risks Related to the ADSs—Our triple-class share structure with different voting rights will limit your ability to influence corporate matters and could discourage others from pursuing any change of control transactions that holders of our Class A ordinary shares and ADSs may view as beneficial.” As a result, Mr. Peng Ou, Mr. Tongbo Liu and certain of our senior management and employees have significant influence over our business, including decisions regarding mergers, consolidations, liquidations and the sale of all or substantially all of our assets, election of directors and other significant corporate actions. This concentration of ownership may also have the effect of discouraging, delaying or preventing a future change of control, which could deprive our stockholders of an opportunity to receive a premium for their shares as part of a sale of our company and might reduce the price of the ADSs.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Doing Business in China</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26" w:lineRule="exact"/>
        <w:rPr>
          <w:sz w:val="20"/>
          <w:szCs w:val="20"/>
          <w:color w:val="auto"/>
        </w:rPr>
      </w:pPr>
    </w:p>
    <w:p>
      <w:pPr>
        <w:ind w:right="120" w:firstLine="547"/>
        <w:spacing w:after="0" w:line="282" w:lineRule="auto"/>
        <w:rPr>
          <w:sz w:val="20"/>
          <w:szCs w:val="20"/>
          <w:color w:val="auto"/>
        </w:rPr>
      </w:pPr>
      <w:r>
        <w:rPr>
          <w:rFonts w:ascii="Arial" w:cs="Arial" w:eastAsia="Arial" w:hAnsi="Arial"/>
          <w:sz w:val="15"/>
          <w:szCs w:val="15"/>
          <w:color w:val="auto"/>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 Meanwhile, economic conditions in China are sensitive to global economic conditions, changes in domestic economic and political policies and the expected or perceived overall economic growth rate in China. There have been concerns over the relationship among China and other Asian countries, which may result in or intensify potential conflicts in relation to territorial disputes, and the trade disputes between the United States and China. It is unclear whether these challenges and uncertainties will be contained or resolved, and what effects they may have on the global political and economic conditions in the long term.</w:t>
      </w:r>
    </w:p>
    <w:p>
      <w:pPr>
        <w:spacing w:after="0" w:line="159" w:lineRule="exact"/>
        <w:rPr>
          <w:sz w:val="20"/>
          <w:szCs w:val="20"/>
          <w:color w:val="auto"/>
        </w:rPr>
      </w:pPr>
    </w:p>
    <w:p>
      <w:pPr>
        <w:ind w:right="100" w:firstLine="547"/>
        <w:spacing w:after="0" w:line="285" w:lineRule="auto"/>
        <w:rPr>
          <w:sz w:val="20"/>
          <w:szCs w:val="20"/>
          <w:color w:val="auto"/>
        </w:rPr>
      </w:pPr>
      <w:r>
        <w:rPr>
          <w:rFonts w:ascii="Arial" w:cs="Arial" w:eastAsia="Arial" w:hAnsi="Arial"/>
          <w:sz w:val="15"/>
          <w:szCs w:val="15"/>
          <w:color w:val="auto"/>
        </w:rPr>
        <w:t>While the Chinese economy has experienced significant growth over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a reduction in demand for our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operating results.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Uncertainties with respect to the PRC legal system could adversely affect us.</w:t>
      </w:r>
    </w:p>
    <w:p>
      <w:pPr>
        <w:spacing w:after="0" w:line="103" w:lineRule="exact"/>
        <w:rPr>
          <w:sz w:val="20"/>
          <w:szCs w:val="20"/>
          <w:color w:val="auto"/>
        </w:rPr>
      </w:pPr>
    </w:p>
    <w:p>
      <w:pPr>
        <w:ind w:right="200" w:firstLine="547"/>
        <w:spacing w:after="0" w:line="264" w:lineRule="auto"/>
        <w:rPr>
          <w:sz w:val="20"/>
          <w:szCs w:val="20"/>
          <w:color w:val="auto"/>
        </w:rPr>
      </w:pPr>
      <w:r>
        <w:rPr>
          <w:rFonts w:ascii="Arial" w:cs="Arial" w:eastAsia="Arial" w:hAnsi="Arial"/>
          <w:sz w:val="17"/>
          <w:szCs w:val="17"/>
          <w:color w:val="auto"/>
        </w:rPr>
        <w:t>The PRC legal system is a civil law system based on written statutes. Unlike the common law system, prior court decisions under the civil law system may be cited for reference but have limited precedential value.</w:t>
      </w:r>
    </w:p>
    <w:p>
      <w:pPr>
        <w:spacing w:after="0" w:line="168" w:lineRule="exact"/>
        <w:rPr>
          <w:sz w:val="20"/>
          <w:szCs w:val="20"/>
          <w:color w:val="auto"/>
        </w:rPr>
      </w:pPr>
    </w:p>
    <w:p>
      <w:pPr>
        <w:ind w:right="40" w:firstLine="547"/>
        <w:spacing w:after="0" w:line="265" w:lineRule="auto"/>
        <w:rPr>
          <w:sz w:val="20"/>
          <w:szCs w:val="20"/>
          <w:color w:val="auto"/>
        </w:rPr>
      </w:pPr>
      <w:r>
        <w:rPr>
          <w:rFonts w:ascii="Arial" w:cs="Arial" w:eastAsia="Arial" w:hAnsi="Arial"/>
          <w:sz w:val="16"/>
          <w:szCs w:val="16"/>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spacing w:after="0" w:line="169" w:lineRule="exact"/>
        <w:rPr>
          <w:sz w:val="20"/>
          <w:szCs w:val="20"/>
          <w:color w:val="auto"/>
        </w:rPr>
      </w:pPr>
    </w:p>
    <w:p>
      <w:pPr>
        <w:jc w:val="both"/>
        <w:ind w:right="280" w:firstLine="547"/>
        <w:spacing w:after="0" w:line="304" w:lineRule="auto"/>
        <w:rPr>
          <w:sz w:val="20"/>
          <w:szCs w:val="20"/>
          <w:color w:val="auto"/>
        </w:rPr>
      </w:pPr>
      <w:r>
        <w:rPr>
          <w:rFonts w:ascii="Arial" w:cs="Arial" w:eastAsia="Arial" w:hAnsi="Arial"/>
          <w:sz w:val="15"/>
          <w:szCs w:val="15"/>
          <w:color w:val="auto"/>
        </w:rPr>
        <w:t>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i w:val="1"/>
          <w:iCs w:val="1"/>
          <w:color w:val="auto"/>
        </w:rPr>
        <w:t>You may experience difficulties in effecting service of legal process, enforcing foreign judgments or bringing actions in China against us or our management named in the annual report based on foreign laws.</w:t>
      </w:r>
    </w:p>
    <w:p>
      <w:pPr>
        <w:spacing w:after="0" w:line="68" w:lineRule="exact"/>
        <w:rPr>
          <w:sz w:val="20"/>
          <w:szCs w:val="20"/>
          <w:color w:val="auto"/>
        </w:rPr>
      </w:pPr>
    </w:p>
    <w:p>
      <w:pPr>
        <w:ind w:right="20" w:firstLine="502"/>
        <w:spacing w:after="0" w:line="248" w:lineRule="auto"/>
        <w:rPr>
          <w:sz w:val="20"/>
          <w:szCs w:val="20"/>
          <w:color w:val="auto"/>
        </w:rPr>
      </w:pPr>
      <w:r>
        <w:rPr>
          <w:rFonts w:ascii="Arial" w:cs="Arial" w:eastAsia="Arial" w:hAnsi="Arial"/>
          <w:sz w:val="17"/>
          <w:szCs w:val="17"/>
          <w:color w:val="auto"/>
        </w:rPr>
        <w:t>We are an exempted company incorporated under the laws of the Cayman Islands, we conduct substantially all of our operations in China, and substantially all of our assets are located in China. In addition, all our senior executive officers reside within China for a significant portion of the time and most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283" w:lineRule="exact"/>
        <w:rPr>
          <w:sz w:val="20"/>
          <w:szCs w:val="20"/>
          <w:color w:val="auto"/>
        </w:rPr>
      </w:pPr>
    </w:p>
    <w:p>
      <w:pPr>
        <w:ind w:right="520"/>
        <w:spacing w:after="0" w:line="399" w:lineRule="auto"/>
        <w:rPr>
          <w:sz w:val="20"/>
          <w:szCs w:val="20"/>
          <w:color w:val="auto"/>
        </w:rPr>
      </w:pPr>
      <w:r>
        <w:rPr>
          <w:rFonts w:ascii="Arial" w:cs="Arial" w:eastAsia="Arial" w:hAnsi="Arial"/>
          <w:sz w:val="13"/>
          <w:szCs w:val="13"/>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 w:lineRule="exact"/>
        <w:rPr>
          <w:sz w:val="20"/>
          <w:szCs w:val="20"/>
          <w:color w:val="auto"/>
        </w:rPr>
      </w:pPr>
    </w:p>
    <w:p>
      <w:pPr>
        <w:ind w:right="40" w:firstLine="547"/>
        <w:spacing w:after="0" w:line="264" w:lineRule="auto"/>
        <w:rPr>
          <w:sz w:val="20"/>
          <w:szCs w:val="20"/>
          <w:color w:val="auto"/>
        </w:rPr>
      </w:pPr>
      <w:r>
        <w:rPr>
          <w:rFonts w:ascii="Arial" w:cs="Arial" w:eastAsia="Arial" w:hAnsi="Arial"/>
          <w:sz w:val="16"/>
          <w:szCs w:val="16"/>
          <w:color w:val="auto"/>
        </w:rPr>
        <w:t>We are a Cayman Islands holding company and we rely principally on dividends and other distributions on equity from our PRC subsidiaries for our cash requirements, including for services of any debt we may incur. Our PRC subsidiary’s ability to distribute dividends is based upon its distributable earnings. Current PRC regulations permit our PRC subsidiaries to pay dividends to its respective shareholders only out of their accumulated profits, if any, determined in accordance with PRC accounting standards and regulations. In addition, each of our PRC subsidiary, our VIEs and their respective subsidiaries are required to set aside at least 10% of its after-tax profits each year, if any, to fund a statutory reserve until such reserve reaches 50% of its registered capital.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72" w:lineRule="exact"/>
        <w:rPr>
          <w:sz w:val="20"/>
          <w:szCs w:val="20"/>
          <w:color w:val="auto"/>
        </w:rPr>
      </w:pPr>
    </w:p>
    <w:p>
      <w:pPr>
        <w:ind w:firstLine="547"/>
        <w:spacing w:after="0" w:line="284" w:lineRule="auto"/>
        <w:rPr>
          <w:sz w:val="20"/>
          <w:szCs w:val="20"/>
          <w:color w:val="auto"/>
        </w:rPr>
      </w:pPr>
      <w:r>
        <w:rPr>
          <w:rFonts w:ascii="Arial" w:cs="Arial" w:eastAsia="Arial" w:hAnsi="Arial"/>
          <w:sz w:val="15"/>
          <w:szCs w:val="15"/>
          <w:color w:val="auto"/>
        </w:rPr>
        <w:t>To address the persistent capital outflow and the RMB’s depreciation against the U.S. dollar in the fourth quarter of 2016, the People’s Bank of China and the State Administration of Foreign Exchange, or SAFE, implemented a series of capital control measures in the subsequent months, including stricter vetting procedures for China-based companies to remit foreign currency for overseas acquisitions, dividend payments and shareholder loan repayments. For instance, the Circular on Promoting the Reform of Foreign Exchange Management and Improving Authenticity and Compliance Review, or the SAFE Circular 3, issued on January 26, 2017, provides that the banks shall, when dealing with dividend remittance transactions from domestic enterprise to its offshore shareholders of more than US$50,000, review the relevant board resolutions, original tax filing form and audited financial statements of such domestic enterprise based on the principal of genuine transaction. The PRC government may continue to strengthen its capital controls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9" w:name="page30"/>
    <w:bookmarkEnd w:id="29"/>
    <w:p>
      <w:pPr>
        <w:ind w:firstLine="547"/>
        <w:spacing w:after="0" w:line="278" w:lineRule="auto"/>
        <w:rPr>
          <w:sz w:val="20"/>
          <w:szCs w:val="20"/>
          <w:color w:val="auto"/>
        </w:rPr>
      </w:pPr>
      <w:r>
        <w:rPr>
          <w:rFonts w:ascii="Arial" w:cs="Arial" w:eastAsia="Arial" w:hAnsi="Arial"/>
          <w:sz w:val="16"/>
          <w:szCs w:val="16"/>
          <w:color w:val="auto"/>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w:t>
      </w:r>
    </w:p>
    <w:p>
      <w:pPr>
        <w:spacing w:after="0" w:line="258"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68" w:lineRule="exact"/>
        <w:rPr>
          <w:sz w:val="20"/>
          <w:szCs w:val="20"/>
          <w:color w:val="auto"/>
        </w:rPr>
      </w:pPr>
    </w:p>
    <w:p>
      <w:pPr>
        <w:ind w:right="160" w:firstLine="547"/>
        <w:spacing w:after="0" w:line="296" w:lineRule="auto"/>
        <w:rPr>
          <w:sz w:val="20"/>
          <w:szCs w:val="20"/>
          <w:color w:val="auto"/>
        </w:rPr>
      </w:pPr>
      <w:r>
        <w:rPr>
          <w:rFonts w:ascii="Arial" w:cs="Arial" w:eastAsia="Arial" w:hAnsi="Arial"/>
          <w:sz w:val="16"/>
          <w:szCs w:val="16"/>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w:t>
      </w:r>
    </w:p>
    <w:p>
      <w:pPr>
        <w:spacing w:after="0" w:line="144" w:lineRule="exact"/>
        <w:rPr>
          <w:sz w:val="20"/>
          <w:szCs w:val="20"/>
          <w:color w:val="auto"/>
        </w:rPr>
      </w:pPr>
    </w:p>
    <w:p>
      <w:pPr>
        <w:ind w:right="80" w:firstLine="547"/>
        <w:spacing w:after="0" w:line="285" w:lineRule="auto"/>
        <w:rPr>
          <w:sz w:val="20"/>
          <w:szCs w:val="20"/>
          <w:color w:val="auto"/>
        </w:rPr>
      </w:pPr>
      <w:r>
        <w:rPr>
          <w:rFonts w:ascii="Arial" w:cs="Arial" w:eastAsia="Arial" w:hAnsi="Arial"/>
          <w:sz w:val="15"/>
          <w:szCs w:val="15"/>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consolidated VIEs.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exchange rates could have a material and adverse effect on our results of operations and the value of your investment.</w:t>
      </w:r>
    </w:p>
    <w:p>
      <w:pPr>
        <w:spacing w:after="0" w:line="103" w:lineRule="exact"/>
        <w:rPr>
          <w:sz w:val="20"/>
          <w:szCs w:val="20"/>
          <w:color w:val="auto"/>
        </w:rPr>
      </w:pPr>
    </w:p>
    <w:p>
      <w:pPr>
        <w:ind w:right="20" w:firstLine="547"/>
        <w:spacing w:after="0" w:line="266"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Since June 2010, the Renminbi has started to appreciate slowly against the U.S. dollar, though there have been periods when the U.S. dollar has appreciated against the RMB. On August 11, 2015, the PBOC allowed the Renminbi to depreciate by approximately 2% against the U.S. dollar. Since then and until the end of 2016, the Renminbi has depreciated against the U.S. dollar by approximately 10%. It is difficult to predict how long such depreciation of RMB against the U.S. dollar may last and when and how the relationship between the RMB and the U.S. dollar may change again.</w:t>
      </w:r>
    </w:p>
    <w:p>
      <w:pPr>
        <w:spacing w:after="0" w:line="167" w:lineRule="exact"/>
        <w:rPr>
          <w:sz w:val="20"/>
          <w:szCs w:val="20"/>
          <w:color w:val="auto"/>
        </w:rPr>
      </w:pPr>
    </w:p>
    <w:p>
      <w:pPr>
        <w:ind w:right="80" w:firstLine="547"/>
        <w:spacing w:after="0" w:line="248" w:lineRule="auto"/>
        <w:rPr>
          <w:sz w:val="20"/>
          <w:szCs w:val="20"/>
          <w:color w:val="auto"/>
        </w:rPr>
      </w:pPr>
      <w:r>
        <w:rPr>
          <w:rFonts w:ascii="Arial" w:cs="Arial" w:eastAsia="Arial" w:hAnsi="Arial"/>
          <w:sz w:val="17"/>
          <w:szCs w:val="17"/>
          <w:color w:val="auto"/>
        </w:rPr>
        <w:t>All of our revenue and substantially all of our costs are denominated in Renminbi. We are a holding company and we rely on dividends paid by our operating subsidiaries in China for our cash needs. Any significant revaluation of Renminbi may materially and adversely affect our results of operations and financial position reported in Renminbi when translated into U.S. dollars, and the value of, and any dividends payable on, the ADSs in U.S. dollars. To the extent that we need to convert U.S. dollars we receive from the initial public offering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ADSs or for other business purposes, appreciation of the U.S. dollar against the Renminbi would have a negative effect on the U.S. dollar amount.</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net revenues effectively and affect the value of your investment.</w:t>
      </w:r>
    </w:p>
    <w:p>
      <w:pPr>
        <w:spacing w:after="0" w:line="115" w:lineRule="exact"/>
        <w:rPr>
          <w:sz w:val="20"/>
          <w:szCs w:val="20"/>
          <w:color w:val="auto"/>
        </w:rPr>
      </w:pPr>
    </w:p>
    <w:p>
      <w:pPr>
        <w:ind w:right="80" w:firstLine="547"/>
        <w:spacing w:after="0" w:line="286" w:lineRule="auto"/>
        <w:rPr>
          <w:sz w:val="20"/>
          <w:szCs w:val="20"/>
          <w:color w:val="auto"/>
        </w:rPr>
      </w:pPr>
      <w:r>
        <w:rPr>
          <w:rFonts w:ascii="Arial" w:cs="Arial" w:eastAsia="Arial" w:hAnsi="Arial"/>
          <w:sz w:val="15"/>
          <w:szCs w:val="15"/>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0" w:name="page31"/>
    <w:bookmarkEnd w:id="30"/>
    <w:p>
      <w:pPr>
        <w:ind w:right="120"/>
        <w:spacing w:after="0" w:line="291" w:lineRule="auto"/>
        <w:rPr>
          <w:sz w:val="20"/>
          <w:szCs w:val="20"/>
          <w:color w:val="auto"/>
        </w:rPr>
      </w:pPr>
      <w:r>
        <w:rPr>
          <w:rFonts w:ascii="Arial" w:cs="Arial" w:eastAsia="Arial" w:hAnsi="Arial"/>
          <w:sz w:val="15"/>
          <w:szCs w:val="15"/>
          <w:color w:val="auto"/>
        </w:rPr>
        <w:t>remitted out of China to pay capital expenses such as the repayment of loans denominated in foreign currencies. As a result, we need to obtain SAFE approval to use cash generated from the operations of our PRC subsidiaries and VIEs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PRC regulations may make it more difficult for us to pursue growth through acquisitions.</w:t>
      </w:r>
    </w:p>
    <w:p>
      <w:pPr>
        <w:spacing w:after="0" w:line="103" w:lineRule="exact"/>
        <w:rPr>
          <w:sz w:val="20"/>
          <w:szCs w:val="20"/>
          <w:color w:val="auto"/>
        </w:rPr>
      </w:pPr>
    </w:p>
    <w:p>
      <w:pPr>
        <w:ind w:right="40" w:firstLine="547"/>
        <w:spacing w:after="0" w:line="280" w:lineRule="auto"/>
        <w:rPr>
          <w:sz w:val="20"/>
          <w:szCs w:val="20"/>
          <w:color w:val="auto"/>
        </w:rPr>
      </w:pPr>
      <w:r>
        <w:rPr>
          <w:rFonts w:ascii="Arial" w:cs="Arial" w:eastAsia="Arial" w:hAnsi="Arial"/>
          <w:sz w:val="15"/>
          <w:szCs w:val="15"/>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and amended in 2018, are triggered. Moreover, the Anti-Monopoly Law promulgated by the Standing Committee of the National People’s Congress which became effective in 2008 requires that transactions which are deemed concentrations and involve parties with specified turnover thresholds must be cleared by the relevant governmental authorities before they can be completed. On February 7, 2021, the Anti-monopoly Commission of the State Council, published the Anti-Monopoly Guidelines for the Internet Platform Economy Sector that aims at specifying some of the circumstances under which an activity of internet platforms may be identified as monopolistic act as well as setting out merger controlling filing procedures involving variable interest entities. In addition, PRC national security review rules which became effective in September 2011 require acquisitions by foreign investors of PRC companies engaged in military related or certain other industries that are crucial to national security be subject to security review before consummation of any such acquisition. The Measures for the Security Review of Foreign Investments promulgated by the National Development and Reform Commission and MOFCOM which became effective from January 2021 further requires that security review by relevant governmental authorities shall be conducted in accordance with the provisions of the Measures for foreign investments that affect or may affect national security.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66" w:lineRule="exact"/>
        <w:rPr>
          <w:sz w:val="20"/>
          <w:szCs w:val="20"/>
          <w:color w:val="auto"/>
        </w:rPr>
      </w:pPr>
    </w:p>
    <w:p>
      <w:pPr>
        <w:jc w:val="both"/>
        <w:ind w:right="60"/>
        <w:spacing w:after="0" w:line="254" w:lineRule="auto"/>
        <w:rPr>
          <w:sz w:val="20"/>
          <w:szCs w:val="20"/>
          <w:color w:val="auto"/>
        </w:rPr>
      </w:pPr>
      <w:r>
        <w:rPr>
          <w:rFonts w:ascii="Arial" w:cs="Arial" w:eastAsia="Arial" w:hAnsi="Arial"/>
          <w:sz w:val="17"/>
          <w:szCs w:val="17"/>
          <w:b w:val="1"/>
          <w:bCs w:val="1"/>
          <w:i w:val="1"/>
          <w:iCs w:val="1"/>
          <w:color w:val="auto"/>
        </w:rPr>
        <w:t>PRC regulations relating to the establishment of offshore special purpose companies by PRC residents may subject our PRC resident beneficial owners or our PRC subsidiary to liability or penalties, limit our ability to inject capital into our PRC subsidiary, limit our PRC subsidiary’s ability to increase their registered capital or distribute profits to us, or may otherwise adversely affect us.</w:t>
      </w:r>
    </w:p>
    <w:p>
      <w:pPr>
        <w:spacing w:after="0" w:line="77" w:lineRule="exact"/>
        <w:rPr>
          <w:sz w:val="20"/>
          <w:szCs w:val="20"/>
          <w:color w:val="auto"/>
        </w:rPr>
      </w:pPr>
    </w:p>
    <w:p>
      <w:pPr>
        <w:ind w:right="40" w:firstLine="547"/>
        <w:spacing w:after="0" w:line="267" w:lineRule="auto"/>
        <w:rPr>
          <w:sz w:val="20"/>
          <w:szCs w:val="20"/>
          <w:color w:val="auto"/>
        </w:rPr>
      </w:pPr>
      <w:r>
        <w:rPr>
          <w:rFonts w:ascii="Arial" w:cs="Arial" w:eastAsia="Arial" w:hAnsi="Arial"/>
          <w:sz w:val="16"/>
          <w:szCs w:val="16"/>
          <w:color w:val="auto"/>
        </w:rPr>
        <w:t>In July 2014, SAFE promulgated the Circular on Relevant Issues Concerning Foreign Exchange Control on Domestic Residents’ Offshore Investment and Financing and Roundtrip Investment Through Special Purpose Vehicles, or SAFE Circular 37, to replace the Notice on Relevant Issues Concerning Foreign Exchange Administration for Domestic Residents’ Financing and Roundtrip Investment Through Offshore Special Purpose Vehicles, or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167" w:lineRule="exact"/>
        <w:rPr>
          <w:sz w:val="20"/>
          <w:szCs w:val="20"/>
          <w:color w:val="auto"/>
        </w:rPr>
      </w:pPr>
    </w:p>
    <w:p>
      <w:pPr>
        <w:ind w:firstLine="547"/>
        <w:spacing w:after="0" w:line="264" w:lineRule="auto"/>
        <w:rPr>
          <w:sz w:val="20"/>
          <w:szCs w:val="20"/>
          <w:color w:val="auto"/>
        </w:rPr>
      </w:pPr>
      <w:r>
        <w:rPr>
          <w:rFonts w:ascii="Arial" w:cs="Arial" w:eastAsia="Arial" w:hAnsi="Arial"/>
          <w:sz w:val="16"/>
          <w:szCs w:val="16"/>
          <w:color w:val="auto"/>
        </w:rPr>
        <w:t>Under SAFE Circular 37, PRC residents who make, or have prior to the implementation of SAFE Circular 37 made, direct or indirect investments in offshore special purpose vehicles, or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or SAFE Notice 13, which became effective on June 1, 2015. Under SAFE Notice 13, applications for foreign exchange registration of inbound foreign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31" w:name="page32"/>
    <w:bookmarkEnd w:id="31"/>
    <w:p>
      <w:pPr>
        <w:spacing w:after="0" w:line="295" w:lineRule="auto"/>
        <w:rPr>
          <w:sz w:val="20"/>
          <w:szCs w:val="20"/>
          <w:color w:val="auto"/>
        </w:rPr>
      </w:pPr>
      <w:r>
        <w:rPr>
          <w:rFonts w:ascii="Arial" w:cs="Arial" w:eastAsia="Arial" w:hAnsi="Arial"/>
          <w:sz w:val="15"/>
          <w:szCs w:val="15"/>
          <w:color w:val="auto"/>
        </w:rPr>
        <w:t>direct investments and outbound overseas direct investments, including those required under SAFE Circular 37, will be filed with qualified banks instead of SAFE. The qualified banks will directly examine the applications and accept registrations under the supervision of SAFE. SAFE Notice 13 further provides that annual inspection of inbound foreign direct investments and outbound overseas direct investments is canceled. Instead, relevant entities or individuals, as the case may be, shall register data and information with respect to their inbound foreign direct investments and outbound overseas direct investment interests with SAFE.</w:t>
      </w:r>
    </w:p>
    <w:p>
      <w:pPr>
        <w:spacing w:after="0" w:line="149" w:lineRule="exact"/>
        <w:rPr>
          <w:sz w:val="20"/>
          <w:szCs w:val="20"/>
          <w:color w:val="auto"/>
        </w:rPr>
      </w:pPr>
    </w:p>
    <w:p>
      <w:pPr>
        <w:ind w:right="20" w:firstLine="547"/>
        <w:spacing w:after="0" w:line="266" w:lineRule="auto"/>
        <w:rPr>
          <w:sz w:val="20"/>
          <w:szCs w:val="20"/>
          <w:color w:val="auto"/>
        </w:rPr>
      </w:pPr>
      <w:r>
        <w:rPr>
          <w:rFonts w:ascii="Arial" w:cs="Arial" w:eastAsia="Arial" w:hAnsi="Arial"/>
          <w:sz w:val="16"/>
          <w:szCs w:val="16"/>
          <w:color w:val="auto"/>
        </w:rPr>
        <w:t>We have requested our shareholders that we are aware of being subject to SAFE regulations to make all necessary registrations, filings and amendments with the local SAFE branch or qualified banks as required by SAFE Circular 37. We cannot assure you, however, that all of these individuals may continue to make required registrations, filings or updates on a timely manner, or at all. We can provide no assurance that we are or will in the future continue to be informed of identities of all PRC residents holding direct or indirect interest in our company. Any failure or inability by such individuals to comply with SAFE regulations may subject us to fines or legal sanctions, such as restrictions on our cross-border investment activities or our PRC subsidiary’s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67" w:lineRule="exact"/>
        <w:rPr>
          <w:sz w:val="20"/>
          <w:szCs w:val="20"/>
          <w:color w:val="auto"/>
        </w:rPr>
      </w:pPr>
    </w:p>
    <w:p>
      <w:pPr>
        <w:ind w:right="20" w:firstLine="547"/>
        <w:spacing w:after="0" w:line="266" w:lineRule="auto"/>
        <w:rPr>
          <w:sz w:val="20"/>
          <w:szCs w:val="20"/>
          <w:color w:val="auto"/>
        </w:rPr>
      </w:pPr>
      <w:r>
        <w:rPr>
          <w:rFonts w:ascii="Arial" w:cs="Arial" w:eastAsia="Arial" w:hAnsi="Arial"/>
          <w:sz w:val="16"/>
          <w:szCs w:val="16"/>
          <w:color w:val="auto"/>
        </w:rPr>
        <w:t>Furthermore, as these foreign exchange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6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8" w:lineRule="exact"/>
        <w:rPr>
          <w:sz w:val="20"/>
          <w:szCs w:val="20"/>
          <w:color w:val="auto"/>
        </w:rPr>
      </w:pPr>
    </w:p>
    <w:p>
      <w:pPr>
        <w:ind w:right="20" w:firstLine="547"/>
        <w:spacing w:after="0" w:line="282" w:lineRule="auto"/>
        <w:rPr>
          <w:sz w:val="20"/>
          <w:szCs w:val="20"/>
          <w:color w:val="auto"/>
        </w:rPr>
      </w:pPr>
      <w:r>
        <w:rPr>
          <w:rFonts w:ascii="Arial" w:cs="Arial" w:eastAsia="Arial" w:hAnsi="Arial"/>
          <w:sz w:val="15"/>
          <w:szCs w:val="15"/>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because we are an overseas-listed company. Failure to complete the SAFE registrations may subject them to fines and legal sanctions, there may be additional restrictions on the ability of them to exercise their stock options or remit proceeds gained from sale of their stock into the PRC. We also face regulatory uncertainties that could restrict our ability to adopt additional incentive plans for our directors, executive officers and employees under PRC law. See “Item 4. Information on the Company—4.B. Business Overview—Regulation—Regulations on Foreign Exchange —Regulations on Stock Incentive Plans.”</w:t>
      </w:r>
    </w:p>
    <w:p>
      <w:pPr>
        <w:spacing w:after="0" w:line="26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68" w:lineRule="exact"/>
        <w:rPr>
          <w:sz w:val="20"/>
          <w:szCs w:val="20"/>
          <w:color w:val="auto"/>
        </w:rPr>
      </w:pPr>
    </w:p>
    <w:p>
      <w:pPr>
        <w:ind w:firstLine="547"/>
        <w:spacing w:after="0" w:line="285" w:lineRule="auto"/>
        <w:rPr>
          <w:sz w:val="20"/>
          <w:szCs w:val="20"/>
          <w:color w:val="auto"/>
        </w:rPr>
      </w:pPr>
      <w:r>
        <w:rPr>
          <w:rFonts w:ascii="Arial" w:cs="Arial" w:eastAsia="Arial" w:hAnsi="Arial"/>
          <w:sz w:val="15"/>
          <w:szCs w:val="15"/>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or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2" w:name="page33"/>
    <w:bookmarkEnd w:id="32"/>
    <w:p>
      <w:pPr>
        <w:ind w:right="20"/>
        <w:spacing w:after="0" w:line="249" w:lineRule="auto"/>
        <w:rPr>
          <w:sz w:val="20"/>
          <w:szCs w:val="20"/>
          <w:color w:val="auto"/>
        </w:rPr>
      </w:pPr>
      <w:r>
        <w:rPr>
          <w:rFonts w:ascii="Arial" w:cs="Arial" w:eastAsia="Arial" w:hAnsi="Arial"/>
          <w:sz w:val="17"/>
          <w:szCs w:val="17"/>
          <w:color w:val="auto"/>
        </w:rPr>
        <w:t>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2" w:lineRule="exact"/>
        <w:rPr>
          <w:sz w:val="20"/>
          <w:szCs w:val="20"/>
          <w:color w:val="auto"/>
        </w:rPr>
      </w:pPr>
    </w:p>
    <w:p>
      <w:pPr>
        <w:ind w:firstLine="547"/>
        <w:spacing w:after="0" w:line="283" w:lineRule="auto"/>
        <w:rPr>
          <w:sz w:val="20"/>
          <w:szCs w:val="20"/>
          <w:color w:val="auto"/>
        </w:rPr>
      </w:pPr>
      <w:r>
        <w:rPr>
          <w:rFonts w:ascii="Arial" w:cs="Arial" w:eastAsia="Arial" w:hAnsi="Arial"/>
          <w:sz w:val="15"/>
          <w:szCs w:val="15"/>
          <w:color w:val="auto"/>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is a PRC resident enterprise for enterprise income tax purposes, we will be subject to PRC enterprise income on our worldwide income at the rate of 25%. Furthermore, we be required to withhold a 10% withholding tax from dividends we pay to our shareholders that are non-resident enterprises, including the holders of the ADSs. In addition, non-resident enterprise shareholders (including the ADS holders) may be subject to PRC tax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uncertainty with respect to indirect transfers of equity interests in PRC resident enterprises by their non-PRC holding companies.</w:t>
      </w:r>
    </w:p>
    <w:p>
      <w:pPr>
        <w:spacing w:after="0" w:line="103" w:lineRule="exact"/>
        <w:rPr>
          <w:sz w:val="20"/>
          <w:szCs w:val="20"/>
          <w:color w:val="auto"/>
        </w:rPr>
      </w:pPr>
    </w:p>
    <w:p>
      <w:pPr>
        <w:ind w:right="140" w:firstLine="547"/>
        <w:spacing w:after="0" w:line="249" w:lineRule="auto"/>
        <w:rPr>
          <w:sz w:val="20"/>
          <w:szCs w:val="20"/>
          <w:color w:val="auto"/>
        </w:rPr>
      </w:pPr>
      <w:r>
        <w:rPr>
          <w:rFonts w:ascii="Arial" w:cs="Arial" w:eastAsia="Arial" w:hAnsi="Arial"/>
          <w:sz w:val="17"/>
          <w:szCs w:val="17"/>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w:t>
      </w:r>
    </w:p>
    <w:p>
      <w:pPr>
        <w:spacing w:after="0" w:line="182" w:lineRule="exact"/>
        <w:rPr>
          <w:sz w:val="20"/>
          <w:szCs w:val="20"/>
          <w:color w:val="auto"/>
        </w:rPr>
      </w:pPr>
    </w:p>
    <w:p>
      <w:pPr>
        <w:ind w:right="140" w:firstLine="547"/>
        <w:spacing w:after="0" w:line="254" w:lineRule="auto"/>
        <w:rPr>
          <w:sz w:val="20"/>
          <w:szCs w:val="20"/>
          <w:color w:val="auto"/>
        </w:rPr>
      </w:pPr>
      <w:r>
        <w:rPr>
          <w:rFonts w:ascii="Arial" w:cs="Arial" w:eastAsia="Arial" w:hAnsi="Arial"/>
          <w:sz w:val="17"/>
          <w:szCs w:val="17"/>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77" w:lineRule="exact"/>
        <w:rPr>
          <w:sz w:val="20"/>
          <w:szCs w:val="20"/>
          <w:color w:val="auto"/>
        </w:rPr>
      </w:pPr>
    </w:p>
    <w:p>
      <w:pPr>
        <w:ind w:right="200" w:firstLine="547"/>
        <w:spacing w:after="0" w:line="286" w:lineRule="auto"/>
        <w:rPr>
          <w:sz w:val="20"/>
          <w:szCs w:val="20"/>
          <w:color w:val="auto"/>
        </w:rPr>
      </w:pPr>
      <w:r>
        <w:rPr>
          <w:rFonts w:ascii="Arial" w:cs="Arial" w:eastAsia="Arial" w:hAnsi="Arial"/>
          <w:sz w:val="15"/>
          <w:szCs w:val="15"/>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56" w:lineRule="exact"/>
        <w:rPr>
          <w:sz w:val="20"/>
          <w:szCs w:val="20"/>
          <w:color w:val="auto"/>
        </w:rPr>
      </w:pPr>
    </w:p>
    <w:p>
      <w:pPr>
        <w:ind w:right="60" w:firstLine="547"/>
        <w:spacing w:after="0" w:line="286" w:lineRule="auto"/>
        <w:rPr>
          <w:sz w:val="20"/>
          <w:szCs w:val="20"/>
          <w:color w:val="auto"/>
        </w:rPr>
      </w:pPr>
      <w:r>
        <w:rPr>
          <w:rFonts w:ascii="Arial" w:cs="Arial" w:eastAsia="Arial" w:hAnsi="Arial"/>
          <w:sz w:val="15"/>
          <w:szCs w:val="15"/>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3" w:name="page34"/>
    <w:bookmarkEnd w:id="33"/>
    <w:p>
      <w:pPr>
        <w:ind w:right="580"/>
        <w:spacing w:after="0" w:line="264" w:lineRule="auto"/>
        <w:rPr>
          <w:sz w:val="20"/>
          <w:szCs w:val="20"/>
          <w:color w:val="auto"/>
        </w:rPr>
      </w:pPr>
      <w:r>
        <w:rPr>
          <w:rFonts w:ascii="Arial" w:cs="Arial" w:eastAsia="Arial" w:hAnsi="Arial"/>
          <w:sz w:val="17"/>
          <w:szCs w:val="17"/>
          <w:b w:val="1"/>
          <w:bCs w:val="1"/>
          <w:i w:val="1"/>
          <w:iCs w:val="1"/>
          <w:color w:val="auto"/>
        </w:rPr>
        <w:t>Uncertainties exist with respect to the interpretation and implementation of the newly enacted Foreign Investment Law and how it may impact our business, financial condition and results of operations.</w:t>
      </w:r>
    </w:p>
    <w:p>
      <w:pPr>
        <w:spacing w:after="0" w:line="68" w:lineRule="exact"/>
        <w:rPr>
          <w:sz w:val="20"/>
          <w:szCs w:val="20"/>
          <w:color w:val="auto"/>
        </w:rPr>
      </w:pPr>
    </w:p>
    <w:p>
      <w:pPr>
        <w:ind w:firstLine="547"/>
        <w:spacing w:after="0" w:line="280" w:lineRule="auto"/>
        <w:rPr>
          <w:sz w:val="20"/>
          <w:szCs w:val="20"/>
          <w:color w:val="auto"/>
        </w:rPr>
      </w:pPr>
      <w:r>
        <w:rPr>
          <w:rFonts w:ascii="Arial" w:cs="Arial" w:eastAsia="Arial" w:hAnsi="Arial"/>
          <w:sz w:val="15"/>
          <w:szCs w:val="15"/>
          <w:color w:val="auto"/>
        </w:rPr>
        <w:t>On March 15, 2019, the National People’s Congress promulgated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enacted Foreign Investment Law does not touch upon the relevant concepts and regulatory regimes of “actual control” in determining whether a company is considered a foreign invested enterprise, and thus this regulatory topic remains unclear under the Foreign Investment Law. On December 26, 2019, the State Council published the Implementation Rules of Foreign Investment Law, which came into effect on January 1, 2020. The Implementation Rules of Foreign Investment Law restates certain principles of the Foreign Investment Law. However, since the Foreign Investment Law and the Implementation Rules of Foreign Investment Law are relatively new, uncertainties still exist in relation to its interpretation and implementation. For instance, though the Foreign Investment Law does not explicitly classify contractual arrangements as a form of foreign investment, it contains a catch-all provision under the definition of “foreign investment,” which includes investments made by foreign investors in China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Furthermore, if future laws, administrative regulations or provisions prescribed by the State Council mandate further actions to be taken by companies with respect to existing contractual arrangements, such as unwinding our existing contractual arrangements and/or disposal of our related business operations,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financial condition and business operations.</w:t>
      </w:r>
    </w:p>
    <w:p>
      <w:pPr>
        <w:spacing w:after="0" w:line="266"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b w:val="1"/>
          <w:bCs w:val="1"/>
          <w:i w:val="1"/>
          <w:iCs w:val="1"/>
          <w:color w:val="auto"/>
        </w:rPr>
        <w:t>Our ADSs may be delisted under the Holding Foreign Companies Accountable Act if the Public Company Accounting Oversight Board, or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42" w:lineRule="exact"/>
        <w:rPr>
          <w:sz w:val="20"/>
          <w:szCs w:val="20"/>
          <w:color w:val="auto"/>
        </w:rPr>
      </w:pPr>
    </w:p>
    <w:p>
      <w:pPr>
        <w:ind w:right="20" w:firstLine="547"/>
        <w:spacing w:after="0" w:line="286" w:lineRule="auto"/>
        <w:rPr>
          <w:sz w:val="20"/>
          <w:szCs w:val="20"/>
          <w:color w:val="auto"/>
        </w:rPr>
      </w:pPr>
      <w:r>
        <w:rPr>
          <w:rFonts w:ascii="Arial" w:cs="Arial" w:eastAsia="Arial" w:hAnsi="Arial"/>
          <w:sz w:val="15"/>
          <w:szCs w:val="15"/>
          <w:color w:val="auto"/>
        </w:rPr>
        <w:t>The Holding Foreign Companies Accountable Act, or the HFCA Act, was enacted on December 18, 2020. The HFCA Act states if the SEC determines that we have filed audit reports issued by a registered public accounting firm that has not been subject to inspection by the PCAOB for three consecutive years beginning in 2021, the SEC shall prohibit our shares or ADSs from being traded on a national securities exchange or in the over the counter trading market in the U.S. 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Since our auditor is located in China, a jurisdiction where the PCAOB has been unable to conduct inspections without the approval of the Chinese authorities, our auditor is currently not inspected by the PCAOB.</w:t>
      </w:r>
    </w:p>
    <w:p>
      <w:pPr>
        <w:spacing w:after="0" w:line="56" w:lineRule="exact"/>
        <w:rPr>
          <w:sz w:val="20"/>
          <w:szCs w:val="20"/>
          <w:color w:val="auto"/>
        </w:rPr>
      </w:pPr>
    </w:p>
    <w:p>
      <w:pPr>
        <w:ind w:firstLine="547"/>
        <w:spacing w:after="0" w:line="304" w:lineRule="auto"/>
        <w:rPr>
          <w:sz w:val="20"/>
          <w:szCs w:val="20"/>
          <w:color w:val="auto"/>
        </w:rPr>
      </w:pPr>
      <w:r>
        <w:rPr>
          <w:rFonts w:ascii="Arial" w:cs="Arial" w:eastAsia="Arial" w:hAnsi="Arial"/>
          <w:sz w:val="15"/>
          <w:szCs w:val="15"/>
          <w:color w:val="auto"/>
        </w:rPr>
        <w:t>On March 24, 2021, the SEC adopted interim final rules relating to the implementation of certain disclosure and documentation requirement of the HFCA Act. We will be required to comply with these rules if the SEC identifies us as having a “non-inspection” year under a process to be subsequently established by the SEC. The SEC is assessing how to implement other requirements of the HFCA Act, including the listing and trading prohibition requirements described above.</w:t>
      </w:r>
    </w:p>
    <w:p>
      <w:pPr>
        <w:spacing w:after="0" w:line="42" w:lineRule="exact"/>
        <w:rPr>
          <w:sz w:val="20"/>
          <w:szCs w:val="20"/>
          <w:color w:val="auto"/>
        </w:rPr>
      </w:pPr>
    </w:p>
    <w:p>
      <w:pPr>
        <w:ind w:right="80" w:firstLine="547"/>
        <w:spacing w:after="0" w:line="288" w:lineRule="auto"/>
        <w:rPr>
          <w:sz w:val="20"/>
          <w:szCs w:val="20"/>
          <w:color w:val="auto"/>
        </w:rPr>
      </w:pPr>
      <w:r>
        <w:rPr>
          <w:rFonts w:ascii="Arial" w:cs="Arial" w:eastAsia="Arial" w:hAnsi="Arial"/>
          <w:sz w:val="15"/>
          <w:szCs w:val="15"/>
          <w:color w:val="auto"/>
        </w:rPr>
        <w:t>The SEC may propose additional rules or guidance that could impact us if our auditor is not subject to PCAOB inspection. For example, on August 6, 2020, the President’s Working Group on Financial Markets, or the PWG, issued the Report on Protecting United States Investors from Significant Risks from Chinese Companies to the then President of the United States. This report recommended the SEC implement five recommendations to address companies from jurisdictions that do not provide the PCAOB with sufficient access to fulfil its statutory mandate. Some of the concepts of these recommendations were implemented with the enactment of the HFCA Act. However, some of the recommendations were more stringent than the HFCA Act. For example, if a company was not subject to PCAOB inspection, the report recommended that the transition period before a company would be delisted would end on January 1, 2022.</w:t>
      </w:r>
    </w:p>
    <w:p>
      <w:pPr>
        <w:spacing w:after="0" w:line="54" w:lineRule="exact"/>
        <w:rPr>
          <w:sz w:val="20"/>
          <w:szCs w:val="20"/>
          <w:color w:val="auto"/>
        </w:rPr>
      </w:pPr>
    </w:p>
    <w:p>
      <w:pPr>
        <w:ind w:right="140" w:firstLine="547"/>
        <w:spacing w:after="0" w:line="249" w:lineRule="auto"/>
        <w:rPr>
          <w:sz w:val="20"/>
          <w:szCs w:val="20"/>
          <w:color w:val="auto"/>
        </w:rPr>
      </w:pPr>
      <w:r>
        <w:rPr>
          <w:rFonts w:ascii="Arial" w:cs="Arial" w:eastAsia="Arial" w:hAnsi="Arial"/>
          <w:sz w:val="17"/>
          <w:szCs w:val="17"/>
          <w:color w:val="auto"/>
        </w:rPr>
        <w:t>The SEC has announced that the SEC staff is preparing a consolidated proposal for the rules regarding the implementation of the HFCA Act to address the recommendations in the PWG report. It is unclear when the SEC will complete its rulemaking and when such rules will become effective and what, if any, of the PWG recommendations will be adopted. The implications of this possible regulation in addition to the requirements of the HFCA Act are uncertain. Such uncertainty could cause the market price of our ADSs to be materially and adversely affected, and our securities could be delisted or prohibited from being traded "over-the-counter" earlier than would be required by the HFCA Act. If our securities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34" w:name="page35"/>
    <w:bookmarkEnd w:id="34"/>
    <w:p>
      <w:pPr>
        <w:ind w:right="40"/>
        <w:spacing w:after="0" w:line="264" w:lineRule="auto"/>
        <w:rPr>
          <w:sz w:val="20"/>
          <w:szCs w:val="20"/>
          <w:color w:val="auto"/>
        </w:rPr>
      </w:pPr>
      <w:r>
        <w:rPr>
          <w:rFonts w:ascii="Arial" w:cs="Arial" w:eastAsia="Arial" w:hAnsi="Arial"/>
          <w:sz w:val="17"/>
          <w:szCs w:val="17"/>
          <w:color w:val="auto"/>
        </w:rPr>
        <w:t>are unable to be listed on another securities exchange by then, such a delisting would substantially impair your ability to sell or purchase our ADSs when you wish to do so, and the risk and uncertainty associated with a potential delisting would have a negative impact on the price of our ADSs.</w:t>
      </w:r>
    </w:p>
    <w:p>
      <w:pPr>
        <w:spacing w:after="0" w:line="68" w:lineRule="exact"/>
        <w:rPr>
          <w:sz w:val="20"/>
          <w:szCs w:val="20"/>
          <w:color w:val="auto"/>
        </w:rPr>
      </w:pPr>
    </w:p>
    <w:p>
      <w:pPr>
        <w:ind w:right="80" w:firstLine="547"/>
        <w:spacing w:after="0" w:line="296" w:lineRule="auto"/>
        <w:rPr>
          <w:sz w:val="20"/>
          <w:szCs w:val="20"/>
          <w:color w:val="auto"/>
        </w:rPr>
      </w:pPr>
      <w:r>
        <w:rPr>
          <w:rFonts w:ascii="Arial" w:cs="Arial" w:eastAsia="Arial" w:hAnsi="Arial"/>
          <w:sz w:val="16"/>
          <w:szCs w:val="16"/>
          <w:color w:val="auto"/>
        </w:rPr>
        <w:t>The PCAOB’s inability to conduct inspections in China prevents it from fully evaluating the audits and quality control procedures of our independent registered public accounting firm. As a result, we and investors in our ordinary shares are deprived of the benefits of such PCAOB inspections.</w:t>
      </w:r>
    </w:p>
    <w:p>
      <w:pPr>
        <w:spacing w:after="0" w:line="44" w:lineRule="exact"/>
        <w:rPr>
          <w:sz w:val="20"/>
          <w:szCs w:val="20"/>
          <w:color w:val="auto"/>
        </w:rPr>
      </w:pPr>
    </w:p>
    <w:p>
      <w:pPr>
        <w:jc w:val="both"/>
        <w:ind w:right="20" w:firstLine="547"/>
        <w:spacing w:after="0" w:line="304" w:lineRule="auto"/>
        <w:rPr>
          <w:sz w:val="20"/>
          <w:szCs w:val="20"/>
          <w:color w:val="auto"/>
        </w:rPr>
      </w:pPr>
      <w:r>
        <w:rPr>
          <w:rFonts w:ascii="Arial" w:cs="Arial" w:eastAsia="Arial" w:hAnsi="Arial"/>
          <w:sz w:val="15"/>
          <w:szCs w:val="15"/>
          <w:color w:val="auto"/>
        </w:rPr>
        <w:t>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audit procedures and reported financial information and the quality of our financial statements.</w:t>
      </w:r>
    </w:p>
    <w:p>
      <w:pPr>
        <w:spacing w:after="0" w:line="42" w:lineRule="exact"/>
        <w:rPr>
          <w:sz w:val="20"/>
          <w:szCs w:val="20"/>
          <w:color w:val="auto"/>
        </w:rPr>
      </w:pPr>
    </w:p>
    <w:p>
      <w:pPr>
        <w:ind w:right="100" w:firstLine="547"/>
        <w:spacing w:after="0" w:line="249" w:lineRule="auto"/>
        <w:rPr>
          <w:sz w:val="20"/>
          <w:szCs w:val="20"/>
          <w:color w:val="auto"/>
        </w:rPr>
      </w:pPr>
      <w:r>
        <w:rPr>
          <w:rFonts w:ascii="Arial" w:cs="Arial" w:eastAsia="Arial" w:hAnsi="Arial"/>
          <w:sz w:val="17"/>
          <w:szCs w:val="17"/>
          <w:color w:val="auto"/>
        </w:rPr>
        <w:t>In May 2013, the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the PCAOB in the PRC or by the CSRC or the PRC Ministry of Finance in the United States. The PCAOB continues to be in discussions with the CSRC and the PRC Ministry of Finance to permit joint inspections in the PRC of audit firms that are registered with the PCAOB and audit Chinese companies that trade on U.S. exchanges.</w:t>
      </w:r>
    </w:p>
    <w:p>
      <w:pPr>
        <w:spacing w:after="0" w:line="28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44" w:lineRule="exact"/>
        <w:rPr>
          <w:sz w:val="20"/>
          <w:szCs w:val="20"/>
          <w:color w:val="auto"/>
        </w:rPr>
      </w:pPr>
    </w:p>
    <w:p>
      <w:pPr>
        <w:ind w:firstLine="547"/>
        <w:spacing w:after="0" w:line="249" w:lineRule="auto"/>
        <w:rPr>
          <w:sz w:val="20"/>
          <w:szCs w:val="20"/>
          <w:color w:val="auto"/>
        </w:rPr>
      </w:pPr>
      <w:r>
        <w:rPr>
          <w:rFonts w:ascii="Arial" w:cs="Arial" w:eastAsia="Arial" w:hAnsi="Arial"/>
          <w:sz w:val="17"/>
          <w:szCs w:val="17"/>
          <w:color w:val="auto"/>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w:t>
      </w:r>
    </w:p>
    <w:p>
      <w:pPr>
        <w:spacing w:after="0" w:line="182" w:lineRule="exact"/>
        <w:rPr>
          <w:sz w:val="20"/>
          <w:szCs w:val="20"/>
          <w:color w:val="auto"/>
        </w:rPr>
      </w:pPr>
    </w:p>
    <w:p>
      <w:pPr>
        <w:ind w:firstLine="547"/>
        <w:spacing w:after="0" w:line="281" w:lineRule="auto"/>
        <w:rPr>
          <w:sz w:val="20"/>
          <w:szCs w:val="20"/>
          <w:color w:val="auto"/>
        </w:rPr>
      </w:pPr>
      <w:r>
        <w:rPr>
          <w:rFonts w:ascii="Arial" w:cs="Arial" w:eastAsia="Arial" w:hAnsi="Arial"/>
          <w:sz w:val="15"/>
          <w:szCs w:val="15"/>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accepted that future requests by the SEC for the production of documents would normally be made to the CSRC. The firms would receive matching Section 106 requests, and would be required to abide by a detailed set of procedures with respect to such requests, which in substance would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Chinese affiliates of the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5" w:name="page36"/>
    <w:bookmarkEnd w:id="35"/>
    <w:p>
      <w:pPr>
        <w:ind w:right="20" w:firstLine="547"/>
        <w:spacing w:after="0" w:line="265" w:lineRule="auto"/>
        <w:rPr>
          <w:sz w:val="20"/>
          <w:szCs w:val="20"/>
          <w:color w:val="auto"/>
        </w:rPr>
      </w:pPr>
      <w:r>
        <w:rPr>
          <w:rFonts w:ascii="Arial" w:cs="Arial" w:eastAsia="Arial" w:hAnsi="Arial"/>
          <w:sz w:val="16"/>
          <w:szCs w:val="16"/>
          <w:color w:val="auto"/>
        </w:rPr>
        <w:t>Under the terms of the settlement, the underlying proceeding against the four PRC-based accounting firms was deemed dismissed with prejudice at the end of four years starting from the settlement date, which was on February 6, 2019. Despite the final ending of the proceedings, the presumption is that all parties will continue to apply the same procedures, i.e. the SEC will continue to make its requests for the production of documents to the CSRC, and the CSRC will normally process those requests applying the sanitization procedure. We cannot predict whether, in cases where the CSRC does not authorize production of requested documents to the SEC, the SEC will further challenge the four PRC-based accounting firms’ compliance with U.S. law. If additional challenges are imposed on the Chinese affiliates of the “big four” accounting firms, we could be unable to timely file future financial statements in compliance with the requirements of the Exchange Act. Moreover, any negative news about any such future proceedings against these audit firms may cause investor uncertainty regarding China-based, U.S.-listed companies, and the market price of our ordinary shares may be adversely affected.</w:t>
      </w:r>
    </w:p>
    <w:p>
      <w:pPr>
        <w:spacing w:after="0" w:line="169" w:lineRule="exact"/>
        <w:rPr>
          <w:sz w:val="20"/>
          <w:szCs w:val="20"/>
          <w:color w:val="auto"/>
        </w:rPr>
      </w:pPr>
    </w:p>
    <w:p>
      <w:pPr>
        <w:ind w:right="40" w:firstLine="547"/>
        <w:spacing w:after="0" w:line="272" w:lineRule="auto"/>
        <w:rPr>
          <w:sz w:val="20"/>
          <w:szCs w:val="20"/>
          <w:color w:val="auto"/>
        </w:rPr>
      </w:pPr>
      <w:r>
        <w:rPr>
          <w:rFonts w:ascii="Arial" w:cs="Arial" w:eastAsia="Arial" w:hAnsi="Arial"/>
          <w:sz w:val="16"/>
          <w:szCs w:val="16"/>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the New York Stock Exchange or deregistration from the SEC, or both, which would substantially reduce or effectively terminate the trading of the ADSs in the United States.</w:t>
      </w:r>
    </w:p>
    <w:p>
      <w:pPr>
        <w:spacing w:after="0" w:line="262"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b w:val="1"/>
          <w:bCs w:val="1"/>
          <w:i w:val="1"/>
          <w:iCs w:val="1"/>
          <w:color w:val="auto"/>
        </w:rPr>
        <w:t>Regulation and censorship of information disseminated over the internet in China may adversely affect our business and reputation and subject us to liability for information displayed on our website.</w:t>
      </w:r>
    </w:p>
    <w:p>
      <w:pPr>
        <w:spacing w:after="0" w:line="68" w:lineRule="exact"/>
        <w:rPr>
          <w:sz w:val="20"/>
          <w:szCs w:val="20"/>
          <w:color w:val="auto"/>
        </w:rPr>
      </w:pPr>
    </w:p>
    <w:p>
      <w:pPr>
        <w:ind w:right="40" w:firstLine="547"/>
        <w:spacing w:after="0" w:line="267" w:lineRule="auto"/>
        <w:rPr>
          <w:sz w:val="20"/>
          <w:szCs w:val="20"/>
          <w:color w:val="auto"/>
        </w:rPr>
      </w:pPr>
      <w:r>
        <w:rPr>
          <w:rFonts w:ascii="Arial" w:cs="Arial" w:eastAsia="Arial" w:hAnsi="Arial"/>
          <w:sz w:val="16"/>
          <w:szCs w:val="16"/>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website is found to be in violation of any such requirements, we may be penalized by relevant authorities, and our operations or reputation could be adversely affected.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 may be difficult for overseas regulators to conduct investigation or collect evidence within China.</w:t>
      </w:r>
    </w:p>
    <w:p>
      <w:pPr>
        <w:spacing w:after="0" w:line="103" w:lineRule="exact"/>
        <w:rPr>
          <w:sz w:val="20"/>
          <w:szCs w:val="20"/>
          <w:color w:val="auto"/>
        </w:rPr>
      </w:pPr>
    </w:p>
    <w:p>
      <w:pPr>
        <w:ind w:firstLine="547"/>
        <w:spacing w:after="0" w:line="263" w:lineRule="auto"/>
        <w:rPr>
          <w:sz w:val="20"/>
          <w:szCs w:val="20"/>
          <w:color w:val="auto"/>
        </w:rPr>
      </w:pPr>
      <w:r>
        <w:rPr>
          <w:rFonts w:ascii="Arial" w:cs="Arial" w:eastAsia="Arial" w:hAnsi="Arial"/>
          <w:sz w:val="16"/>
          <w:szCs w:val="16"/>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Article 177 of the PRC Securities Law, or Article 177, which became effective in March 2020, prohibits, without the approval of the securities regulatory authority in China, (i) foreign securities regulators from engaging in any inspection activities within China and (ii) anyone from providing any documents or materials relating to capital markets activities to foreign parties.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See also “You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ADSs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ADSs is likely to be volatile, which could result in substantial losses to investors.</w:t>
      </w:r>
    </w:p>
    <w:p>
      <w:pPr>
        <w:spacing w:after="0" w:line="103" w:lineRule="exact"/>
        <w:rPr>
          <w:sz w:val="20"/>
          <w:szCs w:val="20"/>
          <w:color w:val="auto"/>
        </w:rPr>
      </w:pPr>
    </w:p>
    <w:p>
      <w:pPr>
        <w:ind w:right="20" w:firstLine="547"/>
        <w:spacing w:after="0" w:line="251" w:lineRule="auto"/>
        <w:rPr>
          <w:sz w:val="20"/>
          <w:szCs w:val="20"/>
          <w:color w:val="auto"/>
        </w:rPr>
      </w:pPr>
      <w:r>
        <w:rPr>
          <w:rFonts w:ascii="Arial" w:cs="Arial" w:eastAsia="Arial" w:hAnsi="Arial"/>
          <w:sz w:val="17"/>
          <w:szCs w:val="17"/>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79" w:lineRule="exact"/>
        <w:rPr>
          <w:sz w:val="20"/>
          <w:szCs w:val="20"/>
          <w:color w:val="auto"/>
        </w:rPr>
      </w:pPr>
    </w:p>
    <w:p>
      <w:pPr>
        <w:ind w:left="1080" w:hanging="545"/>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variations in our revenues, earnings and cash flows;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6" w:name="page37"/>
    <w:bookmarkEnd w:id="36"/>
    <w:p>
      <w:pPr>
        <w:ind w:left="1080" w:hanging="54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of new investments, acquisitions, strategic partnerships or joint ventures by us or our competitors;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of new offerings, solutions and expansions by us or our competitors;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financial estimates by securities analysts;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detrimental adverse publicity about us, our services or our industry;</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of new regulations, rules or policies relevant for our business;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release of lockup or other transfer restrictions on our outstanding equity securities or sales of additional equity securities;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potential litigation or regulatory investigations;</w:t>
      </w:r>
    </w:p>
    <w:p>
      <w:pPr>
        <w:spacing w:after="0" w:line="103" w:lineRule="exact"/>
        <w:rPr>
          <w:rFonts w:ascii="Arial" w:cs="Arial" w:eastAsia="Arial" w:hAnsi="Arial"/>
          <w:sz w:val="17"/>
          <w:szCs w:val="17"/>
          <w:color w:val="auto"/>
        </w:rPr>
      </w:pPr>
    </w:p>
    <w:p>
      <w:pPr>
        <w:ind w:left="1080" w:right="80" w:hanging="545"/>
        <w:spacing w:after="0" w:line="264"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allegations of a lack of effective internal control over financial reporting resulting in financial; inadequate corporate governance policies, or allegations of fraud, among other things, involving China-based issuers; and</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of these factors may result in large and sudden changes in the volume and price at which the ADSs will trade.</w:t>
      </w:r>
    </w:p>
    <w:p>
      <w:pPr>
        <w:spacing w:after="0" w:line="203" w:lineRule="exact"/>
        <w:rPr>
          <w:sz w:val="20"/>
          <w:szCs w:val="20"/>
          <w:color w:val="auto"/>
        </w:rPr>
      </w:pPr>
    </w:p>
    <w:p>
      <w:pPr>
        <w:ind w:right="80" w:firstLine="547"/>
        <w:spacing w:after="0" w:line="291" w:lineRule="auto"/>
        <w:rPr>
          <w:sz w:val="20"/>
          <w:szCs w:val="20"/>
          <w:color w:val="auto"/>
        </w:rPr>
      </w:pPr>
      <w:r>
        <w:rPr>
          <w:rFonts w:ascii="Arial" w:cs="Arial" w:eastAsia="Arial" w:hAnsi="Arial"/>
          <w:sz w:val="15"/>
          <w:szCs w:val="15"/>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5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68" w:lineRule="exact"/>
        <w:rPr>
          <w:sz w:val="20"/>
          <w:szCs w:val="20"/>
          <w:color w:val="auto"/>
        </w:rPr>
      </w:pPr>
    </w:p>
    <w:p>
      <w:pPr>
        <w:ind w:firstLine="547"/>
        <w:spacing w:after="0" w:line="304" w:lineRule="auto"/>
        <w:rPr>
          <w:sz w:val="20"/>
          <w:szCs w:val="20"/>
          <w:color w:val="auto"/>
        </w:rPr>
      </w:pPr>
      <w:r>
        <w:rPr>
          <w:rFonts w:ascii="Arial" w:cs="Arial" w:eastAsia="Arial" w:hAnsi="Arial"/>
          <w:sz w:val="15"/>
          <w:szCs w:val="15"/>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sale or availability for sale of substantial amounts of ADSs could adversely affect their market price.</w:t>
      </w:r>
    </w:p>
    <w:p>
      <w:pPr>
        <w:spacing w:after="0" w:line="103" w:lineRule="exact"/>
        <w:rPr>
          <w:sz w:val="20"/>
          <w:szCs w:val="20"/>
          <w:color w:val="auto"/>
        </w:rPr>
      </w:pPr>
    </w:p>
    <w:p>
      <w:pPr>
        <w:ind w:right="60" w:firstLine="547"/>
        <w:spacing w:after="0" w:line="304" w:lineRule="auto"/>
        <w:rPr>
          <w:sz w:val="20"/>
          <w:szCs w:val="20"/>
          <w:color w:val="auto"/>
        </w:rPr>
      </w:pPr>
      <w:r>
        <w:rPr>
          <w:rFonts w:ascii="Arial" w:cs="Arial" w:eastAsia="Arial" w:hAnsi="Arial"/>
          <w:sz w:val="15"/>
          <w:szCs w:val="15"/>
          <w:color w:val="auto"/>
        </w:rPr>
        <w:t>Sales of substantial amounts of the ADSs in the public market, or the perception that these sales could occur, could adversely affect the market price of the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Techniques employed by short sellers may drive down the market price of the ADSs.</w:t>
      </w:r>
    </w:p>
    <w:p>
      <w:pPr>
        <w:spacing w:after="0" w:line="103" w:lineRule="exact"/>
        <w:rPr>
          <w:sz w:val="20"/>
          <w:szCs w:val="20"/>
          <w:color w:val="auto"/>
        </w:rPr>
      </w:pPr>
    </w:p>
    <w:p>
      <w:pPr>
        <w:ind w:right="100" w:firstLine="547"/>
        <w:spacing w:after="0" w:line="248" w:lineRule="auto"/>
        <w:rPr>
          <w:sz w:val="20"/>
          <w:szCs w:val="20"/>
          <w:color w:val="auto"/>
        </w:rPr>
      </w:pPr>
      <w:r>
        <w:rPr>
          <w:rFonts w:ascii="Arial" w:cs="Arial" w:eastAsia="Arial" w:hAnsi="Arial"/>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3" w:lineRule="exact"/>
        <w:rPr>
          <w:sz w:val="20"/>
          <w:szCs w:val="20"/>
          <w:color w:val="auto"/>
        </w:rPr>
      </w:pPr>
    </w:p>
    <w:p>
      <w:pPr>
        <w:ind w:right="60" w:firstLine="547"/>
        <w:spacing w:after="0" w:line="370" w:lineRule="auto"/>
        <w:rPr>
          <w:sz w:val="20"/>
          <w:szCs w:val="20"/>
          <w:color w:val="auto"/>
        </w:rPr>
      </w:pPr>
      <w:r>
        <w:rPr>
          <w:rFonts w:ascii="Arial" w:cs="Arial" w:eastAsia="Arial" w:hAnsi="Arial"/>
          <w:sz w:val="13"/>
          <w:szCs w:val="13"/>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7" w:name="page38"/>
    <w:bookmarkEnd w:id="37"/>
    <w:p>
      <w:pPr>
        <w:spacing w:after="0"/>
        <w:rPr>
          <w:sz w:val="20"/>
          <w:szCs w:val="20"/>
          <w:color w:val="auto"/>
        </w:rPr>
      </w:pPr>
      <w:r>
        <w:rPr>
          <w:rFonts w:ascii="Arial" w:cs="Arial" w:eastAsia="Arial" w:hAnsi="Arial"/>
          <w:sz w:val="15"/>
          <w:szCs w:val="15"/>
          <w:color w:val="auto"/>
        </w:rPr>
        <w:t>and external investigations into the allegations and, in the interim, are subject to shareholder lawsuits and/or enforcement actions by the SEC or other U.S. authorities..</w:t>
      </w:r>
    </w:p>
    <w:p>
      <w:pPr>
        <w:spacing w:after="0" w:line="226" w:lineRule="exact"/>
        <w:rPr>
          <w:sz w:val="20"/>
          <w:szCs w:val="20"/>
          <w:color w:val="auto"/>
        </w:rPr>
      </w:pPr>
    </w:p>
    <w:p>
      <w:pPr>
        <w:ind w:firstLine="547"/>
        <w:spacing w:after="0" w:line="267" w:lineRule="auto"/>
        <w:rPr>
          <w:sz w:val="20"/>
          <w:szCs w:val="20"/>
          <w:color w:val="auto"/>
        </w:rPr>
      </w:pPr>
      <w:r>
        <w:rPr>
          <w:rFonts w:ascii="Arial" w:cs="Arial" w:eastAsia="Arial" w:hAnsi="Arial"/>
          <w:sz w:val="16"/>
          <w:szCs w:val="16"/>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expect to pay dividends in the foreseeable future, you must rely on a price appreciation of the ADSs for a return on your investment.</w:t>
      </w:r>
    </w:p>
    <w:p>
      <w:pPr>
        <w:spacing w:after="0" w:line="126" w:lineRule="exact"/>
        <w:rPr>
          <w:sz w:val="20"/>
          <w:szCs w:val="20"/>
          <w:color w:val="auto"/>
        </w:rPr>
      </w:pPr>
    </w:p>
    <w:p>
      <w:pPr>
        <w:ind w:right="80" w:firstLine="547"/>
        <w:spacing w:after="0" w:line="254" w:lineRule="auto"/>
        <w:rPr>
          <w:sz w:val="20"/>
          <w:szCs w:val="20"/>
          <w:color w:val="auto"/>
        </w:rPr>
      </w:pPr>
      <w:r>
        <w:rPr>
          <w:rFonts w:ascii="Arial" w:cs="Arial" w:eastAsia="Arial" w:hAnsi="Arial"/>
          <w:sz w:val="17"/>
          <w:szCs w:val="17"/>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77" w:lineRule="exact"/>
        <w:rPr>
          <w:sz w:val="20"/>
          <w:szCs w:val="20"/>
          <w:color w:val="auto"/>
        </w:rPr>
      </w:pPr>
    </w:p>
    <w:p>
      <w:pPr>
        <w:ind w:right="120" w:firstLine="547"/>
        <w:spacing w:after="0" w:line="265" w:lineRule="auto"/>
        <w:rPr>
          <w:sz w:val="20"/>
          <w:szCs w:val="20"/>
          <w:color w:val="auto"/>
        </w:rPr>
      </w:pPr>
      <w:r>
        <w:rPr>
          <w:rFonts w:ascii="Arial" w:cs="Arial" w:eastAsia="Arial" w:hAnsi="Arial"/>
          <w:sz w:val="16"/>
          <w:szCs w:val="16"/>
          <w:color w:val="auto"/>
        </w:rPr>
        <w:t>Our Board of Directors has complete discretion as to whether to distribute dividends, subject to certain requirements of Cayman Islands law.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268"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8" w:lineRule="exact"/>
        <w:rPr>
          <w:sz w:val="20"/>
          <w:szCs w:val="20"/>
          <w:color w:val="auto"/>
        </w:rPr>
      </w:pPr>
    </w:p>
    <w:p>
      <w:pPr>
        <w:ind w:right="60" w:firstLine="547"/>
        <w:spacing w:after="0" w:line="284" w:lineRule="auto"/>
        <w:rPr>
          <w:sz w:val="20"/>
          <w:szCs w:val="20"/>
          <w:color w:val="auto"/>
        </w:rPr>
      </w:pPr>
      <w:r>
        <w:rPr>
          <w:rFonts w:ascii="Arial" w:cs="Arial" w:eastAsia="Arial" w:hAnsi="Arial"/>
          <w:sz w:val="15"/>
          <w:szCs w:val="15"/>
          <w:color w:val="auto"/>
        </w:rPr>
        <w:t>We are an exempted company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56" w:lineRule="exact"/>
        <w:rPr>
          <w:sz w:val="20"/>
          <w:szCs w:val="20"/>
          <w:color w:val="auto"/>
        </w:rPr>
      </w:pPr>
    </w:p>
    <w:p>
      <w:pPr>
        <w:ind w:right="20" w:firstLine="547"/>
        <w:spacing w:after="0" w:line="291" w:lineRule="auto"/>
        <w:rPr>
          <w:sz w:val="20"/>
          <w:szCs w:val="20"/>
          <w:color w:val="auto"/>
        </w:rPr>
      </w:pPr>
      <w:r>
        <w:rPr>
          <w:rFonts w:ascii="Arial" w:cs="Arial" w:eastAsia="Arial" w:hAnsi="Arial"/>
          <w:sz w:val="15"/>
          <w:szCs w:val="15"/>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50" w:lineRule="exact"/>
        <w:rPr>
          <w:sz w:val="20"/>
          <w:szCs w:val="20"/>
          <w:color w:val="auto"/>
        </w:rPr>
      </w:pPr>
    </w:p>
    <w:p>
      <w:pPr>
        <w:ind w:right="320" w:firstLine="547"/>
        <w:spacing w:after="0" w:line="332" w:lineRule="auto"/>
        <w:rPr>
          <w:sz w:val="20"/>
          <w:szCs w:val="20"/>
          <w:color w:val="auto"/>
        </w:rPr>
      </w:pPr>
      <w:r>
        <w:rPr>
          <w:rFonts w:ascii="Arial" w:cs="Arial" w:eastAsia="Arial" w:hAnsi="Arial"/>
          <w:sz w:val="15"/>
          <w:szCs w:val="15"/>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Certain judgments obtained against us by our shareholders may not be enforceable.</w:t>
      </w:r>
    </w:p>
    <w:p>
      <w:pPr>
        <w:spacing w:after="0" w:line="103" w:lineRule="exact"/>
        <w:rPr>
          <w:sz w:val="20"/>
          <w:szCs w:val="20"/>
          <w:color w:val="auto"/>
        </w:rPr>
      </w:pPr>
    </w:p>
    <w:p>
      <w:pPr>
        <w:ind w:right="120" w:firstLine="547"/>
        <w:spacing w:after="0" w:line="248" w:lineRule="auto"/>
        <w:rPr>
          <w:sz w:val="20"/>
          <w:szCs w:val="20"/>
          <w:color w:val="auto"/>
        </w:rPr>
      </w:pPr>
      <w:r>
        <w:rPr>
          <w:rFonts w:ascii="Arial" w:cs="Arial" w:eastAsia="Arial" w:hAnsi="Arial"/>
          <w:sz w:val="17"/>
          <w:szCs w:val="17"/>
          <w:color w:val="auto"/>
        </w:rPr>
        <w:t>We are a Cayman Islands exempted company and substantially all of our assets are located outside of the United States. Substantially all of our current operations are conducted in China.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28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b w:val="1"/>
          <w:bCs w:val="1"/>
          <w:i w:val="1"/>
          <w:iCs w:val="1"/>
          <w:color w:val="auto"/>
        </w:rPr>
        <w:t>The voting rights of holders of ADSs are limited by the terms of the deposit agreement, and you may not be able to exercise your right to direct the voting of your Class A ordinary shares underlying the ADSs.</w:t>
      </w:r>
    </w:p>
    <w:p>
      <w:pPr>
        <w:spacing w:after="0" w:line="68" w:lineRule="exact"/>
        <w:rPr>
          <w:sz w:val="20"/>
          <w:szCs w:val="20"/>
          <w:color w:val="auto"/>
        </w:rPr>
      </w:pPr>
    </w:p>
    <w:p>
      <w:pPr>
        <w:ind w:firstLine="552"/>
        <w:spacing w:after="0" w:line="280" w:lineRule="auto"/>
        <w:rPr>
          <w:sz w:val="20"/>
          <w:szCs w:val="20"/>
          <w:color w:val="auto"/>
        </w:rPr>
      </w:pPr>
      <w:r>
        <w:rPr>
          <w:rFonts w:ascii="Arial" w:cs="Arial" w:eastAsia="Arial" w:hAnsi="Arial"/>
          <w:sz w:val="15"/>
          <w:szCs w:val="15"/>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underlying Class A ordinary shares represented by your ADSs indirectly by giving voting instructions to the depositary in accordance with the provisions of the deposit agreement. Under the deposit agreement, you may vote only by giving voting instructions to the depositary, as holder of the underlying Class A ordinary shares represented by your ADSs. Upon receipt of your voting instructions, the depositary may try to vote the underlying Class A ordinary shares represented by your ADSs in accordance with your instructions. If we ask for your instructions, then upon receipt of your voting instructions, the depositary will try to vote the underlying Class A ordinary shares in accordance with those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enable you to withdraw the underlying Class A ordinary shares represented by your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fourth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Where any matter is to be put to a vote at a general meeting, the depositary will notify you of the upcoming vote and to deliver our voting materials to you.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w:t>
      </w:r>
    </w:p>
    <w:p>
      <w:pPr>
        <w:spacing w:after="0" w:line="261"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b w:val="1"/>
          <w:bCs w:val="1"/>
          <w:i w:val="1"/>
          <w:iCs w:val="1"/>
          <w:color w:val="auto"/>
        </w:rPr>
        <w:t>Our triple-class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44" w:lineRule="exact"/>
        <w:rPr>
          <w:sz w:val="20"/>
          <w:szCs w:val="20"/>
          <w:color w:val="auto"/>
        </w:rPr>
      </w:pPr>
    </w:p>
    <w:p>
      <w:pPr>
        <w:ind w:right="240" w:firstLine="547"/>
        <w:spacing w:after="0" w:line="345" w:lineRule="auto"/>
        <w:rPr>
          <w:sz w:val="20"/>
          <w:szCs w:val="20"/>
          <w:color w:val="auto"/>
        </w:rPr>
      </w:pPr>
      <w:r>
        <w:rPr>
          <w:rFonts w:ascii="Arial" w:cs="Arial" w:eastAsia="Arial" w:hAnsi="Arial"/>
          <w:sz w:val="13"/>
          <w:szCs w:val="13"/>
          <w:color w:val="auto"/>
        </w:rPr>
        <w:t>We have adopted a triple-class share structure such that our ordinary shares consist of Class A ordinary shares, Class B ordinary shares and Class C ordinary shares. In respect of matters requiring the votes of shareholders, each Class A ordinary share is entitled to one vote, each Class B ordinary share is entitled to seven votes, and each Class C ordinary share is entitled to ten votes. Each Class B ordinary share or Class C ordinary share is convertible into one Class A ordinary share at any time by the holder thereof. Class A ordinary shares are not convertible into Class B ordinary shares or Class C ordinary shares, Class B ordinary shares are not convertible into Class C ordinary shares, and Class C ordinary shares are not convertible into Class B ordinary shares under any circumstances.</w:t>
      </w:r>
    </w:p>
    <w:p>
      <w:pPr>
        <w:spacing w:after="0" w:line="121" w:lineRule="exact"/>
        <w:rPr>
          <w:sz w:val="20"/>
          <w:szCs w:val="20"/>
          <w:color w:val="auto"/>
        </w:rPr>
      </w:pPr>
    </w:p>
    <w:p>
      <w:pPr>
        <w:ind w:firstLine="547"/>
        <w:spacing w:after="0" w:line="265" w:lineRule="auto"/>
        <w:rPr>
          <w:sz w:val="20"/>
          <w:szCs w:val="20"/>
          <w:color w:val="auto"/>
        </w:rPr>
      </w:pPr>
      <w:r>
        <w:rPr>
          <w:rFonts w:ascii="Arial" w:cs="Arial" w:eastAsia="Arial" w:hAnsi="Arial"/>
          <w:sz w:val="16"/>
          <w:szCs w:val="16"/>
          <w:color w:val="auto"/>
        </w:rPr>
        <w:t>Mr. Peng Ou, our founder and chairman of our Board of Directors, Mr. Tongbo Liu, our chief executive officer and director, and certain of our senior management and employees collectively beneficially own all of our issued and outstanding Class C ordinary shares. These Class C ordinary shares constitute approximately 60.8% of our total issued and outstanding share capital and 84.3% of the aggregate voting power of our total issued and outstanding share capital as of the date of this annual report. In addition, up to 429,169 ordinary shares reserved and issuable upon the exercise of options granted pursuant to our equity incentive plan adopted in October 2017 shall be, upon issuance of such ordinary shares, designated as Class C ordinary shares, the voting power of which will be held by certain of our senior employees. PV PLUTO LIMITED, an entity wholly owned and controlled by Primavera Capital Fund, beneficially owns all of our issued and outstanding Class B ordinary shares, which constitutes approximately 12.3% of our total issued and outstanding share capital and 11.9% of the aggregate voting power of our total issued and outstanding share capital as of the date of this annual report.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39" w:name="page40"/>
    <w:bookmarkEnd w:id="39"/>
    <w:p>
      <w:pPr>
        <w:ind w:firstLine="547"/>
        <w:spacing w:after="0" w:line="266" w:lineRule="auto"/>
        <w:rPr>
          <w:sz w:val="20"/>
          <w:szCs w:val="20"/>
          <w:color w:val="auto"/>
        </w:rPr>
      </w:pPr>
      <w:r>
        <w:rPr>
          <w:rFonts w:ascii="Arial" w:cs="Arial" w:eastAsia="Arial" w:hAnsi="Arial"/>
          <w:sz w:val="16"/>
          <w:szCs w:val="16"/>
          <w:color w:val="auto"/>
        </w:rPr>
        <w:t>As a result of this triple-class share structure and the concentration of ownership, Mr. Peng Ou, Mr. Tongbo Liu and certain of our senior management and employees will have significant influence over our business, including decisions regarding mergers, consolidations, liquidations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67" w:lineRule="exact"/>
        <w:rPr>
          <w:sz w:val="20"/>
          <w:szCs w:val="20"/>
          <w:color w:val="auto"/>
        </w:rPr>
      </w:pPr>
    </w:p>
    <w:p>
      <w:pPr>
        <w:ind w:right="20" w:firstLine="547"/>
        <w:spacing w:after="0" w:line="264" w:lineRule="auto"/>
        <w:rPr>
          <w:sz w:val="20"/>
          <w:szCs w:val="20"/>
          <w:color w:val="auto"/>
        </w:rPr>
      </w:pPr>
      <w:r>
        <w:rPr>
          <w:rFonts w:ascii="Arial" w:cs="Arial" w:eastAsia="Arial" w:hAnsi="Arial"/>
          <w:sz w:val="17"/>
          <w:szCs w:val="17"/>
          <w:b w:val="1"/>
          <w:bCs w:val="1"/>
          <w:i w:val="1"/>
          <w:iCs w:val="1"/>
          <w:color w:val="auto"/>
        </w:rPr>
        <w:t>Our tripple-class voting structure may render the ADSs representing our class A ordinary shares ineligible for inclusion in certain stock market indices, and thus adversely affect the trading price and liquidity of the ADSs.</w:t>
      </w:r>
    </w:p>
    <w:p>
      <w:pPr>
        <w:spacing w:after="0" w:line="168" w:lineRule="exact"/>
        <w:rPr>
          <w:sz w:val="20"/>
          <w:szCs w:val="20"/>
          <w:color w:val="auto"/>
        </w:rPr>
      </w:pPr>
    </w:p>
    <w:p>
      <w:pPr>
        <w:ind w:right="40" w:firstLine="547"/>
        <w:spacing w:after="0" w:line="285" w:lineRule="auto"/>
        <w:rPr>
          <w:sz w:val="20"/>
          <w:szCs w:val="20"/>
          <w:color w:val="auto"/>
        </w:rPr>
      </w:pPr>
      <w:r>
        <w:rPr>
          <w:rFonts w:ascii="Arial" w:cs="Arial" w:eastAsia="Arial" w:hAnsi="Arial"/>
          <w:sz w:val="15"/>
          <w:szCs w:val="15"/>
          <w:color w:val="auto"/>
        </w:rPr>
        <w:t>We cannot predict whether our tripple-class share structure with different voting rights will result in a lower or more volatile market price of the ADSs, in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tripple-class voting structure may prevent the inclusion of the ADSs representing our class A ordinary shares in such indices, which could adversely affect the trading price and liquidity of the ADSs representing our class A ordinary shares. In addition, several shareholder advisory firms have announced their opposition to the use of multiple class structure and our tripple-class structure may cause shareholder advisory firms to publish negative commentary about our corporate governance, in which case the market price and liquidity of the ADSs could be adversely affected.</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experience dilution of your holdings due to the inability to participate in rights offerings.</w:t>
      </w:r>
    </w:p>
    <w:p>
      <w:pPr>
        <w:spacing w:after="0" w:line="103" w:lineRule="exact"/>
        <w:rPr>
          <w:sz w:val="20"/>
          <w:szCs w:val="20"/>
          <w:color w:val="auto"/>
        </w:rPr>
      </w:pPr>
    </w:p>
    <w:p>
      <w:pPr>
        <w:ind w:right="80" w:firstLine="547"/>
        <w:spacing w:after="0" w:line="288" w:lineRule="auto"/>
        <w:rPr>
          <w:sz w:val="20"/>
          <w:szCs w:val="20"/>
          <w:color w:val="auto"/>
        </w:rPr>
      </w:pPr>
      <w:r>
        <w:rPr>
          <w:rFonts w:ascii="Arial" w:cs="Arial" w:eastAsia="Arial" w:hAnsi="Arial"/>
          <w:sz w:val="15"/>
          <w:szCs w:val="15"/>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be subject to limitations on the transfer of your ADSs.</w:t>
      </w:r>
    </w:p>
    <w:p>
      <w:pPr>
        <w:spacing w:after="0" w:line="103" w:lineRule="exact"/>
        <w:rPr>
          <w:sz w:val="20"/>
          <w:szCs w:val="20"/>
          <w:color w:val="auto"/>
        </w:rPr>
      </w:pPr>
    </w:p>
    <w:p>
      <w:pPr>
        <w:ind w:right="260" w:firstLine="547"/>
        <w:spacing w:after="0" w:line="249"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it expedient in connection with the performance of its duties. The depositary may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115" w:lineRule="exact"/>
        <w:rPr>
          <w:sz w:val="20"/>
          <w:szCs w:val="20"/>
          <w:color w:val="auto"/>
        </w:rPr>
      </w:pPr>
    </w:p>
    <w:p>
      <w:pPr>
        <w:ind w:right="60" w:firstLine="547"/>
        <w:spacing w:after="0" w:line="295" w:lineRule="auto"/>
        <w:rPr>
          <w:sz w:val="20"/>
          <w:szCs w:val="20"/>
          <w:color w:val="auto"/>
        </w:rPr>
      </w:pPr>
      <w:r>
        <w:rPr>
          <w:rFonts w:ascii="Arial" w:cs="Arial" w:eastAsia="Arial" w:hAnsi="Arial"/>
          <w:sz w:val="15"/>
          <w:szCs w:val="15"/>
          <w:color w:val="auto"/>
        </w:rPr>
        <w:t>We are an “emerging growth company,” as defined in the JOBS Act, and we have taken and intend to continue to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to continue to not comply with such auditor attestation requirements, our investors may not have access to certain information they may deem important.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i w:val="1"/>
          <w:iCs w:val="1"/>
          <w:color w:val="auto"/>
        </w:rPr>
        <w:t>We are a foreign private issuer within the meaning of the rules under the Exchange Act, and as such we are exempt from certain provisions applicable to U.S.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domestic public companies.</w:t>
      </w:r>
    </w:p>
    <w:p>
      <w:pPr>
        <w:spacing w:after="0" w:line="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Because we qualify as a foreign private issuer under the Exchange Act, we are exempt from certain provisions of the securities rules and regulations in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United States that are applicable to U.S. domestic issuers, including:</w:t>
      </w:r>
    </w:p>
    <w:p>
      <w:pPr>
        <w:spacing w:after="0" w:line="91" w:lineRule="exact"/>
        <w:rPr>
          <w:sz w:val="20"/>
          <w:szCs w:val="20"/>
          <w:color w:val="auto"/>
        </w:rPr>
      </w:pPr>
    </w:p>
    <w:p>
      <w:pPr>
        <w:ind w:left="1080" w:hanging="545"/>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03" w:lineRule="exact"/>
        <w:rPr>
          <w:rFonts w:ascii="Arial" w:cs="Arial" w:eastAsia="Arial" w:hAnsi="Arial"/>
          <w:sz w:val="17"/>
          <w:szCs w:val="17"/>
          <w:color w:val="auto"/>
        </w:rPr>
      </w:pPr>
    </w:p>
    <w:p>
      <w:pPr>
        <w:ind w:left="1080" w:right="120" w:hanging="545"/>
        <w:spacing w:after="0" w:line="264"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sections of the Exchange Act regulating the solicitation of proxies, consents or authorizations in respect of a security registered under the Exchange Act;</w:t>
      </w:r>
    </w:p>
    <w:p>
      <w:pPr>
        <w:spacing w:after="0" w:line="68" w:lineRule="exact"/>
        <w:rPr>
          <w:rFonts w:ascii="Arial" w:cs="Arial" w:eastAsia="Arial" w:hAnsi="Arial"/>
          <w:sz w:val="17"/>
          <w:szCs w:val="17"/>
          <w:color w:val="auto"/>
        </w:rPr>
      </w:pPr>
    </w:p>
    <w:p>
      <w:pPr>
        <w:ind w:left="1080" w:right="340" w:hanging="545"/>
        <w:spacing w:after="0" w:line="264"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sections of the Exchange Act requiring insiders to file public reports of their stock ownership and trading activities and liability for insiders who profit from trades made in a short period of time; and</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selective disclosure rules by issuers of material nonpublic information under Regulation FD.</w:t>
      </w:r>
    </w:p>
    <w:p>
      <w:pPr>
        <w:spacing w:after="0" w:line="203" w:lineRule="exact"/>
        <w:rPr>
          <w:sz w:val="20"/>
          <w:szCs w:val="20"/>
          <w:color w:val="auto"/>
        </w:rPr>
      </w:pPr>
    </w:p>
    <w:p>
      <w:pPr>
        <w:ind w:firstLine="547"/>
        <w:spacing w:after="0" w:line="249" w:lineRule="auto"/>
        <w:rPr>
          <w:sz w:val="20"/>
          <w:szCs w:val="20"/>
          <w:color w:val="auto"/>
        </w:rPr>
      </w:pPr>
      <w:r>
        <w:rPr>
          <w:rFonts w:ascii="Arial" w:cs="Arial" w:eastAsia="Arial" w:hAnsi="Arial"/>
          <w:sz w:val="17"/>
          <w:szCs w:val="17"/>
          <w:color w:val="auto"/>
        </w:rPr>
        <w:t>We are required to file an annual report on Form 20-F within four months of the end of each fiscal year. In addition, we intend to publish our results on a quarterly basis as press releases, distributed pursuant to the rules and regulations of the NYSE. Press releases relating to financial results and material events will also be furnished to the SEC on Form 6-K. However, the information we are required to file with or furnish to the SEC are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2"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b w:val="1"/>
          <w:bCs w:val="1"/>
          <w:i w:val="1"/>
          <w:iCs w:val="1"/>
          <w:color w:val="auto"/>
        </w:rPr>
        <w:t>As an exempted company incorporated in the Cayman Islands, we are permitted to adopt certain home country practices in relation to corporate governance matters that differ significantly from the New York Stock Exchange corporate governance listing standards. These practices may afford less protection to shareholders than they would enjoy if we complied fully with the New York Stock Exchange corporate governance listing standards.</w:t>
      </w:r>
    </w:p>
    <w:p>
      <w:pPr>
        <w:spacing w:after="0" w:line="42" w:lineRule="exact"/>
        <w:rPr>
          <w:sz w:val="20"/>
          <w:szCs w:val="20"/>
          <w:color w:val="auto"/>
        </w:rPr>
      </w:pPr>
    </w:p>
    <w:p>
      <w:pPr>
        <w:ind w:right="40" w:firstLine="547"/>
        <w:spacing w:after="0" w:line="265" w:lineRule="auto"/>
        <w:rPr>
          <w:sz w:val="20"/>
          <w:szCs w:val="20"/>
          <w:color w:val="auto"/>
        </w:rPr>
      </w:pPr>
      <w:r>
        <w:rPr>
          <w:rFonts w:ascii="Arial" w:cs="Arial" w:eastAsia="Arial" w:hAnsi="Arial"/>
          <w:sz w:val="16"/>
          <w:szCs w:val="16"/>
          <w:color w:val="auto"/>
        </w:rPr>
        <w:t>As a Cayman Islands exempted company listed on the New York Stock Exchange, we are subject to New York Stock Exchange corporate governance listing standards. However, New York Stock Exchange rules permit a foreign private issuer like us to follow the corporate governance practices of its home country. Certain corporate governance practices in the Cayman Islands, which is our home country, may differ significantly from the New York Stock Exchange corporate governance listing standards. We have followed and intend to continue to follow Cayman Islands corporate governance practices in lieu of the corporate governance requirements of the New York Stock Exchange that listed companies must have: (i) a majority of independent directors; (ii) a nominating/corporate governance committee composed entirely of independent directors; and (iii) a compensation committee composed entirely of independent directors. To the extent we choose to follow home country practice in the future, our shareholders may be afforded less protection than they otherwise would enjoy under New York Stock Exchange corporate governance listing standards applicable to U.S. domestic issuers.</w:t>
      </w:r>
    </w:p>
    <w:p>
      <w:pPr>
        <w:spacing w:after="0" w:line="268" w:lineRule="exact"/>
        <w:rPr>
          <w:sz w:val="20"/>
          <w:szCs w:val="20"/>
          <w:color w:val="auto"/>
        </w:rPr>
      </w:pPr>
    </w:p>
    <w:p>
      <w:pPr>
        <w:ind w:right="440"/>
        <w:spacing w:after="0" w:line="264" w:lineRule="auto"/>
        <w:rPr>
          <w:sz w:val="20"/>
          <w:szCs w:val="20"/>
          <w:color w:val="auto"/>
        </w:rPr>
      </w:pPr>
      <w:r>
        <w:rPr>
          <w:rFonts w:ascii="Arial" w:cs="Arial" w:eastAsia="Arial" w:hAnsi="Arial"/>
          <w:sz w:val="17"/>
          <w:szCs w:val="17"/>
          <w:b w:val="1"/>
          <w:bCs w:val="1"/>
          <w:i w:val="1"/>
          <w:iCs w:val="1"/>
          <w:color w:val="auto"/>
        </w:rPr>
        <w:t>There can be no assurance that we will not be a passive foreign investment company, or PFIC, for any taxable year, which could result in adverse U.S. federal income tax consequences to U.S. investors in the ADSs or our ordinary shares.</w:t>
      </w:r>
    </w:p>
    <w:p>
      <w:pPr>
        <w:spacing w:after="0" w:line="68" w:lineRule="exact"/>
        <w:rPr>
          <w:sz w:val="20"/>
          <w:szCs w:val="20"/>
          <w:color w:val="auto"/>
        </w:rPr>
      </w:pPr>
    </w:p>
    <w:p>
      <w:pPr>
        <w:ind w:right="20" w:firstLine="547"/>
        <w:spacing w:after="0" w:line="282" w:lineRule="auto"/>
        <w:rPr>
          <w:sz w:val="20"/>
          <w:szCs w:val="20"/>
          <w:color w:val="auto"/>
        </w:rPr>
      </w:pPr>
      <w:r>
        <w:rPr>
          <w:rFonts w:ascii="Arial" w:cs="Arial" w:eastAsia="Arial" w:hAnsi="Arial"/>
          <w:sz w:val="15"/>
          <w:szCs w:val="15"/>
          <w:color w:val="auto"/>
        </w:rPr>
        <w:t>In general, a non-U.S. corporation is a PFIC for U.S. federal income tax purposes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Cash is a passive asset for these purposes. Based on the composition of our income and assets and the value of our assets, including goodwill, which is based on the price of our ADSs, we do not believe we were a PFIC for the 2020 taxable year. However, it is not entirely clear how the contractual arrangements between our wholly-owned PRC subsidiaries, our consolidated affiliated entities and the shareholders of our consolidated affiliated entities will be treated for purposes of the PFIC rules. Because the treatment of the contractual arrangements is not entirely clear, because we hold a substantial amount of cash and because our PFIC status for any taxable year will depend on the composition of our income and assets and the value of our assets from time to time (which may be determined, in part, by reference to the market price of the ADSs or ordinary shares, which could be volatile), there can be no assurance that we will not be a PFIC for our current or any future taxable year. If we were a PFIC for any taxable year during which a U.S. investor holds ADSs or ordinary shares, certain adverse U.S. federal income tax consequences could apply to such U.S. investor. See “Item 10. Additional Information—10.E. Taxation—Material U.S. Federal Income Tax Considerations—Passive Foreign Investment Company Rules.”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41" w:name="page42"/>
    <w:bookmarkEnd w:id="41"/>
    <w:p>
      <w:pPr>
        <w:spacing w:after="0"/>
        <w:tabs>
          <w:tab w:leader="none" w:pos="1060" w:val="left"/>
        </w:tabs>
        <w:rPr>
          <w:sz w:val="20"/>
          <w:szCs w:val="20"/>
          <w:color w:val="auto"/>
        </w:rPr>
      </w:pPr>
      <w:r>
        <w:rPr>
          <w:rFonts w:ascii="Arial" w:cs="Arial" w:eastAsia="Arial" w:hAnsi="Arial"/>
          <w:sz w:val="17"/>
          <w:szCs w:val="17"/>
          <w:b w:val="1"/>
          <w:bCs w:val="1"/>
          <w:color w:val="181717"/>
        </w:rPr>
        <w:t>ITEM 4.</w:t>
      </w:r>
      <w:r>
        <w:rPr>
          <w:sz w:val="20"/>
          <w:szCs w:val="20"/>
          <w:color w:val="auto"/>
        </w:rPr>
        <w:tab/>
      </w:r>
      <w:r>
        <w:rPr>
          <w:rFonts w:ascii="Arial" w:cs="Arial" w:eastAsia="Arial" w:hAnsi="Arial"/>
          <w:sz w:val="16"/>
          <w:szCs w:val="16"/>
          <w:b w:val="1"/>
          <w:bCs w:val="1"/>
          <w:color w:val="181717"/>
        </w:rPr>
        <w:t>INFORMATION ON THE COMPANY</w:t>
      </w:r>
    </w:p>
    <w:p>
      <w:pPr>
        <w:spacing w:after="0" w:line="10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4.A.</w:t>
      </w:r>
      <w:r>
        <w:rPr>
          <w:sz w:val="20"/>
          <w:szCs w:val="20"/>
          <w:color w:val="auto"/>
        </w:rPr>
        <w:tab/>
      </w:r>
      <w:r>
        <w:rPr>
          <w:rFonts w:ascii="Arial" w:cs="Arial" w:eastAsia="Arial" w:hAnsi="Arial"/>
          <w:sz w:val="13"/>
          <w:szCs w:val="13"/>
          <w:b w:val="1"/>
          <w:bCs w:val="1"/>
          <w:color w:val="auto"/>
        </w:rPr>
        <w:t>History and Development of the Company</w:t>
      </w:r>
    </w:p>
    <w:p>
      <w:pPr>
        <w:spacing w:after="0" w:line="107" w:lineRule="exact"/>
        <w:rPr>
          <w:sz w:val="20"/>
          <w:szCs w:val="20"/>
          <w:color w:val="auto"/>
        </w:rPr>
      </w:pPr>
    </w:p>
    <w:p>
      <w:pPr>
        <w:ind w:right="100" w:firstLine="547"/>
        <w:spacing w:after="0" w:line="264" w:lineRule="auto"/>
        <w:rPr>
          <w:sz w:val="20"/>
          <w:szCs w:val="20"/>
          <w:color w:val="auto"/>
        </w:rPr>
      </w:pPr>
      <w:r>
        <w:rPr>
          <w:rFonts w:ascii="Arial" w:cs="Arial" w:eastAsia="Arial" w:hAnsi="Arial"/>
          <w:sz w:val="17"/>
          <w:szCs w:val="17"/>
          <w:color w:val="auto"/>
        </w:rPr>
        <w:t>We commenced our education service business in August 2003. We remained an offline, classroom-based education service provider until we transitioned to an exclusively online education model in 2014.</w:t>
      </w:r>
    </w:p>
    <w:p>
      <w:pPr>
        <w:spacing w:after="0" w:line="168" w:lineRule="exact"/>
        <w:rPr>
          <w:sz w:val="20"/>
          <w:szCs w:val="20"/>
          <w:color w:val="auto"/>
        </w:rPr>
      </w:pPr>
    </w:p>
    <w:p>
      <w:pPr>
        <w:ind w:right="40" w:firstLine="547"/>
        <w:spacing w:after="0" w:line="269" w:lineRule="auto"/>
        <w:rPr>
          <w:sz w:val="20"/>
          <w:szCs w:val="20"/>
          <w:color w:val="auto"/>
        </w:rPr>
      </w:pPr>
      <w:r>
        <w:rPr>
          <w:rFonts w:ascii="Arial" w:cs="Arial" w:eastAsia="Arial" w:hAnsi="Arial"/>
          <w:sz w:val="16"/>
          <w:szCs w:val="16"/>
          <w:color w:val="auto"/>
        </w:rPr>
        <w:t>In December 2013, we entered into a series of contractual arrangements, which we refer to original VIE arrangements in this annual report, with Beijing Shangde Jiaxun Education Technology Co., Ltd., or Sunlands Jiaxun, and its shareholders. The original VIE arrangements enabled us to exercise effective control over Sunlands Jiaxun and its operating subsidiaries in the PRC, including the predecessor of Beijing Shangde Online Education Technology Co., Ltd., or Beijing Sunlands, a limited liability company through which we currently conduct our business in the PRC. During 2015 and 2016, as part of our plan to obtain equity financing in the PRC, we terminated the original VIE arrangements through a series of transactions.</w:t>
      </w:r>
    </w:p>
    <w:p>
      <w:pPr>
        <w:spacing w:after="0" w:line="165" w:lineRule="exact"/>
        <w:rPr>
          <w:sz w:val="20"/>
          <w:szCs w:val="20"/>
          <w:color w:val="auto"/>
        </w:rPr>
      </w:pPr>
    </w:p>
    <w:p>
      <w:pPr>
        <w:ind w:right="160" w:firstLine="547"/>
        <w:spacing w:after="0" w:line="304" w:lineRule="auto"/>
        <w:rPr>
          <w:sz w:val="20"/>
          <w:szCs w:val="20"/>
          <w:color w:val="auto"/>
        </w:rPr>
      </w:pPr>
      <w:r>
        <w:rPr>
          <w:rFonts w:ascii="Arial" w:cs="Arial" w:eastAsia="Arial" w:hAnsi="Arial"/>
          <w:sz w:val="15"/>
          <w:szCs w:val="15"/>
          <w:color w:val="auto"/>
        </w:rPr>
        <w:t>In September 2015, Studyvip Online Education International Limited, our current ultimate holding company, was incorporated under the laws of the Cayman Islands. In October 2017, Studyvip Online Education International Limited was renamed as Sunlands Online Education Group, or Sunlands Cayman. In October 2015, Sunlands Online Education HK Limited, or Sunlands HK, was incorporated in Hong Kong. Sunlands HK is a wholly owned subsidiary of Sunlands Cayman.</w:t>
      </w:r>
    </w:p>
    <w:p>
      <w:pPr>
        <w:spacing w:after="0" w:line="142" w:lineRule="exact"/>
        <w:rPr>
          <w:sz w:val="20"/>
          <w:szCs w:val="20"/>
          <w:color w:val="auto"/>
        </w:rPr>
      </w:pPr>
    </w:p>
    <w:p>
      <w:pPr>
        <w:ind w:right="60" w:firstLine="547"/>
        <w:spacing w:after="0" w:line="251" w:lineRule="auto"/>
        <w:rPr>
          <w:sz w:val="20"/>
          <w:szCs w:val="20"/>
          <w:color w:val="auto"/>
        </w:rPr>
      </w:pPr>
      <w:r>
        <w:rPr>
          <w:rFonts w:ascii="Arial" w:cs="Arial" w:eastAsia="Arial" w:hAnsi="Arial"/>
          <w:sz w:val="17"/>
          <w:szCs w:val="17"/>
          <w:color w:val="auto"/>
        </w:rPr>
        <w:t>In August 2017, Sunlands HK established Wuhan Studyvip Online Education Co. Limited, or Wuhan Zhibo, our wholly owned subsidiary in the PRC. In the same month, Wuhan Zhibo entered into a series of contractual agreements with Beijing Sunlands and its shareholders. These contractual arrangements enable us to have effective control over, and receive the economic benefits of, Beijing Sunlands. Accordingly, we are considered the primary beneficiary of Beijing Sunlands and are able to consolidate Beijing Sunlands and its operating subsidiaries in the PRC.</w:t>
      </w:r>
    </w:p>
    <w:p>
      <w:pPr>
        <w:spacing w:after="0" w:line="179" w:lineRule="exact"/>
        <w:rPr>
          <w:sz w:val="20"/>
          <w:szCs w:val="20"/>
          <w:color w:val="auto"/>
        </w:rPr>
      </w:pPr>
    </w:p>
    <w:p>
      <w:pPr>
        <w:ind w:right="340" w:firstLine="547"/>
        <w:spacing w:after="0" w:line="264" w:lineRule="auto"/>
        <w:rPr>
          <w:sz w:val="20"/>
          <w:szCs w:val="20"/>
          <w:color w:val="auto"/>
        </w:rPr>
      </w:pPr>
      <w:r>
        <w:rPr>
          <w:rFonts w:ascii="Arial" w:cs="Arial" w:eastAsia="Arial" w:hAnsi="Arial"/>
          <w:sz w:val="17"/>
          <w:szCs w:val="17"/>
          <w:color w:val="auto"/>
        </w:rPr>
        <w:t>In October 2017, Sunlands Cayman effectuated a one-for-two share split, pursuant to which each of its issued and outstanding ordinary shares and preferred shares was split into two ordinary shares or preferred shares, as the case may be.</w:t>
      </w:r>
    </w:p>
    <w:p>
      <w:pPr>
        <w:spacing w:after="0" w:line="168" w:lineRule="exact"/>
        <w:rPr>
          <w:sz w:val="20"/>
          <w:szCs w:val="20"/>
          <w:color w:val="auto"/>
        </w:rPr>
      </w:pPr>
    </w:p>
    <w:p>
      <w:pPr>
        <w:ind w:right="260" w:firstLine="547"/>
        <w:spacing w:after="0" w:line="269" w:lineRule="auto"/>
        <w:rPr>
          <w:sz w:val="20"/>
          <w:szCs w:val="20"/>
          <w:color w:val="auto"/>
        </w:rPr>
      </w:pPr>
      <w:r>
        <w:rPr>
          <w:rFonts w:ascii="Arial" w:cs="Arial" w:eastAsia="Arial" w:hAnsi="Arial"/>
          <w:sz w:val="16"/>
          <w:szCs w:val="16"/>
          <w:color w:val="auto"/>
        </w:rPr>
        <w:t>In March 2018, we completed an initial public offering of 13,000,000 ADSs, representing 520,000 Class A ordinary shares and the ADSs were listed on the New York Stock Exchange under the symbol “STG.” In connection with our initial public offering, (i) DIAMOND TOWER INVESTMENTS LIMITED, our shareholder and an affiliate of Orchid Asia Group, purchased from us 104,348 Class A ordinary shares, and (ii) ELITE CONCEPT HOLDINGS LIMITED, our shareholder and an affiliate of New Oriental Education &amp; Technology Group Inc., or New Oriental, purchased from us 34,783 Class A ordinary shares. These private placements are being made pursuant to Regulation S of the U.S. Securities Act of 1933, as amended.</w:t>
      </w:r>
    </w:p>
    <w:p>
      <w:pPr>
        <w:spacing w:after="0" w:line="165" w:lineRule="exact"/>
        <w:rPr>
          <w:sz w:val="20"/>
          <w:szCs w:val="20"/>
          <w:color w:val="auto"/>
        </w:rPr>
      </w:pPr>
    </w:p>
    <w:p>
      <w:pPr>
        <w:jc w:val="both"/>
        <w:ind w:firstLine="547"/>
        <w:spacing w:after="0" w:line="304" w:lineRule="auto"/>
        <w:rPr>
          <w:sz w:val="20"/>
          <w:szCs w:val="20"/>
          <w:color w:val="auto"/>
        </w:rPr>
      </w:pPr>
      <w:r>
        <w:rPr>
          <w:rFonts w:ascii="Arial" w:cs="Arial" w:eastAsia="Arial" w:hAnsi="Arial"/>
          <w:sz w:val="15"/>
          <w:szCs w:val="15"/>
          <w:color w:val="auto"/>
        </w:rPr>
        <w:t>In May 2018, our wholly-owned subsidiary, Tianjin Studyvip Education Co., Limited, or Tianjin Sunlands, entered into a series of contractual arrangements with Tianjin Shangde Online Education Technology Co., Ltd, or Tianjin Shangde, as well as the shareholders of Tianjin Shangde and, where applicable, operating subsidiaries of Tianjin Shangde, through which we obtained effective control over, and became the primary beneficiary of, Tianjin Shangde.</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 August 2018, Sunlands Online Education Group was renamed as Sunlands Technology Group.</w:t>
      </w:r>
    </w:p>
    <w:p>
      <w:pPr>
        <w:spacing w:after="0" w:line="203" w:lineRule="exact"/>
        <w:rPr>
          <w:sz w:val="20"/>
          <w:szCs w:val="20"/>
          <w:color w:val="auto"/>
        </w:rPr>
      </w:pPr>
    </w:p>
    <w:p>
      <w:pPr>
        <w:ind w:right="140" w:firstLine="547"/>
        <w:spacing w:after="0" w:line="288" w:lineRule="auto"/>
        <w:rPr>
          <w:sz w:val="20"/>
          <w:szCs w:val="20"/>
          <w:color w:val="auto"/>
        </w:rPr>
      </w:pPr>
      <w:r>
        <w:rPr>
          <w:rFonts w:ascii="Arial" w:cs="Arial" w:eastAsia="Arial" w:hAnsi="Arial"/>
          <w:sz w:val="15"/>
          <w:szCs w:val="15"/>
          <w:color w:val="auto"/>
        </w:rPr>
        <w:t>From September 2019 to September 2020, Wuhan Zhibo, our wholly-owned subsidiary, entered into a series of contractual arrangements, including Exclusive Technical Consultation and Service Agreements, Business Operation Agreements, Equity Interest Pledge Agreements, Option Agreements, and Powers of Attorney with, Wuhan Xiaoyan Technology Co., Ltd., or Wuhan Xiaoyan, Wuhan Jiayan Online Education Technology Co., Ltd., or Wuhan Jiayan, Beijing Odysseus Education Technology Co., Ltd., or Beijing Odysseus, Guangzhou Wudawei Education Technology Co., Ltd., or Guangzhou Wudawei, Guangzhou Tianyong Online Education Technology Co., Ltd., or Guangzhou Tianyong, and Wuhan Hadeliang Online Education Technology Co., Ltd., or Wuhan Hadeliang, as well as their shareholders and, where applicable, operating subsidiaries of them, through which we obtained effective control over, and became the primary beneficiary of, these companies.</w:t>
      </w:r>
    </w:p>
    <w:p>
      <w:pPr>
        <w:spacing w:after="0" w:line="153" w:lineRule="exact"/>
        <w:rPr>
          <w:sz w:val="20"/>
          <w:szCs w:val="20"/>
          <w:color w:val="auto"/>
        </w:rPr>
      </w:pPr>
    </w:p>
    <w:p>
      <w:pPr>
        <w:ind w:right="60" w:firstLine="547"/>
        <w:spacing w:after="0" w:line="248" w:lineRule="auto"/>
        <w:rPr>
          <w:sz w:val="20"/>
          <w:szCs w:val="20"/>
          <w:color w:val="auto"/>
        </w:rPr>
      </w:pPr>
      <w:r>
        <w:rPr>
          <w:rFonts w:ascii="Arial" w:cs="Arial" w:eastAsia="Arial" w:hAnsi="Arial"/>
          <w:sz w:val="17"/>
          <w:szCs w:val="17"/>
          <w:color w:val="auto"/>
        </w:rPr>
        <w:t>In December 2020, as part of our efforts to streamline our corporate structure, (i) each of Tianjin Sunlands, Tianjin Shangde and Tianjin Shangde’s shareholders executed termination agreements to terminate each of the Tianjin Contractual Arrangements, as a result of which Tianjin Sunlands will no longer have effective control over, and receive the economic benefits of, Tianjin Shangde; and (ii) Wuhan Zhibo entered into a series of contractual arrangements, including Exclusive Technical Consultation and Service Agreement, Business Operation Agreement, Equity Interest Pledge Agreement, Option Agreement, and Powers of Attorney with Tianjin Shangde, as well as its shareholders and, where applicable, its operating subsidiaries, through which we obtained effective control over, and became the primary beneficiary of, Tianjin Shangde.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ind w:right="40" w:firstLine="547"/>
        <w:spacing w:after="0" w:line="269" w:lineRule="auto"/>
        <w:rPr>
          <w:sz w:val="20"/>
          <w:szCs w:val="20"/>
          <w:color w:val="auto"/>
        </w:rPr>
      </w:pPr>
      <w:r>
        <w:rPr>
          <w:rFonts w:ascii="Arial" w:cs="Arial" w:eastAsia="Arial" w:hAnsi="Arial"/>
          <w:sz w:val="16"/>
          <w:szCs w:val="16"/>
          <w:color w:val="auto"/>
        </w:rPr>
        <w:t>From December 2020 to Febuarary 2021, Tianjin Sunlands, our wholly-owned subsidiary, entered into a series of contractual arrangements, including Exclusive Technical Consultation and Service Agreements, Business Operation Agreements, Equity Interest Pledge Agreements, Option Agreements, and Powers of Attorney with Wuhan Fangtang Education Technology Co., Ltd., or Wuhan Fangtang, Beijing Zhiziyuanshui Education Technology Co., Ltd., or Beijing Zhiziyuanshui, and Beijing Feibian Education Technology Co., Ltd., or Beijing Feibian, as well as their shareholders and, where applicable, operating subsidiaries of them, through which we obtained effective control over, and became the primary beneficiary of, these companies.</w:t>
      </w:r>
    </w:p>
    <w:p>
      <w:pPr>
        <w:spacing w:after="0" w:line="165" w:lineRule="exact"/>
        <w:rPr>
          <w:sz w:val="20"/>
          <w:szCs w:val="20"/>
          <w:color w:val="auto"/>
        </w:rPr>
      </w:pPr>
    </w:p>
    <w:p>
      <w:pPr>
        <w:ind w:right="20" w:firstLine="547"/>
        <w:spacing w:after="0" w:line="249" w:lineRule="auto"/>
        <w:rPr>
          <w:sz w:val="20"/>
          <w:szCs w:val="20"/>
          <w:color w:val="auto"/>
        </w:rPr>
      </w:pPr>
      <w:r>
        <w:rPr>
          <w:rFonts w:ascii="Arial" w:cs="Arial" w:eastAsia="Arial" w:hAnsi="Arial"/>
          <w:sz w:val="17"/>
          <w:szCs w:val="17"/>
          <w:color w:val="auto"/>
        </w:rPr>
        <w:t>Our corporate headquarters is located at Building 4-6, Chaolai Science Park, No. 36 Chuangyuan Road, Chaoyang District, Beijing, the People’s Republic of China. Our telephone number at this address is +86-10-52413738. Our registered office in the Cayman Islands is located at the offices of Maples Corporate Services Limited at PO Box 309, Ugland House, Grand Cayman KY1-1104, Cayman Islands. Our agent for service of process in the United States is Cogency Global Inc. located at 10 East 40th Street, 10th Floor, New York, N.Y. 10016. Our corporate website is www.sunlands.com. The information contained in our website is not a part of this annual report.</w:t>
      </w:r>
    </w:p>
    <w:p>
      <w:pPr>
        <w:spacing w:after="0" w:line="27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4.B.</w:t>
      </w:r>
      <w:r>
        <w:rPr>
          <w:sz w:val="20"/>
          <w:szCs w:val="20"/>
          <w:color w:val="auto"/>
        </w:rPr>
        <w:tab/>
      </w:r>
      <w:r>
        <w:rPr>
          <w:rFonts w:ascii="Arial" w:cs="Arial" w:eastAsia="Arial" w:hAnsi="Arial"/>
          <w:sz w:val="13"/>
          <w:szCs w:val="13"/>
          <w:b w:val="1"/>
          <w:bCs w:val="1"/>
          <w:color w:val="auto"/>
        </w:rPr>
        <w:t>Business Overview</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Mission</w:t>
      </w:r>
    </w:p>
    <w:p>
      <w:pPr>
        <w:spacing w:after="0" w:line="107" w:lineRule="exact"/>
        <w:rPr>
          <w:sz w:val="20"/>
          <w:szCs w:val="20"/>
          <w:color w:val="auto"/>
        </w:rPr>
      </w:pPr>
    </w:p>
    <w:p>
      <w:pPr>
        <w:ind w:right="260" w:firstLine="547"/>
        <w:spacing w:after="0" w:line="254" w:lineRule="auto"/>
        <w:rPr>
          <w:sz w:val="20"/>
          <w:szCs w:val="20"/>
          <w:color w:val="auto"/>
        </w:rPr>
      </w:pPr>
      <w:r>
        <w:rPr>
          <w:rFonts w:ascii="Arial" w:cs="Arial" w:eastAsia="Arial" w:hAnsi="Arial"/>
          <w:sz w:val="17"/>
          <w:szCs w:val="17"/>
          <w:color w:val="auto"/>
        </w:rPr>
        <w:t>We believe education should nurture and spread new ideas to enrich lives. High-quality education should be available to everyone. We all share a common aspiration to improve ourselves through education. Our mission is to transform education through technology and innovation, making learning experiences enjoyable and rewarding.</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7" w:lineRule="exact"/>
        <w:rPr>
          <w:sz w:val="20"/>
          <w:szCs w:val="20"/>
          <w:color w:val="auto"/>
        </w:rPr>
      </w:pPr>
    </w:p>
    <w:p>
      <w:pPr>
        <w:ind w:right="220" w:firstLine="547"/>
        <w:spacing w:after="0" w:line="304" w:lineRule="auto"/>
        <w:rPr>
          <w:sz w:val="20"/>
          <w:szCs w:val="20"/>
          <w:color w:val="auto"/>
        </w:rPr>
      </w:pPr>
      <w:r>
        <w:rPr>
          <w:rFonts w:ascii="Arial" w:cs="Arial" w:eastAsia="Arial" w:hAnsi="Arial"/>
          <w:sz w:val="15"/>
          <w:szCs w:val="15"/>
          <w:color w:val="auto"/>
        </w:rPr>
        <w:t>We are the leader in China’s online post-secondary and professional education. We have a deep understanding of the educational needs of our prospective students and offer solutions that help them achieve their goals. We offer various degree-and diploma-oriented post-secondary courses through our online platforms. In addition, we offer online professional courses and educational content to help students prepare for professional certification exams and attain professional skills.</w:t>
      </w:r>
    </w:p>
    <w:p>
      <w:pPr>
        <w:spacing w:after="0" w:line="142" w:lineRule="exact"/>
        <w:rPr>
          <w:sz w:val="20"/>
          <w:szCs w:val="20"/>
          <w:color w:val="auto"/>
        </w:rPr>
      </w:pPr>
    </w:p>
    <w:p>
      <w:pPr>
        <w:ind w:right="100" w:firstLine="547"/>
        <w:spacing w:after="0" w:line="264" w:lineRule="auto"/>
        <w:rPr>
          <w:sz w:val="20"/>
          <w:szCs w:val="20"/>
          <w:color w:val="auto"/>
        </w:rPr>
      </w:pPr>
      <w:r>
        <w:rPr>
          <w:rFonts w:ascii="Arial" w:cs="Arial" w:eastAsia="Arial" w:hAnsi="Arial"/>
          <w:sz w:val="17"/>
          <w:szCs w:val="17"/>
          <w:color w:val="auto"/>
        </w:rPr>
        <w:t>Founded in 2003 as a traditional education company, we transitioned to an online education model in 2014. Our online education model enables our students to access our course and educational content offerings anywhere and anytime.</w:t>
      </w:r>
    </w:p>
    <w:p>
      <w:pPr>
        <w:spacing w:after="0" w:line="168" w:lineRule="exact"/>
        <w:rPr>
          <w:sz w:val="20"/>
          <w:szCs w:val="20"/>
          <w:color w:val="auto"/>
        </w:rPr>
      </w:pPr>
    </w:p>
    <w:p>
      <w:pPr>
        <w:ind w:right="140" w:firstLine="547"/>
        <w:spacing w:after="0" w:line="254" w:lineRule="auto"/>
        <w:rPr>
          <w:sz w:val="20"/>
          <w:szCs w:val="20"/>
          <w:color w:val="auto"/>
        </w:rPr>
      </w:pPr>
      <w:r>
        <w:rPr>
          <w:rFonts w:ascii="Arial" w:cs="Arial" w:eastAsia="Arial" w:hAnsi="Arial"/>
          <w:sz w:val="17"/>
          <w:szCs w:val="17"/>
          <w:color w:val="auto"/>
        </w:rPr>
        <w:t>We have been successful in addressing the unmet demand of a large, growing market and served approximately 2,106,000 students across China since we transitioned to an online education model in 2014. The number of our students was 1,039,733 and 1,130,650, respectively, in 2019 and 2020. For the same periods, our new student enrollments were 363,013 and 434,240,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Solutions</w:t>
      </w:r>
    </w:p>
    <w:p>
      <w:pPr>
        <w:spacing w:after="0" w:line="107" w:lineRule="exact"/>
        <w:rPr>
          <w:sz w:val="20"/>
          <w:szCs w:val="20"/>
          <w:color w:val="auto"/>
        </w:rPr>
      </w:pPr>
    </w:p>
    <w:p>
      <w:pPr>
        <w:ind w:right="140" w:firstLine="547"/>
        <w:spacing w:after="0" w:line="254" w:lineRule="auto"/>
        <w:rPr>
          <w:sz w:val="20"/>
          <w:szCs w:val="20"/>
          <w:color w:val="auto"/>
        </w:rPr>
      </w:pPr>
      <w:r>
        <w:rPr>
          <w:rFonts w:ascii="Arial" w:cs="Arial" w:eastAsia="Arial" w:hAnsi="Arial"/>
          <w:sz w:val="17"/>
          <w:szCs w:val="17"/>
          <w:color w:val="auto"/>
        </w:rPr>
        <w:t>We offer post-secondary and professional education through extensive courses and educational content offerings. As of December 31, 2020, we offered Self-taught Higher Education Examination, or STE, programs covering 19 majors, master's degree-oriented and other degree-or diploma-oriented post-secondary programs, and professional certification and skills programs.</w:t>
      </w:r>
    </w:p>
    <w:p>
      <w:pPr>
        <w:spacing w:after="0" w:line="177" w:lineRule="exact"/>
        <w:rPr>
          <w:sz w:val="20"/>
          <w:szCs w:val="20"/>
          <w:color w:val="auto"/>
        </w:rPr>
      </w:pPr>
    </w:p>
    <w:p>
      <w:pPr>
        <w:ind w:right="200" w:firstLine="547"/>
        <w:spacing w:after="0" w:line="278" w:lineRule="auto"/>
        <w:rPr>
          <w:sz w:val="20"/>
          <w:szCs w:val="20"/>
          <w:color w:val="auto"/>
        </w:rPr>
      </w:pPr>
      <w:r>
        <w:rPr>
          <w:rFonts w:ascii="Arial" w:cs="Arial" w:eastAsia="Arial" w:hAnsi="Arial"/>
          <w:sz w:val="16"/>
          <w:szCs w:val="16"/>
          <w:color w:val="auto"/>
        </w:rPr>
        <w:t>We adopt a counseling-oriented sales and marketing approach that seeks to offer our education solutions to meet their needs based on their education background and goals. We provide professional assistance and counseling to help students make informed decisions that best suit their learning needs. In addition, our enrollment consultants also help them formulate effective study plans throughout their enrollments in our courses.</w:t>
      </w:r>
    </w:p>
    <w:p>
      <w:pPr>
        <w:spacing w:after="0" w:line="158" w:lineRule="exact"/>
        <w:rPr>
          <w:sz w:val="20"/>
          <w:szCs w:val="20"/>
          <w:color w:val="auto"/>
        </w:rPr>
      </w:pPr>
    </w:p>
    <w:p>
      <w:pPr>
        <w:ind w:right="200" w:firstLine="547"/>
        <w:spacing w:after="0" w:line="296" w:lineRule="auto"/>
        <w:rPr>
          <w:sz w:val="20"/>
          <w:szCs w:val="20"/>
          <w:color w:val="auto"/>
        </w:rPr>
      </w:pPr>
      <w:r>
        <w:rPr>
          <w:rFonts w:ascii="Arial" w:cs="Arial" w:eastAsia="Arial" w:hAnsi="Arial"/>
          <w:sz w:val="16"/>
          <w:szCs w:val="16"/>
          <w:color w:val="auto"/>
        </w:rPr>
        <w:t>Our students can access our services either through PC or mobile applications. Our online platform cultivates a personalized, interactive learning environment by featuring a virtual learning community and a vast library of educational content offerings that adapt to the learning habits of our students.</w:t>
      </w:r>
    </w:p>
    <w:p>
      <w:pPr>
        <w:spacing w:after="0" w:line="144" w:lineRule="exact"/>
        <w:rPr>
          <w:sz w:val="20"/>
          <w:szCs w:val="20"/>
          <w:color w:val="auto"/>
        </w:rPr>
      </w:pPr>
    </w:p>
    <w:p>
      <w:pPr>
        <w:ind w:firstLine="547"/>
        <w:spacing w:after="0" w:line="251" w:lineRule="auto"/>
        <w:rPr>
          <w:sz w:val="20"/>
          <w:szCs w:val="20"/>
          <w:color w:val="auto"/>
        </w:rPr>
      </w:pPr>
      <w:r>
        <w:rPr>
          <w:rFonts w:ascii="Arial" w:cs="Arial" w:eastAsia="Arial" w:hAnsi="Arial"/>
          <w:sz w:val="17"/>
          <w:szCs w:val="17"/>
          <w:color w:val="auto"/>
        </w:rPr>
        <w:t>We focus on cultivating an engaging community among students, teachers and mentors, improving educational content development capabilities, and developing proprietary IT infrastructure and systems. We encourage students to become more committed and engaged by creating an interactive learning environment that fosters their desire to learn and build confidence in learning. We provide our students with strong learning support through our dedicated mentors, powered by our proprietary IT systems and live streaming platform.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3" w:name="page44"/>
    <w:bookmarkEnd w:id="43"/>
    <w:p>
      <w:pPr>
        <w:ind w:right="40" w:firstLine="547"/>
        <w:spacing w:after="0" w:line="251" w:lineRule="auto"/>
        <w:rPr>
          <w:sz w:val="20"/>
          <w:szCs w:val="20"/>
          <w:color w:val="auto"/>
        </w:rPr>
      </w:pPr>
      <w:r>
        <w:rPr>
          <w:rFonts w:ascii="Arial" w:cs="Arial" w:eastAsia="Arial" w:hAnsi="Arial"/>
          <w:sz w:val="17"/>
          <w:szCs w:val="17"/>
          <w:color w:val="auto"/>
        </w:rPr>
        <w:t>We offer a unique approach to education research and development that organizes subject content into Learning Outcome Trees, our proprietary knowledge management system. Our Learning Outcome Trees enable us to customize teaching notes for our teachers, and develop comprehensive course outlines and quiz banks to enhance the learning experience. Based on student feedback and the latest updates on exam policies, we further update our educational content in our Learning Outcome Trees to continually improve teaching quality.</w:t>
      </w:r>
    </w:p>
    <w:p>
      <w:pPr>
        <w:spacing w:after="0" w:line="179" w:lineRule="exact"/>
        <w:rPr>
          <w:sz w:val="20"/>
          <w:szCs w:val="20"/>
          <w:color w:val="auto"/>
        </w:rPr>
      </w:pPr>
    </w:p>
    <w:p>
      <w:pPr>
        <w:ind w:right="140" w:firstLine="547"/>
        <w:spacing w:after="0" w:line="420" w:lineRule="auto"/>
        <w:rPr>
          <w:sz w:val="20"/>
          <w:szCs w:val="20"/>
          <w:color w:val="auto"/>
        </w:rPr>
      </w:pPr>
      <w:r>
        <w:rPr>
          <w:rFonts w:ascii="Arial" w:cs="Arial" w:eastAsia="Arial" w:hAnsi="Arial"/>
          <w:sz w:val="13"/>
          <w:szCs w:val="13"/>
          <w:color w:val="auto"/>
        </w:rPr>
        <w:t>We seek to hire experienced and passionate teachers who can make learning fun and interactive. We equip our faculty members not only with a comprehensive set of teaching methods but also advanced technologies and data insights to enable them to develop their professional skills and enhance our overall teaching quality.</w:t>
      </w:r>
    </w:p>
    <w:p>
      <w:pPr>
        <w:spacing w:after="0" w:line="75" w:lineRule="exact"/>
        <w:rPr>
          <w:sz w:val="20"/>
          <w:szCs w:val="20"/>
          <w:color w:val="auto"/>
        </w:rPr>
      </w:pPr>
    </w:p>
    <w:p>
      <w:pPr>
        <w:ind w:right="60" w:firstLine="547"/>
        <w:spacing w:after="0" w:line="261" w:lineRule="auto"/>
        <w:rPr>
          <w:sz w:val="20"/>
          <w:szCs w:val="20"/>
          <w:color w:val="auto"/>
        </w:rPr>
      </w:pPr>
      <w:r>
        <w:rPr>
          <w:rFonts w:ascii="Arial" w:cs="Arial" w:eastAsia="Arial" w:hAnsi="Arial"/>
          <w:sz w:val="17"/>
          <w:szCs w:val="17"/>
          <w:color w:val="auto"/>
        </w:rPr>
        <w:t>We have strived to improve the breadth and depth of our offerings while enhancing our teaching quality and operating efficiency which is demonstrated in recognition and awards we have received and student results. In 2020, our students’ average pass rate for STE exam was 60.2%, while according to a report prepared by iResearch and commissioned by us, the average pass rates for STE exam achieved by self-taught students and students enrolled in private schools between 2012 and 2016 were 43.4% and 35.6%, respectively.</w:t>
      </w:r>
    </w:p>
    <w:p>
      <w:pPr>
        <w:spacing w:after="0" w:line="171" w:lineRule="exact"/>
        <w:rPr>
          <w:sz w:val="20"/>
          <w:szCs w:val="20"/>
          <w:color w:val="auto"/>
        </w:rPr>
      </w:pPr>
    </w:p>
    <w:p>
      <w:pPr>
        <w:ind w:right="20" w:firstLine="547"/>
        <w:spacing w:after="0" w:line="251" w:lineRule="auto"/>
        <w:rPr>
          <w:sz w:val="20"/>
          <w:szCs w:val="20"/>
          <w:color w:val="auto"/>
        </w:rPr>
      </w:pPr>
      <w:r>
        <w:rPr>
          <w:rFonts w:ascii="Arial" w:cs="Arial" w:eastAsia="Arial" w:hAnsi="Arial"/>
          <w:sz w:val="17"/>
          <w:szCs w:val="17"/>
          <w:color w:val="auto"/>
        </w:rPr>
        <w:t>Our net revenues were RMB1,974.0 million, RMB2,193.9 million and RMB2,203.8 million (US$337.7 million) respectively, our gross billings were RMB3,214.4 million, RMB2,358.5 million and RMB2,350.4 million (US$360.2 million) respectively, and our net losses were RMB927.0 million, RMB395.2 million and RMB431.0 million (US$66.1 million), respectively, in 2018, 2019 and 2020. Our deferred revenue was RMB3,286.0 million, RMB3,228.8 million and RMB3,024.4 million (US$463.5 million), respectively, as of December 31, 2018, 2019 and 2020.</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 and Online Education Services</w:t>
      </w:r>
    </w:p>
    <w:p>
      <w:pPr>
        <w:spacing w:after="0" w:line="107" w:lineRule="exact"/>
        <w:rPr>
          <w:sz w:val="20"/>
          <w:szCs w:val="20"/>
          <w:color w:val="auto"/>
        </w:rPr>
      </w:pPr>
    </w:p>
    <w:p>
      <w:pPr>
        <w:ind w:right="360" w:firstLine="547"/>
        <w:spacing w:after="0" w:line="251" w:lineRule="auto"/>
        <w:rPr>
          <w:sz w:val="20"/>
          <w:szCs w:val="20"/>
          <w:color w:val="auto"/>
        </w:rPr>
      </w:pPr>
      <w:r>
        <w:rPr>
          <w:rFonts w:ascii="Arial" w:cs="Arial" w:eastAsia="Arial" w:hAnsi="Arial"/>
          <w:sz w:val="17"/>
          <w:szCs w:val="17"/>
          <w:color w:val="auto"/>
        </w:rPr>
        <w:t>We offer our online education services through our online and mobile platforms to adult students pursuing post-secondary and professional education. We deliver a diverse, comprehensive range of online courses in a live streaming format focused on fostering an interactive learning experience and community-oriented student support services. We also provide our students with a variety of proprietary educational content to help reinforce what is taught in classes and assess their learning outcomes.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promote our services through a multi-channel strategy, including online and mobile advertising, to effectively convert sales leads into student enrollments.</w:t>
      </w:r>
    </w:p>
    <w:p>
      <w:pPr>
        <w:spacing w:after="0" w:line="226" w:lineRule="exact"/>
        <w:rPr>
          <w:sz w:val="20"/>
          <w:szCs w:val="20"/>
          <w:color w:val="auto"/>
        </w:rPr>
      </w:pPr>
    </w:p>
    <w:p>
      <w:pPr>
        <w:ind w:firstLine="547"/>
        <w:spacing w:after="0" w:line="296" w:lineRule="auto"/>
        <w:rPr>
          <w:sz w:val="20"/>
          <w:szCs w:val="20"/>
          <w:color w:val="auto"/>
        </w:rPr>
      </w:pPr>
      <w:r>
        <w:rPr>
          <w:rFonts w:ascii="Arial" w:cs="Arial" w:eastAsia="Arial" w:hAnsi="Arial"/>
          <w:sz w:val="16"/>
          <w:szCs w:val="16"/>
          <w:color w:val="auto"/>
        </w:rPr>
        <w:t>Through our technology that connects students with faculty and employees, we gather and analyze data at each stage of our students’ interactions with us in real-time, allowing us to better understand our students’ learning needs and enabling us to continually improve the quality of our service.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Course Offerings</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offer a wide range of online courses addressing various educational needs of adults in China.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4" w:name="page45"/>
    <w:bookmarkEnd w:id="44"/>
    <w:p>
      <w:pPr>
        <w:ind w:left="20" w:right="160" w:firstLine="547"/>
        <w:spacing w:after="0" w:line="278" w:lineRule="auto"/>
        <w:rPr>
          <w:sz w:val="20"/>
          <w:szCs w:val="20"/>
          <w:color w:val="auto"/>
        </w:rPr>
      </w:pPr>
      <w:r>
        <w:rPr>
          <w:rFonts w:ascii="Arial" w:cs="Arial" w:eastAsia="Arial" w:hAnsi="Arial"/>
          <w:sz w:val="16"/>
          <w:szCs w:val="16"/>
          <w:color w:val="auto"/>
        </w:rPr>
        <w:t>Currently, our course offerings mainly cover two main components, namely (i) degree-or diploma-oriented post-secondary courses, and (ii) professional certification preparation and professional skills courses. The following table sets forth our net revenues, gross billings and new student enrollments attributable to each type of course offering. For a reconciliation of our gross billings and net revenues, see “—Non-GAAP Financial Measures.”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3460" w:type="dxa"/>
            <w:vAlign w:val="bottom"/>
            <w:tcBorders>
              <w:bottom w:val="single" w:sz="8" w:color="auto"/>
            </w:tcBorders>
            <w:gridSpan w:val="5"/>
          </w:tcPr>
          <w:p>
            <w:pPr>
              <w:ind w:left="1280"/>
              <w:spacing w:after="0"/>
              <w:rPr>
                <w:sz w:val="20"/>
                <w:szCs w:val="20"/>
                <w:color w:val="auto"/>
              </w:rPr>
            </w:pPr>
            <w:r>
              <w:rPr>
                <w:rFonts w:ascii="Arial" w:cs="Arial" w:eastAsia="Arial" w:hAnsi="Arial"/>
                <w:sz w:val="13"/>
                <w:szCs w:val="13"/>
                <w:b w:val="1"/>
                <w:bCs w:val="1"/>
                <w:color w:val="auto"/>
              </w:rPr>
              <w:t>For the Year Ended December 31,</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00" w:type="dxa"/>
            <w:vAlign w:val="bottom"/>
            <w:tcBorders>
              <w:bottom w:val="single" w:sz="8" w:color="CFF0FC"/>
            </w:tcBorders>
          </w:tcPr>
          <w:p>
            <w:pPr>
              <w:spacing w:after="0"/>
              <w:rPr>
                <w:sz w:val="12"/>
                <w:szCs w:val="12"/>
                <w:color w:val="auto"/>
              </w:rPr>
            </w:pPr>
          </w:p>
        </w:tc>
        <w:tc>
          <w:tcPr>
            <w:tcW w:w="624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Net revenues (RMB in thousands)</w:t>
            </w: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Degree-or diploma-oriented post-secondary courses</w:t>
            </w:r>
          </w:p>
        </w:tc>
        <w:tc>
          <w:tcPr>
            <w:tcW w:w="1340" w:type="dxa"/>
            <w:vAlign w:val="bottom"/>
          </w:tcPr>
          <w:p>
            <w:pPr>
              <w:jc w:val="right"/>
              <w:spacing w:after="0"/>
              <w:rPr>
                <w:sz w:val="20"/>
                <w:szCs w:val="20"/>
                <w:color w:val="auto"/>
              </w:rPr>
            </w:pPr>
            <w:r>
              <w:rPr>
                <w:rFonts w:ascii="Arial" w:cs="Arial" w:eastAsia="Arial" w:hAnsi="Arial"/>
                <w:sz w:val="17"/>
                <w:szCs w:val="17"/>
                <w:color w:val="auto"/>
              </w:rPr>
              <w:t>1,806,382</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2,015,615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1,904,477</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STE courses</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1,692,803</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1,766,943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1,471,745</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ind w:left="220"/>
              <w:spacing w:after="0"/>
              <w:rPr>
                <w:sz w:val="20"/>
                <w:szCs w:val="20"/>
                <w:color w:val="auto"/>
              </w:rPr>
            </w:pPr>
            <w:r>
              <w:rPr>
                <w:rFonts w:ascii="Arial" w:cs="Arial" w:eastAsia="Arial" w:hAnsi="Arial"/>
                <w:sz w:val="17"/>
                <w:szCs w:val="17"/>
                <w:color w:val="auto"/>
              </w:rPr>
              <w:t>Other degree-or diploma-oriented post-secondary courses</w:t>
            </w:r>
          </w:p>
        </w:tc>
        <w:tc>
          <w:tcPr>
            <w:tcW w:w="1340" w:type="dxa"/>
            <w:vAlign w:val="bottom"/>
          </w:tcPr>
          <w:p>
            <w:pPr>
              <w:jc w:val="right"/>
              <w:spacing w:after="0"/>
              <w:rPr>
                <w:sz w:val="20"/>
                <w:szCs w:val="20"/>
                <w:color w:val="auto"/>
              </w:rPr>
            </w:pPr>
            <w:r>
              <w:rPr>
                <w:rFonts w:ascii="Arial" w:cs="Arial" w:eastAsia="Arial" w:hAnsi="Arial"/>
                <w:sz w:val="17"/>
                <w:szCs w:val="17"/>
                <w:color w:val="auto"/>
              </w:rPr>
              <w:t>113,579</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248,672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432,732</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Professional certification preparation and professional skills courses</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160,672</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154,880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268,051</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Others</w:t>
            </w:r>
            <w:r>
              <w:rPr>
                <w:rFonts w:ascii="Arial" w:cs="Arial" w:eastAsia="Arial" w:hAnsi="Arial"/>
                <w:sz w:val="14"/>
                <w:szCs w:val="14"/>
                <w:color w:val="auto"/>
              </w:rPr>
              <w:t>(1)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6,931</w:t>
            </w:r>
          </w:p>
        </w:tc>
        <w:tc>
          <w:tcPr>
            <w:tcW w:w="26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23,407</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31,263</w:t>
            </w:r>
          </w:p>
        </w:tc>
        <w:tc>
          <w:tcPr>
            <w:tcW w:w="10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Total</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1,973,985</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2,193,902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2,203,791</w:t>
            </w:r>
          </w:p>
        </w:tc>
        <w:tc>
          <w:tcPr>
            <w:tcW w:w="100" w:type="dxa"/>
            <w:vAlign w:val="bottom"/>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7"/>
                <w:szCs w:val="17"/>
                <w:b w:val="1"/>
                <w:bCs w:val="1"/>
                <w:color w:val="auto"/>
              </w:rPr>
              <w:t>Gross billings (RMB in thousands)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Degree-or diploma-oriented post-secondary courses</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3,016,463</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2,195,310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1,881,992</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ind w:left="220"/>
              <w:spacing w:after="0"/>
              <w:rPr>
                <w:sz w:val="20"/>
                <w:szCs w:val="20"/>
                <w:color w:val="auto"/>
              </w:rPr>
            </w:pPr>
            <w:r>
              <w:rPr>
                <w:rFonts w:ascii="Arial" w:cs="Arial" w:eastAsia="Arial" w:hAnsi="Arial"/>
                <w:sz w:val="17"/>
                <w:szCs w:val="17"/>
                <w:color w:val="auto"/>
              </w:rPr>
              <w:t>STE courses</w:t>
            </w:r>
          </w:p>
        </w:tc>
        <w:tc>
          <w:tcPr>
            <w:tcW w:w="1340" w:type="dxa"/>
            <w:vAlign w:val="bottom"/>
          </w:tcPr>
          <w:p>
            <w:pPr>
              <w:jc w:val="right"/>
              <w:spacing w:after="0"/>
              <w:rPr>
                <w:sz w:val="20"/>
                <w:szCs w:val="20"/>
                <w:color w:val="auto"/>
              </w:rPr>
            </w:pPr>
            <w:r>
              <w:rPr>
                <w:rFonts w:ascii="Arial" w:cs="Arial" w:eastAsia="Arial" w:hAnsi="Arial"/>
                <w:sz w:val="17"/>
                <w:szCs w:val="17"/>
                <w:color w:val="auto"/>
              </w:rPr>
              <w:t>2,839,108</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1,771,971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1,249,137</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Other degree-or diploma-oriented post-secondary courses</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177,355</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423,339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632,855</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Professional certification preparation and professional skills courses</w:t>
            </w:r>
          </w:p>
        </w:tc>
        <w:tc>
          <w:tcPr>
            <w:tcW w:w="1340" w:type="dxa"/>
            <w:vAlign w:val="bottom"/>
          </w:tcPr>
          <w:p>
            <w:pPr>
              <w:jc w:val="right"/>
              <w:spacing w:after="0"/>
              <w:rPr>
                <w:sz w:val="20"/>
                <w:szCs w:val="20"/>
                <w:color w:val="auto"/>
              </w:rPr>
            </w:pPr>
            <w:r>
              <w:rPr>
                <w:rFonts w:ascii="Arial" w:cs="Arial" w:eastAsia="Arial" w:hAnsi="Arial"/>
                <w:sz w:val="17"/>
                <w:szCs w:val="17"/>
                <w:color w:val="auto"/>
              </w:rPr>
              <w:t>197,937</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163,181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468,412</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Total</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3,214,400</w:t>
            </w:r>
          </w:p>
        </w:tc>
        <w:tc>
          <w:tcPr>
            <w:tcW w:w="26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2,358,491</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2,350,404</w:t>
            </w:r>
          </w:p>
        </w:tc>
        <w:tc>
          <w:tcPr>
            <w:tcW w:w="100" w:type="dxa"/>
            <w:vAlign w:val="bottom"/>
            <w:shd w:val="clear" w:color="auto" w:fill="CFF0FC"/>
          </w:tcPr>
          <w:p>
            <w:pPr>
              <w:spacing w:after="0"/>
              <w:rPr>
                <w:sz w:val="18"/>
                <w:szCs w:val="18"/>
                <w:color w:val="auto"/>
              </w:rPr>
            </w:pPr>
          </w:p>
        </w:tc>
      </w:tr>
      <w:tr>
        <w:trPr>
          <w:trHeight w:val="204"/>
        </w:trPr>
        <w:tc>
          <w:tcPr>
            <w:tcW w:w="6660" w:type="dxa"/>
            <w:vAlign w:val="bottom"/>
            <w:gridSpan w:val="3"/>
          </w:tcPr>
          <w:p>
            <w:pPr>
              <w:spacing w:after="0"/>
              <w:rPr>
                <w:sz w:val="20"/>
                <w:szCs w:val="20"/>
                <w:color w:val="auto"/>
              </w:rPr>
            </w:pPr>
            <w:r>
              <w:rPr>
                <w:rFonts w:ascii="Arial" w:cs="Arial" w:eastAsia="Arial" w:hAnsi="Arial"/>
                <w:sz w:val="17"/>
                <w:szCs w:val="17"/>
                <w:b w:val="1"/>
                <w:bCs w:val="1"/>
                <w:color w:val="auto"/>
              </w:rPr>
              <w:t>New student enrollments</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Degree-or diploma-oriented post-secondary courses</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439,070</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306,459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245,419</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ind w:left="220"/>
              <w:spacing w:after="0"/>
              <w:rPr>
                <w:sz w:val="20"/>
                <w:szCs w:val="20"/>
                <w:color w:val="auto"/>
              </w:rPr>
            </w:pPr>
            <w:r>
              <w:rPr>
                <w:rFonts w:ascii="Arial" w:cs="Arial" w:eastAsia="Arial" w:hAnsi="Arial"/>
                <w:sz w:val="17"/>
                <w:szCs w:val="17"/>
                <w:color w:val="auto"/>
              </w:rPr>
              <w:t>STE courses</w:t>
            </w:r>
          </w:p>
        </w:tc>
        <w:tc>
          <w:tcPr>
            <w:tcW w:w="1340" w:type="dxa"/>
            <w:vAlign w:val="bottom"/>
          </w:tcPr>
          <w:p>
            <w:pPr>
              <w:jc w:val="right"/>
              <w:spacing w:after="0"/>
              <w:rPr>
                <w:sz w:val="20"/>
                <w:szCs w:val="20"/>
                <w:color w:val="auto"/>
              </w:rPr>
            </w:pPr>
            <w:r>
              <w:rPr>
                <w:rFonts w:ascii="Arial" w:cs="Arial" w:eastAsia="Arial" w:hAnsi="Arial"/>
                <w:sz w:val="17"/>
                <w:szCs w:val="17"/>
                <w:color w:val="auto"/>
              </w:rPr>
              <w:t>421,191</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273,740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200,562</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Other degree-or diploma-oriented post-secondary courses</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17,879</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32,719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44,857</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Professional certification preparation and professional skills courses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86,944</w:t>
            </w:r>
          </w:p>
        </w:tc>
        <w:tc>
          <w:tcPr>
            <w:tcW w:w="26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56,554</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188,821</w:t>
            </w:r>
          </w:p>
        </w:tc>
        <w:tc>
          <w:tcPr>
            <w:tcW w:w="10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6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Total</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526,014</w:t>
            </w:r>
          </w:p>
        </w:tc>
        <w:tc>
          <w:tcPr>
            <w:tcW w:w="2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363,013</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434,240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181717"/>
        </w:rPr>
        <w:t>Note: (1) Include commissions received for providing referral services to third-party education institutions.</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Degree-or diploma-oriented post-secondary courses</w:t>
      </w:r>
    </w:p>
    <w:p>
      <w:pPr>
        <w:spacing w:after="0" w:line="103" w:lineRule="exact"/>
        <w:rPr>
          <w:sz w:val="20"/>
          <w:szCs w:val="20"/>
          <w:color w:val="auto"/>
        </w:rPr>
      </w:pPr>
    </w:p>
    <w:p>
      <w:pPr>
        <w:ind w:left="20" w:right="200" w:firstLine="547"/>
        <w:spacing w:after="0" w:line="266" w:lineRule="auto"/>
        <w:rPr>
          <w:sz w:val="20"/>
          <w:szCs w:val="20"/>
          <w:color w:val="auto"/>
        </w:rPr>
      </w:pPr>
      <w:r>
        <w:rPr>
          <w:rFonts w:ascii="Arial" w:cs="Arial" w:eastAsia="Arial" w:hAnsi="Arial"/>
          <w:sz w:val="16"/>
          <w:szCs w:val="16"/>
          <w:color w:val="auto"/>
        </w:rPr>
        <w:t>Our degree-or diploma-oriented post-secondary course offerings primarily consist of preparation courses for the STE, a state-administered exam in China for learners pursuing associate diplomas or bachelor’s degrees. As of December 31, 2020, our STE courses covered 19 majors, including Chinese language and literature, law, pre-school education, marketing, English, human resource management, business administration, business management, modern corporate governance, financial management, advertising, accounting, engineering management, administrative management, computer information management, finance, convention management, chain operation management and, visual communication and design. Our degree-or diploma-oriented post-secondary course offerings also include preparation courses for the entrance examinations of Master of Business Administration in China, or MBA programs offered by select universities in United States, Australia, Spain, Republic of Belarus, and Malaysia.</w:t>
      </w:r>
    </w:p>
    <w:p>
      <w:pPr>
        <w:spacing w:after="0" w:line="167" w:lineRule="exact"/>
        <w:rPr>
          <w:sz w:val="20"/>
          <w:szCs w:val="20"/>
          <w:color w:val="auto"/>
        </w:rPr>
      </w:pPr>
    </w:p>
    <w:p>
      <w:pPr>
        <w:ind w:left="20" w:firstLine="547"/>
        <w:spacing w:after="0" w:line="291" w:lineRule="auto"/>
        <w:rPr>
          <w:sz w:val="20"/>
          <w:szCs w:val="20"/>
          <w:color w:val="auto"/>
        </w:rPr>
      </w:pPr>
      <w:r>
        <w:rPr>
          <w:rFonts w:ascii="Arial" w:cs="Arial" w:eastAsia="Arial" w:hAnsi="Arial"/>
          <w:sz w:val="15"/>
          <w:szCs w:val="15"/>
          <w:color w:val="auto"/>
        </w:rPr>
        <w:t>STE courses have historically accounted for the largest proportion of our net revenues, gross billings and new student enrollments. In 2018, 2019 and 2020, STE courses represented approximately 85.8%, 80.5% and 66.8%, respectively, of our net revenues, and approximately 88.3%, 75.1% and 53.1%, respectively, of our gross billings. In addition, STE courses represented approximately 80.1%, 75.4% and 46.2%, respectively, of our new student enrollments for the years ended December 31, 2018, 2019 and 2020. See also “Item 3. Key Information—3.D. Risk Factors—Risk Factors—Risks Related to Our Business—We face risks associated with our reliance on our STE course offerings, including risks resulting from changes in government policies or requirements relating to STE exams.”</w:t>
      </w:r>
    </w:p>
    <w:p>
      <w:pPr>
        <w:spacing w:after="0" w:line="150" w:lineRule="exact"/>
        <w:rPr>
          <w:sz w:val="20"/>
          <w:szCs w:val="20"/>
          <w:color w:val="auto"/>
        </w:rPr>
      </w:pPr>
    </w:p>
    <w:p>
      <w:pPr>
        <w:ind w:left="20" w:right="80" w:firstLine="547"/>
        <w:spacing w:after="0" w:line="295" w:lineRule="auto"/>
        <w:rPr>
          <w:sz w:val="20"/>
          <w:szCs w:val="20"/>
          <w:color w:val="auto"/>
        </w:rPr>
      </w:pPr>
      <w:r>
        <w:rPr>
          <w:rFonts w:ascii="Arial" w:cs="Arial" w:eastAsia="Arial" w:hAnsi="Arial"/>
          <w:sz w:val="15"/>
          <w:szCs w:val="15"/>
          <w:color w:val="auto"/>
        </w:rPr>
        <w:t>In 2020, we expanded our course portfolio and built partnerships with more overseas universities to offer joint programs for Master’s degree-oriented courses. During the year, we sought to provide diversified online courses to meet Chinese students’ growing demands for quality overseas higher education from Europe and the United States, especially as the COVID-19 pandemic restricted travel. For example, we established partnership with Belarusian State University during the third quarter to offer online courses focused on MBA degrees. We plan to maintain efforts to explore such alliances as we continue to diversify our curriculum mix.</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685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32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i w:val="1"/>
          <w:iCs w:val="1"/>
          <w:color w:val="auto"/>
        </w:rPr>
        <w:t>Professional certification preparation and professional skills courses</w:t>
      </w:r>
    </w:p>
    <w:p>
      <w:pPr>
        <w:spacing w:after="0" w:line="103" w:lineRule="exact"/>
        <w:rPr>
          <w:sz w:val="20"/>
          <w:szCs w:val="20"/>
          <w:color w:val="auto"/>
        </w:rPr>
      </w:pPr>
    </w:p>
    <w:p>
      <w:pPr>
        <w:ind w:right="60" w:firstLine="547"/>
        <w:spacing w:after="0" w:line="265" w:lineRule="auto"/>
        <w:rPr>
          <w:sz w:val="20"/>
          <w:szCs w:val="20"/>
          <w:color w:val="auto"/>
        </w:rPr>
      </w:pPr>
      <w:r>
        <w:rPr>
          <w:rFonts w:ascii="Arial" w:cs="Arial" w:eastAsia="Arial" w:hAnsi="Arial"/>
          <w:sz w:val="16"/>
          <w:szCs w:val="16"/>
          <w:color w:val="auto"/>
        </w:rPr>
        <w:t>Our professional certification preparation course offerings cover various industries and professions, including accounting, human resources, teaching and finance. Our professional skills courses are designed to give our students the skills, knowledge and abilities that are commonly required or otherwise helpful for a broad range of professions. Also, our further development of more professional skills-related certification programs and general interest courses yielded very encouraging results in 2020. As of December 31, 2020, our certification programs included a variety of preparation courses for professionals ranging from teachers, accountants and tour guides, as well as certifications for human resources professionals and public accountants. In addition, we also developed more general interest courses as we saw a surging trend in adults undertaking interest courses online, such as wealth management courses, voice acting courses, Mandarin courses and animation design courses. Our course portfolio’s solid foundation has enabled us to successfully grasp market opportunities and effectively scale up our offerings as we remain fully committed to giving our users as many options as possible.</w:t>
      </w:r>
    </w:p>
    <w:p>
      <w:pPr>
        <w:spacing w:after="0" w:line="169" w:lineRule="exact"/>
        <w:rPr>
          <w:sz w:val="20"/>
          <w:szCs w:val="20"/>
          <w:color w:val="auto"/>
        </w:rPr>
      </w:pPr>
    </w:p>
    <w:p>
      <w:pPr>
        <w:ind w:right="560" w:firstLine="547"/>
        <w:spacing w:after="0" w:line="278" w:lineRule="auto"/>
        <w:rPr>
          <w:sz w:val="20"/>
          <w:szCs w:val="20"/>
          <w:color w:val="auto"/>
        </w:rPr>
      </w:pPr>
      <w:r>
        <w:rPr>
          <w:rFonts w:ascii="Arial" w:cs="Arial" w:eastAsia="Arial" w:hAnsi="Arial"/>
          <w:sz w:val="16"/>
          <w:szCs w:val="16"/>
          <w:color w:val="auto"/>
        </w:rPr>
        <w:t>In 2018, 2019 and 2020, our professional certification preparation and professional skills courses represented approximately 8.1%, 7.1% and 12.2%, respectively, of our net revenues, and approximately 6.2%, 6.9% and 19.9%, respectively, of our gross billings. In addition, our professional certification courses represented approximately 16.5%, 15.6% and 43.5%, respectively, of our new student enrollments in 2018, 2019 and 2020.</w:t>
      </w:r>
    </w:p>
    <w:p>
      <w:pPr>
        <w:spacing w:after="0" w:line="158" w:lineRule="exact"/>
        <w:rPr>
          <w:sz w:val="20"/>
          <w:szCs w:val="20"/>
          <w:color w:val="auto"/>
        </w:rPr>
      </w:pPr>
    </w:p>
    <w:p>
      <w:pPr>
        <w:jc w:val="both"/>
        <w:ind w:right="160" w:firstLine="547"/>
        <w:spacing w:after="0" w:line="254" w:lineRule="auto"/>
        <w:rPr>
          <w:sz w:val="20"/>
          <w:szCs w:val="20"/>
          <w:color w:val="auto"/>
        </w:rPr>
      </w:pPr>
      <w:r>
        <w:rPr>
          <w:rFonts w:ascii="Arial" w:cs="Arial" w:eastAsia="Arial" w:hAnsi="Arial"/>
          <w:sz w:val="17"/>
          <w:szCs w:val="17"/>
          <w:color w:val="auto"/>
        </w:rPr>
        <w:t>In addition to the course offerings discussed above, we also offer exam preparation “crash courses” for exam-taking students. Instead of covering a wide range of topics in a particular subject matter, these courses are meant to cover the most frequently tested areas in the exams and provide training on test-taking strategies and skills to help our students improve their performance in actual exams.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Interactive Learning Process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Live streaming course delivery</w:t>
      </w:r>
    </w:p>
    <w:p>
      <w:pPr>
        <w:spacing w:after="0" w:line="103" w:lineRule="exact"/>
        <w:rPr>
          <w:sz w:val="20"/>
          <w:szCs w:val="20"/>
          <w:color w:val="auto"/>
        </w:rPr>
      </w:pPr>
    </w:p>
    <w:p>
      <w:pPr>
        <w:ind w:right="100" w:firstLine="547"/>
        <w:spacing w:after="0" w:line="264" w:lineRule="auto"/>
        <w:rPr>
          <w:sz w:val="20"/>
          <w:szCs w:val="20"/>
          <w:color w:val="auto"/>
        </w:rPr>
      </w:pPr>
      <w:r>
        <w:rPr>
          <w:rFonts w:ascii="Arial" w:cs="Arial" w:eastAsia="Arial" w:hAnsi="Arial"/>
          <w:sz w:val="17"/>
          <w:szCs w:val="17"/>
          <w:color w:val="auto"/>
        </w:rPr>
        <w:t>Our teachers deliver our courses in a live streaming format through our websites and our mobile application. We believe that we are one of the first to offer live streaming courses in China’s education industry.</w:t>
      </w:r>
    </w:p>
    <w:p>
      <w:pPr>
        <w:spacing w:after="0" w:line="168" w:lineRule="exact"/>
        <w:rPr>
          <w:sz w:val="20"/>
          <w:szCs w:val="20"/>
          <w:color w:val="auto"/>
        </w:rPr>
      </w:pPr>
    </w:p>
    <w:p>
      <w:pPr>
        <w:ind w:right="400" w:firstLine="547"/>
        <w:spacing w:after="0" w:line="264" w:lineRule="auto"/>
        <w:rPr>
          <w:sz w:val="20"/>
          <w:szCs w:val="20"/>
          <w:color w:val="auto"/>
        </w:rPr>
      </w:pPr>
      <w:r>
        <w:rPr>
          <w:rFonts w:ascii="Arial" w:cs="Arial" w:eastAsia="Arial" w:hAnsi="Arial"/>
          <w:sz w:val="17"/>
          <w:szCs w:val="17"/>
          <w:color w:val="auto"/>
        </w:rPr>
        <w:t>Our live streaming course delivery format allows us to cost-effectively expand student enrollments and maintain high teaching quality. Live streaming also improves efficiency of instruction and enriches the learning experience in a number of ways:</w:t>
      </w:r>
    </w:p>
    <w:p>
      <w:pPr>
        <w:spacing w:after="0" w:line="68" w:lineRule="exact"/>
        <w:rPr>
          <w:sz w:val="20"/>
          <w:szCs w:val="20"/>
          <w:color w:val="auto"/>
        </w:rPr>
      </w:pPr>
    </w:p>
    <w:p>
      <w:pPr>
        <w:ind w:left="1080" w:right="60" w:hanging="545"/>
        <w:spacing w:after="0" w:line="264"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Time efficiency and no geographic limitations</w:t>
      </w:r>
      <w:r>
        <w:rPr>
          <w:rFonts w:ascii="Arial" w:cs="Arial" w:eastAsia="Arial" w:hAnsi="Arial"/>
          <w:sz w:val="17"/>
          <w:szCs w:val="17"/>
          <w:color w:val="auto"/>
        </w:rPr>
        <w:t>. While classroom-based students are often required to spend time commuting, our live streaming learning</w:t>
      </w:r>
      <w:r>
        <w:rPr>
          <w:rFonts w:ascii="Arial" w:cs="Arial" w:eastAsia="Arial" w:hAnsi="Arial"/>
          <w:sz w:val="17"/>
          <w:szCs w:val="17"/>
          <w:i w:val="1"/>
          <w:iCs w:val="1"/>
          <w:color w:val="auto"/>
        </w:rPr>
        <w:t xml:space="preserve"> </w:t>
      </w:r>
      <w:r>
        <w:rPr>
          <w:rFonts w:ascii="Arial" w:cs="Arial" w:eastAsia="Arial" w:hAnsi="Arial"/>
          <w:sz w:val="17"/>
          <w:szCs w:val="17"/>
          <w:color w:val="auto"/>
        </w:rPr>
        <w:t>format allows them to attend courses anytime, anywhere as long as there is Internet.</w:t>
      </w:r>
    </w:p>
    <w:p>
      <w:pPr>
        <w:spacing w:after="0" w:line="68" w:lineRule="exact"/>
        <w:rPr>
          <w:rFonts w:ascii="Arial" w:cs="Arial" w:eastAsia="Arial" w:hAnsi="Arial"/>
          <w:sz w:val="17"/>
          <w:szCs w:val="17"/>
          <w:color w:val="auto"/>
        </w:rPr>
      </w:pPr>
    </w:p>
    <w:p>
      <w:pPr>
        <w:ind w:left="1080" w:hanging="545"/>
        <w:spacing w:after="0" w:line="251"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High level of engagement and interaction</w:t>
      </w:r>
      <w:r>
        <w:rPr>
          <w:rFonts w:ascii="Arial" w:cs="Arial" w:eastAsia="Arial" w:hAnsi="Arial"/>
          <w:sz w:val="17"/>
          <w:szCs w:val="17"/>
          <w:color w:val="auto"/>
        </w:rPr>
        <w:t>. Our live streaming application (through support functions and plug-ins) allow students to engage in real-time</w:t>
      </w:r>
      <w:r>
        <w:rPr>
          <w:rFonts w:ascii="Arial" w:cs="Arial" w:eastAsia="Arial" w:hAnsi="Arial"/>
          <w:sz w:val="17"/>
          <w:szCs w:val="17"/>
          <w:i w:val="1"/>
          <w:iCs w:val="1"/>
          <w:color w:val="auto"/>
        </w:rPr>
        <w:t xml:space="preserve"> </w:t>
      </w:r>
      <w:r>
        <w:rPr>
          <w:rFonts w:ascii="Arial" w:cs="Arial" w:eastAsia="Arial" w:hAnsi="Arial"/>
          <w:sz w:val="17"/>
          <w:szCs w:val="17"/>
          <w:color w:val="auto"/>
        </w:rPr>
        <w:t>Q&amp;A with our faculty and their fellow students through live chats, which fosters an engaging and interactive learning setting. Our live streaming application has a “tipping” function that allows students to “tip” the teacher with virtual gifts if they like the course, which improves student engagement and student-teacher interaction.</w:t>
      </w:r>
    </w:p>
    <w:p>
      <w:pPr>
        <w:spacing w:after="0" w:line="79" w:lineRule="exact"/>
        <w:rPr>
          <w:rFonts w:ascii="Arial" w:cs="Arial" w:eastAsia="Arial" w:hAnsi="Arial"/>
          <w:sz w:val="17"/>
          <w:szCs w:val="17"/>
          <w:color w:val="auto"/>
        </w:rPr>
      </w:pPr>
    </w:p>
    <w:p>
      <w:pPr>
        <w:ind w:left="1080" w:right="80" w:hanging="545"/>
        <w:spacing w:after="0" w:line="254"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Greater learning flexibility</w:t>
      </w:r>
      <w:r>
        <w:rPr>
          <w:rFonts w:ascii="Arial" w:cs="Arial" w:eastAsia="Arial" w:hAnsi="Arial"/>
          <w:sz w:val="17"/>
          <w:szCs w:val="17"/>
          <w:color w:val="auto"/>
        </w:rPr>
        <w:t>. Every live class is recorded and made available to students enrolled in the course throughout their enrollment period, which</w:t>
      </w:r>
      <w:r>
        <w:rPr>
          <w:rFonts w:ascii="Arial" w:cs="Arial" w:eastAsia="Arial" w:hAnsi="Arial"/>
          <w:sz w:val="17"/>
          <w:szCs w:val="17"/>
          <w:i w:val="1"/>
          <w:iCs w:val="1"/>
          <w:color w:val="auto"/>
        </w:rPr>
        <w:t xml:space="preserve"> </w:t>
      </w:r>
      <w:r>
        <w:rPr>
          <w:rFonts w:ascii="Arial" w:cs="Arial" w:eastAsia="Arial" w:hAnsi="Arial"/>
          <w:sz w:val="17"/>
          <w:szCs w:val="17"/>
          <w:color w:val="auto"/>
        </w:rPr>
        <w:t>allows them to attend courses at their convenience. This scheduling flexibility appeals to adult students with full-time jobs. The replay function allows students to learn at their own pace.</w:t>
      </w:r>
    </w:p>
    <w:p>
      <w:pPr>
        <w:spacing w:after="0" w:line="177" w:lineRule="exact"/>
        <w:rPr>
          <w:sz w:val="20"/>
          <w:szCs w:val="20"/>
          <w:color w:val="auto"/>
        </w:rPr>
      </w:pPr>
    </w:p>
    <w:p>
      <w:pPr>
        <w:ind w:right="80" w:firstLine="547"/>
        <w:spacing w:after="0" w:line="254" w:lineRule="auto"/>
        <w:rPr>
          <w:sz w:val="20"/>
          <w:szCs w:val="20"/>
          <w:color w:val="auto"/>
        </w:rPr>
      </w:pPr>
      <w:r>
        <w:rPr>
          <w:rFonts w:ascii="Arial" w:cs="Arial" w:eastAsia="Arial" w:hAnsi="Arial"/>
          <w:sz w:val="17"/>
          <w:szCs w:val="17"/>
          <w:color w:val="auto"/>
        </w:rPr>
        <w:t>We believe our live streaming format and our highly interactive learning experience makes our services highly attractive to students. Our new student enrollments have increased since we transitioned to the live streaming format in 2014. In 2018, 2019 and 2020, our new student enrollments were 526,014, 363,013 and 434,240, respectively.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i w:val="1"/>
          <w:iCs w:val="1"/>
          <w:color w:val="auto"/>
        </w:rPr>
        <w:t>Virtual learning community</w:t>
      </w:r>
    </w:p>
    <w:p>
      <w:pPr>
        <w:spacing w:after="0" w:line="103" w:lineRule="exact"/>
        <w:rPr>
          <w:sz w:val="20"/>
          <w:szCs w:val="20"/>
          <w:color w:val="auto"/>
        </w:rPr>
      </w:pPr>
    </w:p>
    <w:p>
      <w:pPr>
        <w:ind w:right="20" w:firstLine="547"/>
        <w:spacing w:after="0" w:line="291" w:lineRule="auto"/>
        <w:rPr>
          <w:sz w:val="20"/>
          <w:szCs w:val="20"/>
          <w:color w:val="auto"/>
        </w:rPr>
      </w:pPr>
      <w:r>
        <w:rPr>
          <w:rFonts w:ascii="Arial" w:cs="Arial" w:eastAsia="Arial" w:hAnsi="Arial"/>
          <w:sz w:val="15"/>
          <w:szCs w:val="15"/>
          <w:color w:val="auto"/>
        </w:rPr>
        <w:t>We strive to build a vibrant and highly interactive virtual community for our students and faculty to augment their learning and teaching experience. For example, we have a bulletin board forum, available through our website and mobile application that enables our students in real time to share their ideas and learning experience with, as well as pose questions and answers to fellow students and our faculty. This also provides a stimulating learning platform for our students to socialize and interact with an extended network of fellow students and faculty members and to forge beneficial relationships. In addition, our students can authorize his or her fellow students to view their learning progress and milestones, thus fostering an engaging and friendly competitive environment.</w:t>
      </w:r>
    </w:p>
    <w:p>
      <w:pPr>
        <w:spacing w:after="0" w:line="150" w:lineRule="exact"/>
        <w:rPr>
          <w:sz w:val="20"/>
          <w:szCs w:val="20"/>
          <w:color w:val="auto"/>
        </w:rPr>
      </w:pPr>
    </w:p>
    <w:p>
      <w:pPr>
        <w:ind w:right="340" w:firstLine="547"/>
        <w:spacing w:after="0" w:line="264" w:lineRule="auto"/>
        <w:rPr>
          <w:sz w:val="20"/>
          <w:szCs w:val="20"/>
          <w:color w:val="auto"/>
        </w:rPr>
      </w:pPr>
      <w:r>
        <w:rPr>
          <w:rFonts w:ascii="Arial" w:cs="Arial" w:eastAsia="Arial" w:hAnsi="Arial"/>
          <w:sz w:val="17"/>
          <w:szCs w:val="17"/>
          <w:color w:val="auto"/>
        </w:rPr>
        <w:t>We believe a highly interactive virtual student community drives our existing students’ level of engagement and significantly enhances our attractiveness to prospective students.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Community-oriented Class Setup</w:t>
      </w:r>
    </w:p>
    <w:p>
      <w:pPr>
        <w:spacing w:after="0" w:line="103" w:lineRule="exact"/>
        <w:rPr>
          <w:sz w:val="20"/>
          <w:szCs w:val="20"/>
          <w:color w:val="auto"/>
        </w:rPr>
      </w:pPr>
    </w:p>
    <w:p>
      <w:pPr>
        <w:ind w:right="140" w:firstLine="547"/>
        <w:spacing w:after="0" w:line="264" w:lineRule="auto"/>
        <w:rPr>
          <w:sz w:val="20"/>
          <w:szCs w:val="20"/>
          <w:color w:val="auto"/>
        </w:rPr>
      </w:pPr>
      <w:r>
        <w:rPr>
          <w:rFonts w:ascii="Arial" w:cs="Arial" w:eastAsia="Arial" w:hAnsi="Arial"/>
          <w:sz w:val="17"/>
          <w:szCs w:val="17"/>
          <w:color w:val="auto"/>
        </w:rPr>
        <w:t>Our classes are set up to cultivate an interactive learning environment. We are committed to developing a sense of community among our students and faculty, which we believe is critical to improving results.</w:t>
      </w:r>
    </w:p>
    <w:p>
      <w:pPr>
        <w:spacing w:after="0" w:line="168" w:lineRule="exact"/>
        <w:rPr>
          <w:sz w:val="20"/>
          <w:szCs w:val="20"/>
          <w:color w:val="auto"/>
        </w:rPr>
      </w:pPr>
    </w:p>
    <w:p>
      <w:pPr>
        <w:ind w:right="140" w:firstLine="547"/>
        <w:spacing w:after="0" w:line="332" w:lineRule="auto"/>
        <w:rPr>
          <w:sz w:val="20"/>
          <w:szCs w:val="20"/>
          <w:color w:val="auto"/>
        </w:rPr>
      </w:pPr>
      <w:r>
        <w:rPr>
          <w:rFonts w:ascii="Arial" w:cs="Arial" w:eastAsia="Arial" w:hAnsi="Arial"/>
          <w:sz w:val="15"/>
          <w:szCs w:val="15"/>
          <w:color w:val="auto"/>
        </w:rPr>
        <w:t>Furthermore, our community-oriented learning environment, coupled with our student-centric faculty structure, enable us to provide our students attention and support beyond class hours at a time and in a manner that is convenient to them, which further drives student engagement, customer loyalty and course consumption.</w:t>
      </w:r>
    </w:p>
    <w:p>
      <w:pPr>
        <w:spacing w:after="0" w:line="121" w:lineRule="exact"/>
        <w:rPr>
          <w:sz w:val="20"/>
          <w:szCs w:val="20"/>
          <w:color w:val="auto"/>
        </w:rPr>
      </w:pPr>
    </w:p>
    <w:p>
      <w:pPr>
        <w:ind w:right="500" w:firstLine="547"/>
        <w:spacing w:after="0" w:line="332" w:lineRule="auto"/>
        <w:rPr>
          <w:sz w:val="20"/>
          <w:szCs w:val="20"/>
          <w:color w:val="auto"/>
        </w:rPr>
      </w:pPr>
      <w:r>
        <w:rPr>
          <w:rFonts w:ascii="Arial" w:cs="Arial" w:eastAsia="Arial" w:hAnsi="Arial"/>
          <w:sz w:val="15"/>
          <w:szCs w:val="15"/>
          <w:color w:val="auto"/>
        </w:rPr>
        <w:t>Our class are set up by schools, divisions and classes. Students are assigned to different schools and divisions based on the major and number of students enrolled for a given academic period. Students in the same division are further assigned to different “classes” for administrative purposes.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Educational Content Development and Offerings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Content Development</w:t>
      </w:r>
    </w:p>
    <w:p>
      <w:pPr>
        <w:spacing w:after="0" w:line="203" w:lineRule="exact"/>
        <w:rPr>
          <w:sz w:val="20"/>
          <w:szCs w:val="20"/>
          <w:color w:val="auto"/>
        </w:rPr>
      </w:pPr>
    </w:p>
    <w:p>
      <w:pPr>
        <w:ind w:right="220" w:firstLine="547"/>
        <w:spacing w:after="0" w:line="254" w:lineRule="auto"/>
        <w:rPr>
          <w:sz w:val="20"/>
          <w:szCs w:val="20"/>
          <w:color w:val="auto"/>
        </w:rPr>
      </w:pPr>
      <w:r>
        <w:rPr>
          <w:rFonts w:ascii="Arial" w:cs="Arial" w:eastAsia="Arial" w:hAnsi="Arial"/>
          <w:sz w:val="17"/>
          <w:szCs w:val="17"/>
          <w:color w:val="auto"/>
        </w:rPr>
        <w:t>We maintain an experienced team of course and educational content development professionals. Our course and educational content development team is dedicated to designing course offerings, as well as developing and improving a wide range of proprietary educational content, such as course outlines, quiz banks and teaching notes, for substantially all of our online course offerings.</w:t>
      </w:r>
    </w:p>
    <w:p>
      <w:pPr>
        <w:spacing w:after="0" w:line="177" w:lineRule="exact"/>
        <w:rPr>
          <w:sz w:val="20"/>
          <w:szCs w:val="20"/>
          <w:color w:val="auto"/>
        </w:rPr>
      </w:pPr>
    </w:p>
    <w:p>
      <w:pPr>
        <w:ind w:firstLine="547"/>
        <w:spacing w:after="0" w:line="248" w:lineRule="auto"/>
        <w:rPr>
          <w:sz w:val="20"/>
          <w:szCs w:val="20"/>
          <w:color w:val="auto"/>
        </w:rPr>
      </w:pPr>
      <w:r>
        <w:rPr>
          <w:rFonts w:ascii="Arial" w:cs="Arial" w:eastAsia="Arial" w:hAnsi="Arial"/>
          <w:sz w:val="17"/>
          <w:szCs w:val="17"/>
          <w:color w:val="auto"/>
        </w:rPr>
        <w:t>We regularly upgrade our educational content to make it more practical, and easier to comprehend and apply in real exams. For instance, we regularly release major updates to our proprietary quiz banks and mock questions for students pursuing the STE exams to reflect updates in the test topics in the government-administered STE exams. Benefiting from our IT infrastructure, our course and educational content development team is able to view and analyze student performance in quiz banks and mock questions, which enables them to identify weaknesses in the educational content and make timely adjustments and upgrades accordingly. Our course and educational content development team also seeks feedbacks from teachers and students regarding the effectiveness of our educational content, through online questionnaires or in-person meetings.</w:t>
      </w:r>
    </w:p>
    <w:p>
      <w:pPr>
        <w:spacing w:after="0" w:line="183" w:lineRule="exact"/>
        <w:rPr>
          <w:sz w:val="20"/>
          <w:szCs w:val="20"/>
          <w:color w:val="auto"/>
        </w:rPr>
      </w:pPr>
    </w:p>
    <w:p>
      <w:pPr>
        <w:ind w:right="80" w:firstLine="547"/>
        <w:spacing w:after="0" w:line="295" w:lineRule="auto"/>
        <w:rPr>
          <w:sz w:val="20"/>
          <w:szCs w:val="20"/>
          <w:color w:val="auto"/>
        </w:rPr>
      </w:pPr>
      <w:r>
        <w:rPr>
          <w:rFonts w:ascii="Arial" w:cs="Arial" w:eastAsia="Arial" w:hAnsi="Arial"/>
          <w:sz w:val="15"/>
          <w:szCs w:val="15"/>
          <w:color w:val="auto"/>
        </w:rPr>
        <w:t>In addition to our proprietary educational content, our course and educational content development professionals also design and recommend to our teachers’ best practices in teaching methods. While our teachers retain substantial control of and flexibility in the way their classes are taught, our course and educational content development professionals continually work closely with them to ensure our courses and educational content are delivered in an engaging, effective manner. We use Learning Outcome Trees to help us structure and deliver our educational content offerings, including course outlines, teaching notes and quiz banks, more effectively.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47" w:name="page48"/>
    <w:bookmarkEnd w:id="47"/>
    <w:p>
      <w:pPr>
        <w:spacing w:after="0"/>
        <w:rPr>
          <w:sz w:val="20"/>
          <w:szCs w:val="20"/>
          <w:color w:val="auto"/>
        </w:rPr>
      </w:pPr>
      <w:r>
        <w:rPr>
          <w:rFonts w:ascii="Arial" w:cs="Arial" w:eastAsia="Arial" w:hAnsi="Arial"/>
          <w:sz w:val="17"/>
          <w:szCs w:val="17"/>
          <w:i w:val="1"/>
          <w:iCs w:val="1"/>
          <w:color w:val="auto"/>
        </w:rPr>
        <w:t>Content Offerings</w:t>
      </w:r>
    </w:p>
    <w:p>
      <w:pPr>
        <w:spacing w:after="0" w:line="103" w:lineRule="exact"/>
        <w:rPr>
          <w:sz w:val="20"/>
          <w:szCs w:val="20"/>
          <w:color w:val="auto"/>
        </w:rPr>
      </w:pPr>
    </w:p>
    <w:p>
      <w:pPr>
        <w:jc w:val="both"/>
        <w:ind w:firstLine="547"/>
        <w:spacing w:after="0" w:line="251" w:lineRule="auto"/>
        <w:rPr>
          <w:sz w:val="20"/>
          <w:szCs w:val="20"/>
          <w:color w:val="auto"/>
        </w:rPr>
      </w:pPr>
      <w:r>
        <w:rPr>
          <w:rFonts w:ascii="Arial" w:cs="Arial" w:eastAsia="Arial" w:hAnsi="Arial"/>
          <w:sz w:val="17"/>
          <w:szCs w:val="17"/>
          <w:color w:val="auto"/>
        </w:rPr>
        <w:t>We support the learning experience with a wide range of educational content designed to help them capture key takeaways from, and reinforce what is taught in, our live streaming lessons, and to assess learning outcomes both during and after class hours. We also provide our teachers with educational content to help them prepare and teach classes effectively. All of our educational content was developed by our in-house research and development team and distributed electronically to our students and faculty through our online platforms.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Our educational content offerings primarily consist of the following:</w:t>
      </w:r>
    </w:p>
    <w:p>
      <w:pPr>
        <w:spacing w:after="0" w:line="103" w:lineRule="exact"/>
        <w:rPr>
          <w:sz w:val="20"/>
          <w:szCs w:val="20"/>
          <w:color w:val="auto"/>
        </w:rPr>
      </w:pPr>
    </w:p>
    <w:p>
      <w:pPr>
        <w:ind w:left="1080" w:right="40" w:hanging="545"/>
        <w:spacing w:after="0" w:line="278"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Course outlines. </w:t>
      </w:r>
      <w:r>
        <w:rPr>
          <w:rFonts w:ascii="Arial" w:cs="Arial" w:eastAsia="Arial" w:hAnsi="Arial"/>
          <w:sz w:val="16"/>
          <w:szCs w:val="16"/>
          <w:color w:val="auto"/>
        </w:rPr>
        <w:t>We develop course-specific outlines based on the curriculum requirements of the applicable government authorities and our Learning</w:t>
      </w:r>
      <w:r>
        <w:rPr>
          <w:rFonts w:ascii="Arial" w:cs="Arial" w:eastAsia="Arial" w:hAnsi="Arial"/>
          <w:sz w:val="16"/>
          <w:szCs w:val="16"/>
          <w:i w:val="1"/>
          <w:iCs w:val="1"/>
          <w:color w:val="auto"/>
        </w:rPr>
        <w:t xml:space="preserve"> </w:t>
      </w:r>
      <w:r>
        <w:rPr>
          <w:rFonts w:ascii="Arial" w:cs="Arial" w:eastAsia="Arial" w:hAnsi="Arial"/>
          <w:sz w:val="16"/>
          <w:szCs w:val="16"/>
          <w:color w:val="auto"/>
        </w:rPr>
        <w:t>Outcome Trees to ensure high-quality teaching is delivered consistently across our course offerings. As our students’ levels of academic ability vary, our course outlines are designed with the flexibility to address particular students’ strengths and weaknesses.</w:t>
      </w:r>
    </w:p>
    <w:p>
      <w:pPr>
        <w:spacing w:after="0" w:line="58" w:lineRule="exact"/>
        <w:rPr>
          <w:rFonts w:ascii="Arial" w:cs="Arial" w:eastAsia="Arial" w:hAnsi="Arial"/>
          <w:sz w:val="16"/>
          <w:szCs w:val="16"/>
          <w:color w:val="auto"/>
        </w:rPr>
      </w:pPr>
    </w:p>
    <w:p>
      <w:pPr>
        <w:jc w:val="both"/>
        <w:ind w:left="1080" w:right="20" w:hanging="545"/>
        <w:spacing w:after="0" w:line="353" w:lineRule="auto"/>
        <w:tabs>
          <w:tab w:leader="none" w:pos="108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Teaching notes. </w:t>
      </w:r>
      <w:r>
        <w:rPr>
          <w:rFonts w:ascii="Arial" w:cs="Arial" w:eastAsia="Arial" w:hAnsi="Arial"/>
          <w:sz w:val="13"/>
          <w:szCs w:val="13"/>
          <w:color w:val="auto"/>
        </w:rPr>
        <w:t>We offer teaching notes to our teachers providing them with roadmaps on how to spend class time effectively. The teaching notes set out</w:t>
      </w:r>
      <w:r>
        <w:rPr>
          <w:rFonts w:ascii="Arial" w:cs="Arial" w:eastAsia="Arial" w:hAnsi="Arial"/>
          <w:sz w:val="13"/>
          <w:szCs w:val="13"/>
          <w:i w:val="1"/>
          <w:iCs w:val="1"/>
          <w:color w:val="auto"/>
        </w:rPr>
        <w:t xml:space="preserve"> </w:t>
      </w:r>
      <w:r>
        <w:rPr>
          <w:rFonts w:ascii="Arial" w:cs="Arial" w:eastAsia="Arial" w:hAnsi="Arial"/>
          <w:sz w:val="13"/>
          <w:szCs w:val="13"/>
          <w:color w:val="auto"/>
        </w:rPr>
        <w:t>the learning outcomes based on our Learning Outcome Trees, key issues and frequently tested topics of a given course as well as recommended teaching strategies. They also contain suggested allocation of time to spend on different sub-subjects and questions to ask to stimulate the desired discussion. We generally use standardized teaching notes for the same courses, even taught by different teachers, to ensure consistency of teaching quality.</w:t>
      </w:r>
    </w:p>
    <w:p>
      <w:pPr>
        <w:spacing w:after="0" w:line="17" w:lineRule="exact"/>
        <w:rPr>
          <w:rFonts w:ascii="Arial" w:cs="Arial" w:eastAsia="Arial" w:hAnsi="Arial"/>
          <w:sz w:val="13"/>
          <w:szCs w:val="13"/>
          <w:color w:val="auto"/>
        </w:rPr>
      </w:pPr>
    </w:p>
    <w:p>
      <w:pPr>
        <w:ind w:left="1080" w:right="100" w:hanging="545"/>
        <w:spacing w:after="0" w:line="269"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Quiz banks</w:t>
      </w:r>
      <w:r>
        <w:rPr>
          <w:rFonts w:ascii="Arial" w:cs="Arial" w:eastAsia="Arial" w:hAnsi="Arial"/>
          <w:sz w:val="16"/>
          <w:szCs w:val="16"/>
          <w:color w:val="auto"/>
        </w:rPr>
        <w:t>. We maintain and regularly update large quiz banks, including ones specifically designed for the state-administered STE exams. A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quizzes in our quiz banks were developed in-house, leveraging our understanding of the topics frequently tested in the exams as well as the significant data accumulated during our teaching, while the rest are based on real exams in the past. Also, our students can search within the quiz banks using keywords from Learning Outcome Trees, which has greatly improved their learning effectiveness. In addition to quiz banks, we also offer mock exams to provide our students with realistic practice sessions for their real final exams.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Students</w:t>
      </w:r>
    </w:p>
    <w:p>
      <w:pPr>
        <w:spacing w:after="0" w:line="107" w:lineRule="exact"/>
        <w:rPr>
          <w:sz w:val="20"/>
          <w:szCs w:val="20"/>
          <w:color w:val="auto"/>
        </w:rPr>
      </w:pPr>
    </w:p>
    <w:p>
      <w:pPr>
        <w:ind w:right="440" w:firstLine="547"/>
        <w:spacing w:after="0" w:line="332" w:lineRule="auto"/>
        <w:rPr>
          <w:sz w:val="20"/>
          <w:szCs w:val="20"/>
          <w:color w:val="auto"/>
        </w:rPr>
      </w:pPr>
      <w:r>
        <w:rPr>
          <w:rFonts w:ascii="Arial" w:cs="Arial" w:eastAsia="Arial" w:hAnsi="Arial"/>
          <w:sz w:val="15"/>
          <w:szCs w:val="15"/>
          <w:color w:val="auto"/>
        </w:rPr>
        <w:t>We have a large student base, primarily as a result of our well-established brand and effective sales and marketing efforts. In 2018, 2019 and 2020, we had 1,025,959, 1,039,733 and 1,130,650 students, respectively, and our new student enrollments were 526,014, 363,013 and 434,240, respectively.</w:t>
      </w:r>
    </w:p>
    <w:p>
      <w:pPr>
        <w:spacing w:after="0" w:line="121" w:lineRule="exact"/>
        <w:rPr>
          <w:sz w:val="20"/>
          <w:szCs w:val="20"/>
          <w:color w:val="auto"/>
        </w:rPr>
      </w:pPr>
    </w:p>
    <w:p>
      <w:pPr>
        <w:jc w:val="both"/>
        <w:ind w:right="120" w:firstLine="547"/>
        <w:spacing w:after="0" w:line="254" w:lineRule="auto"/>
        <w:rPr>
          <w:sz w:val="20"/>
          <w:szCs w:val="20"/>
          <w:color w:val="auto"/>
        </w:rPr>
      </w:pPr>
      <w:r>
        <w:rPr>
          <w:rFonts w:ascii="Arial" w:cs="Arial" w:eastAsia="Arial" w:hAnsi="Arial"/>
          <w:sz w:val="17"/>
          <w:szCs w:val="17"/>
          <w:color w:val="auto"/>
        </w:rPr>
        <w:t>Our students are primarily working adults who generally have limited time to devote to lengthy and regular classroom studies at designated physical locations. Such students also need an engaging learning atmosphere that encourages participation and interaction, and require more assistance and supervision from their teachers and mentors.</w:t>
      </w:r>
    </w:p>
    <w:p>
      <w:pPr>
        <w:spacing w:after="0" w:line="177" w:lineRule="exact"/>
        <w:rPr>
          <w:sz w:val="20"/>
          <w:szCs w:val="20"/>
          <w:color w:val="auto"/>
        </w:rPr>
      </w:pPr>
    </w:p>
    <w:p>
      <w:pPr>
        <w:ind w:right="100" w:firstLine="547"/>
        <w:spacing w:after="0" w:line="249" w:lineRule="auto"/>
        <w:rPr>
          <w:sz w:val="20"/>
          <w:szCs w:val="20"/>
          <w:color w:val="auto"/>
        </w:rPr>
      </w:pPr>
      <w:r>
        <w:rPr>
          <w:rFonts w:ascii="Arial" w:cs="Arial" w:eastAsia="Arial" w:hAnsi="Arial"/>
          <w:sz w:val="17"/>
          <w:szCs w:val="17"/>
          <w:color w:val="auto"/>
        </w:rPr>
        <w:t>Our target students generally have aspirations to obtain more knowledge, pursue higher education and improve their social and economic status. At the same time, many of them cannot identify their specific education needs or solutions for such needs, especially given that education products and services can be complex and the relatively high costs may deter them from fulfilling their educational needs. To help them meet their aspirations and understand the potential educational solutions, we focus our marketing and sales practices on counseling-oriented interactions and strive to deliver our courses and educational content in a highly engaging and student-friendly manner.</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Faculty</w:t>
      </w:r>
    </w:p>
    <w:p>
      <w:pPr>
        <w:spacing w:after="0" w:line="107" w:lineRule="exact"/>
        <w:rPr>
          <w:sz w:val="20"/>
          <w:szCs w:val="20"/>
          <w:color w:val="auto"/>
        </w:rPr>
      </w:pPr>
    </w:p>
    <w:p>
      <w:pPr>
        <w:ind w:right="180" w:firstLine="547"/>
        <w:spacing w:after="0" w:line="264" w:lineRule="auto"/>
        <w:rPr>
          <w:sz w:val="20"/>
          <w:szCs w:val="20"/>
          <w:color w:val="auto"/>
        </w:rPr>
      </w:pPr>
      <w:r>
        <w:rPr>
          <w:rFonts w:ascii="Arial" w:cs="Arial" w:eastAsia="Arial" w:hAnsi="Arial"/>
          <w:sz w:val="17"/>
          <w:szCs w:val="17"/>
          <w:color w:val="auto"/>
        </w:rPr>
        <w:t>We maintain a large full-time faculty dedicated to helping our students succeed. As of December 31, 2020, our faculty primarily consisted of 171 teachers and 640 mentors based in Beijing, Guangzhou and Wuhan, China.</w:t>
      </w:r>
    </w:p>
    <w:p>
      <w:pPr>
        <w:spacing w:after="0" w:line="168" w:lineRule="exact"/>
        <w:rPr>
          <w:sz w:val="20"/>
          <w:szCs w:val="20"/>
          <w:color w:val="auto"/>
        </w:rPr>
      </w:pPr>
    </w:p>
    <w:p>
      <w:pPr>
        <w:ind w:firstLine="547"/>
        <w:spacing w:after="0" w:line="269" w:lineRule="auto"/>
        <w:rPr>
          <w:sz w:val="20"/>
          <w:szCs w:val="20"/>
          <w:color w:val="auto"/>
        </w:rPr>
      </w:pPr>
      <w:r>
        <w:rPr>
          <w:rFonts w:ascii="Arial" w:cs="Arial" w:eastAsia="Arial" w:hAnsi="Arial"/>
          <w:sz w:val="16"/>
          <w:szCs w:val="16"/>
          <w:color w:val="auto"/>
        </w:rPr>
        <w:t>Our teachers and mentors assume different roles and responsibilities. Generally, our teachers are responsible for delivering courses and educational content to our students, while our mentors focus on providing academic and administrative support throughout the students’ learning process. We believe their different functions require different skills and personal attributes, and therefore we apply differentiated recruitment, training, and evaluation and compensation strategies to our teachers and mentors. For risks related to our faculty, see “Item 3. Key Information—3.D. Risk Factors—Risk Factors— Risks Related to Our Business—We may not be able to continue to recruit, train and retain a sufficient number of qualified faculty members.”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Our Teachers</w:t>
      </w:r>
    </w:p>
    <w:p>
      <w:pPr>
        <w:spacing w:after="0" w:line="103" w:lineRule="exact"/>
        <w:rPr>
          <w:sz w:val="20"/>
          <w:szCs w:val="20"/>
          <w:color w:val="auto"/>
        </w:rPr>
      </w:pPr>
    </w:p>
    <w:p>
      <w:pPr>
        <w:ind w:firstLine="547"/>
        <w:spacing w:after="0" w:line="249" w:lineRule="auto"/>
        <w:rPr>
          <w:sz w:val="20"/>
          <w:szCs w:val="20"/>
          <w:color w:val="auto"/>
        </w:rPr>
      </w:pPr>
      <w:r>
        <w:rPr>
          <w:rFonts w:ascii="Arial" w:cs="Arial" w:eastAsia="Arial" w:hAnsi="Arial"/>
          <w:sz w:val="17"/>
          <w:szCs w:val="17"/>
          <w:color w:val="auto"/>
        </w:rPr>
        <w:t>We believe maintaining a high-quality team of teachers is the bedrock of our brand and reputation, particularly given our online course delivery model where each teacher is expected to cover a larger number of students than in offline, classroom-based courses. We monitor the total number of hours our teachers teach regularly to provide both an optimal number of teachers for our large student enrollments and adequate teaching assignments for each of our teachers. All of our teachers are our full-time employees. The training we provide to teachers is designed to allow teachers to develop their own teaching style and methodology while maintaining high teaching quality.</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Recruitment</w:t>
      </w:r>
    </w:p>
    <w:p>
      <w:pPr>
        <w:spacing w:after="0" w:line="103" w:lineRule="exact"/>
        <w:rPr>
          <w:sz w:val="20"/>
          <w:szCs w:val="20"/>
          <w:color w:val="auto"/>
        </w:rPr>
      </w:pPr>
    </w:p>
    <w:p>
      <w:pPr>
        <w:ind w:right="100" w:firstLine="547"/>
        <w:spacing w:after="0" w:line="304" w:lineRule="auto"/>
        <w:rPr>
          <w:sz w:val="20"/>
          <w:szCs w:val="20"/>
          <w:color w:val="auto"/>
        </w:rPr>
      </w:pPr>
      <w:r>
        <w:rPr>
          <w:rFonts w:ascii="Arial" w:cs="Arial" w:eastAsia="Arial" w:hAnsi="Arial"/>
          <w:sz w:val="15"/>
          <w:szCs w:val="15"/>
          <w:color w:val="auto"/>
        </w:rPr>
        <w:t>We hire our teachers based on numerous criteria, including educational backgrounds, teaching experience, and performance in mock lessons. We typically look for candidates with a bachelor’s degree from a top university or college in China or a master’s or higher degree. Additionally, given the interactive nature of our live streaming lessons, we look for teachers with strong communication skills, great passion for teaching and excellent ability of working under pressure.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Training and support</w:t>
      </w:r>
    </w:p>
    <w:p>
      <w:pPr>
        <w:spacing w:after="0" w:line="103" w:lineRule="exact"/>
        <w:rPr>
          <w:sz w:val="20"/>
          <w:szCs w:val="20"/>
          <w:color w:val="auto"/>
        </w:rPr>
      </w:pPr>
    </w:p>
    <w:p>
      <w:pPr>
        <w:ind w:right="320" w:firstLine="547"/>
        <w:spacing w:after="0" w:line="295" w:lineRule="auto"/>
        <w:rPr>
          <w:sz w:val="20"/>
          <w:szCs w:val="20"/>
          <w:color w:val="auto"/>
        </w:rPr>
      </w:pPr>
      <w:r>
        <w:rPr>
          <w:rFonts w:ascii="Arial" w:cs="Arial" w:eastAsia="Arial" w:hAnsi="Arial"/>
          <w:sz w:val="15"/>
          <w:szCs w:val="15"/>
          <w:color w:val="auto"/>
        </w:rPr>
        <w:t>We offer standard training programs to newly-hired teachers. We also impose a probation period and require each newly hired teacher to pass a number of internal qualification tests throughout the probation to be formally employed as full-time teachers. We also provide on-the-job training on instructional and communication skills to our teachers on a regular basis. Our proprietary IT system is key to our teacher training efforts as it not only allows them to monitor student engagement and academic performance on a real time basis but also to adjust teaching methodology and strategy accordingly to keep students engaged.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and Compensation</w:t>
      </w:r>
    </w:p>
    <w:p>
      <w:pPr>
        <w:spacing w:after="0" w:line="103" w:lineRule="exact"/>
        <w:rPr>
          <w:sz w:val="20"/>
          <w:szCs w:val="20"/>
          <w:color w:val="auto"/>
        </w:rPr>
      </w:pPr>
    </w:p>
    <w:p>
      <w:pPr>
        <w:ind w:firstLine="547"/>
        <w:spacing w:after="0" w:line="248" w:lineRule="auto"/>
        <w:rPr>
          <w:sz w:val="20"/>
          <w:szCs w:val="20"/>
          <w:color w:val="auto"/>
        </w:rPr>
      </w:pPr>
      <w:r>
        <w:rPr>
          <w:rFonts w:ascii="Arial" w:cs="Arial" w:eastAsia="Arial" w:hAnsi="Arial"/>
          <w:sz w:val="17"/>
          <w:szCs w:val="17"/>
          <w:color w:val="auto"/>
        </w:rPr>
        <w:t>We have developed a fully-digital and systematic assessment approach that provides teachers with transparent and helpful feedback that serves as the foundation for their professional development and helps them to build fulfilling careers with us. We adopt a comprehensive set of key performance indicators, or metrics, to evaluate teacher performance. These metrics include student attendance rate and student satisfaction, among others. We also collect student reviews after each class and closely monitor the educational content delivered by our teachers to facilitate our teacher evaluation efforts and to improve our teaching quality. In addition, we use mock lessons to assess a teacher’s teaching skills and ability to engage students in a live streaming course setting, especially in instances where multiple teachers are competing to teach the same course.</w:t>
      </w:r>
    </w:p>
    <w:p>
      <w:pPr>
        <w:spacing w:after="0" w:line="84" w:lineRule="exact"/>
        <w:rPr>
          <w:sz w:val="20"/>
          <w:szCs w:val="20"/>
          <w:color w:val="auto"/>
        </w:rPr>
      </w:pPr>
    </w:p>
    <w:p>
      <w:pPr>
        <w:ind w:right="180" w:firstLine="547"/>
        <w:spacing w:after="0" w:line="251" w:lineRule="auto"/>
        <w:rPr>
          <w:sz w:val="20"/>
          <w:szCs w:val="20"/>
          <w:color w:val="auto"/>
        </w:rPr>
      </w:pPr>
      <w:r>
        <w:rPr>
          <w:rFonts w:ascii="Arial" w:cs="Arial" w:eastAsia="Arial" w:hAnsi="Arial"/>
          <w:sz w:val="17"/>
          <w:szCs w:val="17"/>
          <w:color w:val="auto"/>
        </w:rPr>
        <w:t>We pay our teachers base salaries and service fees generally on a per-lesson basis. The service fees per lesson of a teacher are based primarily on his or her rating and other factors, such as student reviews and exam results. To incentivize our teachers, we also provide them with discretionary, merit-based bonuses based on their performance, measured by selected metrics. We enter into with each teacher a standard employment agreement typically for an initial term of three years which automatically renews at the end of each term.</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Mentors</w:t>
      </w:r>
    </w:p>
    <w:p>
      <w:pPr>
        <w:spacing w:after="0" w:line="103" w:lineRule="exact"/>
        <w:rPr>
          <w:sz w:val="20"/>
          <w:szCs w:val="20"/>
          <w:color w:val="auto"/>
        </w:rPr>
      </w:pPr>
    </w:p>
    <w:p>
      <w:pPr>
        <w:ind w:right="560" w:firstLine="547"/>
        <w:spacing w:after="0" w:line="264" w:lineRule="auto"/>
        <w:rPr>
          <w:sz w:val="20"/>
          <w:szCs w:val="20"/>
          <w:color w:val="auto"/>
        </w:rPr>
      </w:pPr>
      <w:r>
        <w:rPr>
          <w:rFonts w:ascii="Arial" w:cs="Arial" w:eastAsia="Arial" w:hAnsi="Arial"/>
          <w:sz w:val="17"/>
          <w:szCs w:val="17"/>
          <w:color w:val="auto"/>
        </w:rPr>
        <w:t>Our mentors’ principal role is to provide academic guidance and support to our students on a daily basis to help navigate their way throughout the entire duration of studies. Our mentors’ roles and responsibilities typically include:</w:t>
      </w:r>
    </w:p>
    <w:p>
      <w:pPr>
        <w:spacing w:after="0" w:line="68" w:lineRule="exact"/>
        <w:rPr>
          <w:sz w:val="20"/>
          <w:szCs w:val="20"/>
          <w:color w:val="auto"/>
        </w:rPr>
      </w:pPr>
    </w:p>
    <w:p>
      <w:pPr>
        <w:ind w:left="1080" w:hanging="545"/>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understanding and responding to student inquiries and concerns;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monitoring students’ learning progress as well as their overall academic and personal development;</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providing psychological support to help students cope with the challenging aspects of their studies, particularly in a rigorous academic environment; and</w:t>
      </w:r>
    </w:p>
    <w:p>
      <w:pPr>
        <w:spacing w:after="0" w:line="126" w:lineRule="exact"/>
        <w:rPr>
          <w:rFonts w:ascii="Arial" w:cs="Arial" w:eastAsia="Arial" w:hAnsi="Arial"/>
          <w:sz w:val="15"/>
          <w:szCs w:val="15"/>
          <w:color w:val="auto"/>
        </w:rPr>
      </w:pPr>
    </w:p>
    <w:p>
      <w:pPr>
        <w:ind w:left="1080" w:right="360" w:hanging="545"/>
        <w:spacing w:after="0" w:line="264"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encouraging students to share ideas and learning experience and achievements with peers and faculty to foster a sense of community and teamwork spirit.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49" w:name="page50"/>
    <w:bookmarkEnd w:id="49"/>
    <w:p>
      <w:pPr>
        <w:spacing w:after="0"/>
        <w:rPr>
          <w:sz w:val="20"/>
          <w:szCs w:val="20"/>
          <w:color w:val="auto"/>
        </w:rPr>
      </w:pPr>
      <w:r>
        <w:rPr>
          <w:rFonts w:ascii="Arial" w:cs="Arial" w:eastAsia="Arial" w:hAnsi="Arial"/>
          <w:sz w:val="17"/>
          <w:szCs w:val="17"/>
          <w:i w:val="1"/>
          <w:iCs w:val="1"/>
          <w:color w:val="auto"/>
        </w:rPr>
        <w:t>Recruitment</w:t>
      </w:r>
    </w:p>
    <w:p>
      <w:pPr>
        <w:spacing w:after="0" w:line="103" w:lineRule="exact"/>
        <w:rPr>
          <w:sz w:val="20"/>
          <w:szCs w:val="20"/>
          <w:color w:val="auto"/>
        </w:rPr>
      </w:pPr>
    </w:p>
    <w:p>
      <w:pPr>
        <w:ind w:right="200" w:firstLine="547"/>
        <w:spacing w:after="0" w:line="264" w:lineRule="auto"/>
        <w:rPr>
          <w:sz w:val="20"/>
          <w:szCs w:val="20"/>
          <w:color w:val="auto"/>
        </w:rPr>
      </w:pPr>
      <w:r>
        <w:rPr>
          <w:rFonts w:ascii="Arial" w:cs="Arial" w:eastAsia="Arial" w:hAnsi="Arial"/>
          <w:sz w:val="17"/>
          <w:szCs w:val="17"/>
          <w:color w:val="auto"/>
        </w:rPr>
        <w:t>We tend to look for mentors who demonstrate excellent interpersonal and communication skills and a commitment in participating in the education profession and impacting a diverse audience. We typically require our mentors to possess a bachelor’s degree.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Training and support</w:t>
      </w:r>
    </w:p>
    <w:p>
      <w:pPr>
        <w:spacing w:after="0" w:line="103" w:lineRule="exact"/>
        <w:rPr>
          <w:sz w:val="20"/>
          <w:szCs w:val="20"/>
          <w:color w:val="auto"/>
        </w:rPr>
      </w:pPr>
    </w:p>
    <w:p>
      <w:pPr>
        <w:ind w:firstLine="547"/>
        <w:spacing w:after="0" w:line="278" w:lineRule="auto"/>
        <w:rPr>
          <w:sz w:val="20"/>
          <w:szCs w:val="20"/>
          <w:color w:val="auto"/>
        </w:rPr>
      </w:pPr>
      <w:r>
        <w:rPr>
          <w:rFonts w:ascii="Arial" w:cs="Arial" w:eastAsia="Arial" w:hAnsi="Arial"/>
          <w:sz w:val="16"/>
          <w:szCs w:val="16"/>
          <w:color w:val="auto"/>
        </w:rPr>
        <w:t>We provide our mentors with an orientation program and periodic on-the-job training to improve their ability to engage and build relationships with students. We also provide our mentors with training opportunities that address specific challenges. We have also introduced systems and tools that enable our teachers to monitor student activities and outcomes and take appropriate actions when the students demonstrate a low level of engagement.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and compensation</w:t>
      </w:r>
    </w:p>
    <w:p>
      <w:pPr>
        <w:spacing w:after="0" w:line="103" w:lineRule="exact"/>
        <w:rPr>
          <w:sz w:val="20"/>
          <w:szCs w:val="20"/>
          <w:color w:val="auto"/>
        </w:rPr>
      </w:pPr>
    </w:p>
    <w:p>
      <w:pPr>
        <w:ind w:right="140" w:firstLine="547"/>
        <w:spacing w:after="0" w:line="254" w:lineRule="auto"/>
        <w:rPr>
          <w:sz w:val="20"/>
          <w:szCs w:val="20"/>
          <w:color w:val="auto"/>
        </w:rPr>
      </w:pPr>
      <w:r>
        <w:rPr>
          <w:rFonts w:ascii="Arial" w:cs="Arial" w:eastAsia="Arial" w:hAnsi="Arial"/>
          <w:sz w:val="17"/>
          <w:szCs w:val="17"/>
          <w:color w:val="auto"/>
        </w:rPr>
        <w:t>We use various metrics in terms of student engagement to measure the performance of our mentors. These metrics include student’s class attendance, refund request rate, as well as the percentage of outperforming students. With each of our mentors we enter into a standard employment agreement typically for an initial term of three years which automatically renews at the end of each term.</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Branding and Sales</w:t>
      </w:r>
    </w:p>
    <w:p>
      <w:pPr>
        <w:spacing w:after="0" w:line="107" w:lineRule="exact"/>
        <w:rPr>
          <w:sz w:val="20"/>
          <w:szCs w:val="20"/>
          <w:color w:val="auto"/>
        </w:rPr>
      </w:pPr>
    </w:p>
    <w:p>
      <w:pPr>
        <w:ind w:right="120" w:firstLine="547"/>
        <w:spacing w:after="0" w:line="295" w:lineRule="auto"/>
        <w:rPr>
          <w:sz w:val="20"/>
          <w:szCs w:val="20"/>
          <w:color w:val="auto"/>
        </w:rPr>
      </w:pPr>
      <w:r>
        <w:rPr>
          <w:rFonts w:ascii="Arial" w:cs="Arial" w:eastAsia="Arial" w:hAnsi="Arial"/>
          <w:sz w:val="15"/>
          <w:szCs w:val="15"/>
          <w:color w:val="auto"/>
        </w:rPr>
        <w:t>Our marketing philosophy is to promote our services to prospective students in a cost-effective manner based on our deep understanding of their unique profile and needs. We have acquired many of our existing students through effective marketing campaigns focused on showing how our services can address their specific educational needs. At the same time, we market our services to a larger group of prospective students who are not aware of solutions available to satisfy their needs through tailored marketing efforts designed to awaken their potential demands and navigate them through their decision-making process.</w:t>
      </w:r>
    </w:p>
    <w:p>
      <w:pPr>
        <w:spacing w:after="0" w:line="149" w:lineRule="exact"/>
        <w:rPr>
          <w:sz w:val="20"/>
          <w:szCs w:val="20"/>
          <w:color w:val="auto"/>
        </w:rPr>
      </w:pPr>
    </w:p>
    <w:p>
      <w:pPr>
        <w:ind w:right="340" w:firstLine="547"/>
        <w:spacing w:after="0" w:line="264" w:lineRule="auto"/>
        <w:rPr>
          <w:sz w:val="20"/>
          <w:szCs w:val="20"/>
          <w:color w:val="auto"/>
        </w:rPr>
      </w:pPr>
      <w:r>
        <w:rPr>
          <w:rFonts w:ascii="Arial" w:cs="Arial" w:eastAsia="Arial" w:hAnsi="Arial"/>
          <w:sz w:val="17"/>
          <w:szCs w:val="17"/>
          <w:color w:val="auto"/>
        </w:rPr>
        <w:t>For the years ended December 31, 2018, 2019 and 2020, our marketing effectiveness ratio, measured by dividing marketing spending by gross billings, was 29.1%, 40.2% and 46.9%, respectively.</w:t>
      </w:r>
    </w:p>
    <w:p>
      <w:pPr>
        <w:spacing w:after="0" w:line="168" w:lineRule="exact"/>
        <w:rPr>
          <w:sz w:val="20"/>
          <w:szCs w:val="20"/>
          <w:color w:val="auto"/>
        </w:rPr>
      </w:pPr>
    </w:p>
    <w:p>
      <w:pPr>
        <w:ind w:firstLine="547"/>
        <w:spacing w:after="0" w:line="272" w:lineRule="auto"/>
        <w:rPr>
          <w:sz w:val="20"/>
          <w:szCs w:val="20"/>
          <w:color w:val="auto"/>
        </w:rPr>
      </w:pPr>
      <w:r>
        <w:rPr>
          <w:rFonts w:ascii="Arial" w:cs="Arial" w:eastAsia="Arial" w:hAnsi="Arial"/>
          <w:sz w:val="16"/>
          <w:szCs w:val="16"/>
          <w:color w:val="auto"/>
        </w:rPr>
        <w:t>We have built a large, well-trained professional sales and marketing team. As of December 31, 2020, we had a total of approximately 5,700 sales and marketing personnel. We maintain sales and marketing personnel in major regional markets, such as Beijing, Wuhan, Shenzhen and Guangzhou. Our sales and marketing force adopt sales and marketing strategies customized based on the needs and profile of prospective students in different markets. We divide our sales and marketing personnel into different teams, each dedicated to executing our marketing strategies in a particular course offering or demographics.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marketing and branding</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engage in a variety of advertising and marketing activities to build our brand and use a combination of online and offline channels.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Advertising &amp; marketing</w:t>
      </w:r>
    </w:p>
    <w:p>
      <w:pPr>
        <w:spacing w:after="0" w:line="103" w:lineRule="exact"/>
        <w:rPr>
          <w:sz w:val="20"/>
          <w:szCs w:val="20"/>
          <w:color w:val="auto"/>
        </w:rPr>
      </w:pPr>
    </w:p>
    <w:p>
      <w:pPr>
        <w:ind w:right="300" w:firstLine="547"/>
        <w:spacing w:after="0" w:line="251" w:lineRule="auto"/>
        <w:rPr>
          <w:sz w:val="20"/>
          <w:szCs w:val="20"/>
          <w:color w:val="auto"/>
        </w:rPr>
      </w:pPr>
      <w:r>
        <w:rPr>
          <w:rFonts w:ascii="Arial" w:cs="Arial" w:eastAsia="Arial" w:hAnsi="Arial"/>
          <w:sz w:val="17"/>
          <w:szCs w:val="17"/>
          <w:color w:val="auto"/>
        </w:rPr>
        <w:t>We generate our leads primarily from online channels, which consist of search engine marketing and mobile marketing. Empowered by our data analytics capabilities, we use automated bidding strategies to place ads intelligently, as well as to track performance of our ads in real time, which enables us to generate more qualified clicks leading to our websites. We put ads on strategically chosen mobile applications that generate premium traffic quality to maximize our return of investment from mobile marketing channels.</w:t>
      </w:r>
    </w:p>
    <w:p>
      <w:pPr>
        <w:spacing w:after="0" w:line="179" w:lineRule="exact"/>
        <w:rPr>
          <w:sz w:val="20"/>
          <w:szCs w:val="20"/>
          <w:color w:val="auto"/>
        </w:rPr>
      </w:pPr>
    </w:p>
    <w:p>
      <w:pPr>
        <w:ind w:right="60" w:firstLine="547"/>
        <w:spacing w:after="0" w:line="254" w:lineRule="auto"/>
        <w:rPr>
          <w:sz w:val="20"/>
          <w:szCs w:val="20"/>
          <w:color w:val="auto"/>
        </w:rPr>
      </w:pPr>
      <w:r>
        <w:rPr>
          <w:rFonts w:ascii="Arial" w:cs="Arial" w:eastAsia="Arial" w:hAnsi="Arial"/>
          <w:sz w:val="17"/>
          <w:szCs w:val="17"/>
          <w:color w:val="auto"/>
        </w:rPr>
        <w:t>Our search engine marketing channels effectively target students who possess preliminary interest in our services. We purchase key words from major search service providers in China, such as Baidu, and enhance returns from search engine marketing channels using search engine optimization techniques. We monitor end-to-end performance metrics of our search engine marketing channels on a continuous basis.</w:t>
      </w:r>
    </w:p>
    <w:p>
      <w:pPr>
        <w:spacing w:after="0" w:line="177" w:lineRule="exact"/>
        <w:rPr>
          <w:sz w:val="20"/>
          <w:szCs w:val="20"/>
          <w:color w:val="auto"/>
        </w:rPr>
      </w:pPr>
    </w:p>
    <w:p>
      <w:pPr>
        <w:ind w:right="380" w:firstLine="547"/>
        <w:spacing w:after="0" w:line="264" w:lineRule="auto"/>
        <w:rPr>
          <w:sz w:val="20"/>
          <w:szCs w:val="20"/>
          <w:color w:val="auto"/>
        </w:rPr>
      </w:pPr>
      <w:r>
        <w:rPr>
          <w:rFonts w:ascii="Arial" w:cs="Arial" w:eastAsia="Arial" w:hAnsi="Arial"/>
          <w:sz w:val="17"/>
          <w:szCs w:val="17"/>
          <w:color w:val="auto"/>
        </w:rPr>
        <w:t>We also generate leads online through mobile marketing channels, which mainly include display advertising on leading mobile news apps, as well as social media platforms and online shopping platforms. The display advertising formats we use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50" w:name="page51"/>
    <w:bookmarkEnd w:id="50"/>
    <w:p>
      <w:pPr>
        <w:ind w:right="100"/>
        <w:spacing w:after="0" w:line="304" w:lineRule="auto"/>
        <w:rPr>
          <w:sz w:val="20"/>
          <w:szCs w:val="20"/>
          <w:color w:val="auto"/>
        </w:rPr>
      </w:pPr>
      <w:r>
        <w:rPr>
          <w:rFonts w:ascii="Arial" w:cs="Arial" w:eastAsia="Arial" w:hAnsi="Arial"/>
          <w:sz w:val="15"/>
          <w:szCs w:val="15"/>
          <w:color w:val="auto"/>
        </w:rPr>
        <w:t>generally include launch screen display, banners, text hyperlinks, videos and rich media. We also operate branded official accounts on Weixin/WeChat, Sina Weibo, Tik Tok and other social media platforms to raise our brand awareness and increase sales leads generated on these platforms. We believe that our mobile marketing efforts are particularly effective in awakening potential demands of prospective students who have not yet developed a specific learning plan.</w:t>
      </w:r>
    </w:p>
    <w:p>
      <w:pPr>
        <w:spacing w:after="0" w:line="142" w:lineRule="exact"/>
        <w:rPr>
          <w:sz w:val="20"/>
          <w:szCs w:val="20"/>
          <w:color w:val="auto"/>
        </w:rPr>
      </w:pPr>
    </w:p>
    <w:p>
      <w:pPr>
        <w:ind w:right="220" w:firstLine="547"/>
        <w:spacing w:after="0" w:line="264" w:lineRule="auto"/>
        <w:rPr>
          <w:sz w:val="20"/>
          <w:szCs w:val="20"/>
          <w:color w:val="auto"/>
        </w:rPr>
      </w:pPr>
      <w:r>
        <w:rPr>
          <w:rFonts w:ascii="Arial" w:cs="Arial" w:eastAsia="Arial" w:hAnsi="Arial"/>
          <w:sz w:val="17"/>
          <w:szCs w:val="17"/>
          <w:color w:val="auto"/>
        </w:rPr>
        <w:t>The terms of the agreements we enter into with our search engine and mobile marketing partners are typically one year. We pay our search engine and mobile marketing partners generally on a cost-per-click basis.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Branding</w:t>
      </w:r>
    </w:p>
    <w:p>
      <w:pPr>
        <w:spacing w:after="0" w:line="103" w:lineRule="exact"/>
        <w:rPr>
          <w:sz w:val="20"/>
          <w:szCs w:val="20"/>
          <w:color w:val="auto"/>
        </w:rPr>
      </w:pPr>
    </w:p>
    <w:p>
      <w:pPr>
        <w:ind w:right="220" w:firstLine="547"/>
        <w:spacing w:after="0" w:line="272" w:lineRule="auto"/>
        <w:rPr>
          <w:sz w:val="20"/>
          <w:szCs w:val="20"/>
          <w:color w:val="auto"/>
        </w:rPr>
      </w:pPr>
      <w:r>
        <w:rPr>
          <w:rFonts w:ascii="Arial" w:cs="Arial" w:eastAsia="Arial" w:hAnsi="Arial"/>
          <w:sz w:val="16"/>
          <w:szCs w:val="16"/>
          <w:color w:val="auto"/>
        </w:rPr>
        <w:t>In addition to online advertising focused on mobile applications with high traffic volume, we engage in offline branding activities to a much lesser extent to supplement our overall sales and marketing strategies. Our offline branding activities primarily include public displays at major subway stations in Beijing, as well as establishment of 78 enrollment centers strategically located in our regional markets as of December 31, 2020. We believe that these cities represent the largest student base in China, and the primary goal of these advertisements is to enhance our presence in the local markets.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Counseling-oriented sales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Counseling services</w:t>
      </w:r>
    </w:p>
    <w:p>
      <w:pPr>
        <w:spacing w:after="0" w:line="103" w:lineRule="exact"/>
        <w:rPr>
          <w:sz w:val="20"/>
          <w:szCs w:val="20"/>
          <w:color w:val="auto"/>
        </w:rPr>
      </w:pPr>
    </w:p>
    <w:p>
      <w:pPr>
        <w:ind w:firstLine="547"/>
        <w:spacing w:after="0" w:line="291" w:lineRule="auto"/>
        <w:rPr>
          <w:sz w:val="20"/>
          <w:szCs w:val="20"/>
          <w:color w:val="auto"/>
        </w:rPr>
      </w:pPr>
      <w:r>
        <w:rPr>
          <w:rFonts w:ascii="Arial" w:cs="Arial" w:eastAsia="Arial" w:hAnsi="Arial"/>
          <w:sz w:val="15"/>
          <w:szCs w:val="15"/>
          <w:color w:val="auto"/>
        </w:rPr>
        <w:t>To convert leads generated into student enrollments, we provide customized, comprehensive counseling to prospective students throughout the lead nurturing and enrollment cycle. This counseling-oriented sales approach is supported by a capable sales team consisting of live chat personnel, call center staff and recruitment consultants based in our regional enrollment centers. We provide extensive training to our sales team to ensure they are capable of explaining our course offerings, addressing questions and concerns, and recommending courses that best suit prospective students’ learning objectives. We also use our data analytics tools and models to identify a prospective student’s educational needs, which helps our sales team provide tailor-made counseling services.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Enrollment process</w:t>
      </w:r>
    </w:p>
    <w:p>
      <w:pPr>
        <w:spacing w:after="0" w:line="103" w:lineRule="exact"/>
        <w:rPr>
          <w:sz w:val="20"/>
          <w:szCs w:val="20"/>
          <w:color w:val="auto"/>
        </w:rPr>
      </w:pPr>
    </w:p>
    <w:p>
      <w:pPr>
        <w:ind w:right="120" w:firstLine="547"/>
        <w:spacing w:after="0" w:line="264" w:lineRule="auto"/>
        <w:rPr>
          <w:sz w:val="20"/>
          <w:szCs w:val="20"/>
          <w:color w:val="auto"/>
        </w:rPr>
      </w:pPr>
      <w:r>
        <w:rPr>
          <w:rFonts w:ascii="Arial" w:cs="Arial" w:eastAsia="Arial" w:hAnsi="Arial"/>
          <w:sz w:val="16"/>
          <w:szCs w:val="16"/>
          <w:color w:val="auto"/>
        </w:rPr>
        <w:t>We use multi-layer lead-nurturing strategies to acquire new student enrollments in a cost-effective manner. Each of the leads generated are initially directed to our live chat support team who is responsible for answering prospective students’ enquires, encouraging them to register with our platforms, and collecting necessary information. Once a prospective student indicates an interest in purchasing our courses, we match such student with the most suitable sales professional based on our data analytics and tools. Such sales professional will follow up with the prospective student. In addition, we launch advertisements on varioius platforms, where we are able to obtain the contact information of our prospective students if they indicate interest in our courses. We then invite prospective students to join our online learning group and provide them with access to our trial courses. A prospective student that has signed up for our courses will be directed to our local enrollment centers to complete course purchase and registration with the assistance of our enrollment consultants. Our enrollment consultants are also responsible for providing counseling services to enrolling students and guiding them through the payment process. Our students can also choose to complete the purchase and enrollment process entirely online.</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Infrastructure and Capabilities</w:t>
      </w:r>
    </w:p>
    <w:p>
      <w:pPr>
        <w:spacing w:after="0" w:line="107" w:lineRule="exact"/>
        <w:rPr>
          <w:sz w:val="20"/>
          <w:szCs w:val="20"/>
          <w:color w:val="auto"/>
        </w:rPr>
      </w:pPr>
    </w:p>
    <w:p>
      <w:pPr>
        <w:ind w:right="40" w:firstLine="547"/>
        <w:spacing w:after="0" w:line="332" w:lineRule="auto"/>
        <w:rPr>
          <w:sz w:val="20"/>
          <w:szCs w:val="20"/>
          <w:color w:val="auto"/>
        </w:rPr>
      </w:pPr>
      <w:r>
        <w:rPr>
          <w:rFonts w:ascii="Arial" w:cs="Arial" w:eastAsia="Arial" w:hAnsi="Arial"/>
          <w:sz w:val="15"/>
          <w:szCs w:val="15"/>
          <w:color w:val="auto"/>
        </w:rPr>
        <w:t>We devote significant resources to maintaining a reliable, scalable and secure IT infrastructure. We have built our integrated IT infrastructure primarily based on tools, technologies and platforms that we have developed in-house and, to a lesser extent, third-party software and applications that we have licensed or purchased.</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maintain a dedicated IT development and support team. As of December 31, 2020, we had 324 technology development personnel.</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Genesis</w:t>
      </w:r>
    </w:p>
    <w:p>
      <w:pPr>
        <w:spacing w:after="0" w:line="103" w:lineRule="exact"/>
        <w:rPr>
          <w:sz w:val="20"/>
          <w:szCs w:val="20"/>
          <w:color w:val="auto"/>
        </w:rPr>
      </w:pPr>
    </w:p>
    <w:p>
      <w:pPr>
        <w:ind w:right="420" w:firstLine="547"/>
        <w:spacing w:after="0" w:line="254" w:lineRule="auto"/>
        <w:rPr>
          <w:sz w:val="20"/>
          <w:szCs w:val="20"/>
          <w:color w:val="auto"/>
        </w:rPr>
      </w:pPr>
      <w:r>
        <w:rPr>
          <w:rFonts w:ascii="Arial" w:cs="Arial" w:eastAsia="Arial" w:hAnsi="Arial"/>
          <w:sz w:val="17"/>
          <w:szCs w:val="17"/>
          <w:color w:val="auto"/>
        </w:rPr>
        <w:t>Our IT infrastructure is critical to supporting our pursuit of excellent student experience and optimal operating efficiency. We have developed Genesis, our proprietary integrated IT infrastructure, to support and connect our students and employees during every major aspect of our business operations, encompassing marketing, sales, course delivery and development, and operation management.</w:t>
      </w:r>
    </w:p>
    <w:p>
      <w:pPr>
        <w:spacing w:after="0" w:line="177" w:lineRule="exact"/>
        <w:rPr>
          <w:sz w:val="20"/>
          <w:szCs w:val="20"/>
          <w:color w:val="auto"/>
        </w:rPr>
      </w:pPr>
    </w:p>
    <w:p>
      <w:pPr>
        <w:ind w:right="480" w:firstLine="547"/>
        <w:spacing w:after="0" w:line="264" w:lineRule="auto"/>
        <w:rPr>
          <w:sz w:val="20"/>
          <w:szCs w:val="20"/>
          <w:color w:val="auto"/>
        </w:rPr>
      </w:pPr>
      <w:r>
        <w:rPr>
          <w:rFonts w:ascii="Arial" w:cs="Arial" w:eastAsia="Arial" w:hAnsi="Arial"/>
          <w:sz w:val="17"/>
          <w:szCs w:val="17"/>
          <w:color w:val="auto"/>
        </w:rPr>
        <w:t>Powering various services and functions, including information and data transmission and sharing, centralized data tracking and data analytics, Genesis is composed of both student interface and employee interface. For one thing, the student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1" w:name="page52"/>
    <w:bookmarkEnd w:id="51"/>
    <w:p>
      <w:pPr>
        <w:ind w:right="220"/>
        <w:spacing w:after="0" w:line="269" w:lineRule="auto"/>
        <w:rPr>
          <w:sz w:val="20"/>
          <w:szCs w:val="20"/>
          <w:color w:val="auto"/>
        </w:rPr>
      </w:pPr>
      <w:r>
        <w:rPr>
          <w:rFonts w:ascii="Arial" w:cs="Arial" w:eastAsia="Arial" w:hAnsi="Arial"/>
          <w:sz w:val="16"/>
          <w:szCs w:val="16"/>
          <w:color w:val="auto"/>
        </w:rPr>
        <w:t>interface supports applications and platforms that enable our students to enroll in courses, attend classes, access educational content, interact within our virtual community, and engage in other learning activities throughout their service periods; for another thing, Genesis also incorporates different subsets of functions used by our employees, ranging from our teachers and mentors to our marketing and sales personnel. The employee interface is specifically customized to provide our employees with information and data most relevant to their responsibilities. In addition</w:t>
      </w:r>
      <w:r>
        <w:rPr>
          <w:rFonts w:ascii="Arial" w:cs="Arial" w:eastAsia="Arial" w:hAnsi="Arial"/>
          <w:sz w:val="16"/>
          <w:szCs w:val="16"/>
          <w:i w:val="1"/>
          <w:iCs w:val="1"/>
          <w:color w:val="auto"/>
        </w:rPr>
        <w:t>,</w:t>
      </w:r>
      <w:r>
        <w:rPr>
          <w:rFonts w:ascii="Arial" w:cs="Arial" w:eastAsia="Arial" w:hAnsi="Arial"/>
          <w:sz w:val="16"/>
          <w:szCs w:val="16"/>
          <w:color w:val="auto"/>
        </w:rPr>
        <w:t xml:space="preserve"> Genesis supports a centralized database allowing its users, including our students and employees, to contribute, share and store content and data across our various applications and platforms.</w:t>
      </w:r>
    </w:p>
    <w:p>
      <w:pPr>
        <w:spacing w:after="0" w:line="165" w:lineRule="exact"/>
        <w:rPr>
          <w:sz w:val="20"/>
          <w:szCs w:val="20"/>
          <w:color w:val="auto"/>
        </w:rPr>
      </w:pPr>
    </w:p>
    <w:p>
      <w:pPr>
        <w:ind w:right="40" w:firstLine="547"/>
        <w:spacing w:after="0" w:line="278" w:lineRule="auto"/>
        <w:rPr>
          <w:sz w:val="20"/>
          <w:szCs w:val="20"/>
          <w:color w:val="auto"/>
        </w:rPr>
      </w:pPr>
      <w:r>
        <w:rPr>
          <w:rFonts w:ascii="Arial" w:cs="Arial" w:eastAsia="Arial" w:hAnsi="Arial"/>
          <w:sz w:val="16"/>
          <w:szCs w:val="16"/>
          <w:color w:val="auto"/>
        </w:rPr>
        <w:t>We launched our AI-powered personalized study programs in 2018. This AI-powered software, developed in-house, uses machine learning and natural language processing technology to analyze student behavior and their level of understanding of specific courses. Based on this analysis, we are able to predict test results, with a high accuracy rate, and develop tailor-made learning solutions that are designed to improve study outcomes.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Mobile Platforms</w:t>
      </w:r>
    </w:p>
    <w:p>
      <w:pPr>
        <w:spacing w:after="0" w:line="103" w:lineRule="exact"/>
        <w:rPr>
          <w:sz w:val="20"/>
          <w:szCs w:val="20"/>
          <w:color w:val="auto"/>
        </w:rPr>
      </w:pPr>
    </w:p>
    <w:p>
      <w:pPr>
        <w:ind w:right="20" w:firstLine="547"/>
        <w:spacing w:after="0" w:line="269" w:lineRule="auto"/>
        <w:rPr>
          <w:sz w:val="20"/>
          <w:szCs w:val="20"/>
          <w:color w:val="auto"/>
        </w:rPr>
      </w:pPr>
      <w:r>
        <w:rPr>
          <w:rFonts w:ascii="Arial" w:cs="Arial" w:eastAsia="Arial" w:hAnsi="Arial"/>
          <w:sz w:val="16"/>
          <w:szCs w:val="16"/>
          <w:color w:val="auto"/>
        </w:rPr>
        <w:t xml:space="preserve">We are one of the first movers in China’s education sector to deliver interactive education services via mobile platforms, which has enabled students to learn and connect with fellow students and faculty in a more efficient and flexible manner. Our </w:t>
      </w:r>
      <w:r>
        <w:rPr>
          <w:rFonts w:ascii="Arial" w:cs="Arial" w:eastAsia="Arial" w:hAnsi="Arial"/>
          <w:sz w:val="16"/>
          <w:szCs w:val="16"/>
          <w:i w:val="1"/>
          <w:iCs w:val="1"/>
          <w:color w:val="auto"/>
        </w:rPr>
        <w:t>Sunlands</w:t>
      </w:r>
      <w:r>
        <w:rPr>
          <w:rFonts w:ascii="Arial" w:cs="Arial" w:eastAsia="Arial" w:hAnsi="Arial"/>
          <w:sz w:val="16"/>
          <w:szCs w:val="16"/>
          <w:color w:val="auto"/>
        </w:rPr>
        <w:t xml:space="preserve"> mobile app, available on both iOS and Android, is built with a clear and functional interface that enables access to our course and educational content offerings and our virtual learning community. We have also built mobile WAP pages which allow our students and faculty to enjoy a similar level of functionality as our mobile app without installation. In January 2019, we launched </w:t>
      </w:r>
      <w:r>
        <w:rPr>
          <w:rFonts w:ascii="Arial" w:cs="Arial" w:eastAsia="Arial" w:hAnsi="Arial"/>
          <w:sz w:val="16"/>
          <w:szCs w:val="16"/>
          <w:i w:val="1"/>
          <w:iCs w:val="1"/>
          <w:color w:val="auto"/>
        </w:rPr>
        <w:t>Sunlands Speed Edition</w:t>
      </w:r>
      <w:r>
        <w:rPr>
          <w:rFonts w:ascii="Arial" w:cs="Arial" w:eastAsia="Arial" w:hAnsi="Arial"/>
          <w:sz w:val="16"/>
          <w:szCs w:val="16"/>
          <w:color w:val="auto"/>
        </w:rPr>
        <w:t>, a mobile app offering free courses in a variety of subjects and areas to engage a broad range of learners.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Tuition and Fees</w:t>
      </w:r>
    </w:p>
    <w:p>
      <w:pPr>
        <w:spacing w:after="0" w:line="107" w:lineRule="exact"/>
        <w:rPr>
          <w:sz w:val="20"/>
          <w:szCs w:val="20"/>
          <w:color w:val="auto"/>
        </w:rPr>
      </w:pPr>
    </w:p>
    <w:p>
      <w:pPr>
        <w:ind w:right="180" w:firstLine="547"/>
        <w:spacing w:after="0" w:line="370" w:lineRule="auto"/>
        <w:rPr>
          <w:sz w:val="20"/>
          <w:szCs w:val="20"/>
          <w:color w:val="auto"/>
        </w:rPr>
      </w:pPr>
      <w:r>
        <w:rPr>
          <w:rFonts w:ascii="Arial" w:cs="Arial" w:eastAsia="Arial" w:hAnsi="Arial"/>
          <w:sz w:val="13"/>
          <w:szCs w:val="13"/>
          <w:color w:val="auto"/>
        </w:rPr>
        <w:t>Our tuition fees, including academic fees and registration fees, are charged generally on a per-program basis. From time to time, we offer tuition discounts under various marketing campaigns and promotions. For example, discounts may also be made available to students who purchase multiple courses at a time. We accept fee payments through major third-party online payment solutions in China, including Alipay, Union Pay and WeChat Pay, as well as bank transfers and credit cards.</w:t>
      </w:r>
    </w:p>
    <w:p>
      <w:pPr>
        <w:spacing w:after="0" w:line="106" w:lineRule="exact"/>
        <w:rPr>
          <w:sz w:val="20"/>
          <w:szCs w:val="20"/>
          <w:color w:val="auto"/>
        </w:rPr>
      </w:pPr>
    </w:p>
    <w:p>
      <w:pPr>
        <w:ind w:right="140" w:firstLine="547"/>
        <w:spacing w:after="0" w:line="264" w:lineRule="auto"/>
        <w:rPr>
          <w:sz w:val="20"/>
          <w:szCs w:val="20"/>
          <w:color w:val="auto"/>
        </w:rPr>
      </w:pPr>
      <w:r>
        <w:rPr>
          <w:rFonts w:ascii="Arial" w:cs="Arial" w:eastAsia="Arial" w:hAnsi="Arial"/>
          <w:sz w:val="17"/>
          <w:szCs w:val="17"/>
          <w:color w:val="auto"/>
        </w:rPr>
        <w:t>Students typically self-finance their education or obtain financing from third-party financing programs that cooperate with us. We currently offer the following two payment options to our students:</w:t>
      </w:r>
    </w:p>
    <w:p>
      <w:pPr>
        <w:spacing w:after="0" w:line="68" w:lineRule="exact"/>
        <w:rPr>
          <w:sz w:val="20"/>
          <w:szCs w:val="20"/>
          <w:color w:val="auto"/>
        </w:rPr>
      </w:pPr>
    </w:p>
    <w:p>
      <w:pPr>
        <w:ind w:left="1080" w:hanging="545"/>
        <w:spacing w:after="0" w:line="264"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Lump-sum prepayment option</w:t>
      </w:r>
      <w:r>
        <w:rPr>
          <w:rFonts w:ascii="Arial" w:cs="Arial" w:eastAsia="Arial" w:hAnsi="Arial"/>
          <w:sz w:val="17"/>
          <w:szCs w:val="17"/>
          <w:color w:val="auto"/>
        </w:rPr>
        <w:t>. Under a prepaid payment plan, a student is required to make a one-time, lump-sum payment of the tuition to us directly at</w:t>
      </w:r>
      <w:r>
        <w:rPr>
          <w:rFonts w:ascii="Arial" w:cs="Arial" w:eastAsia="Arial" w:hAnsi="Arial"/>
          <w:sz w:val="17"/>
          <w:szCs w:val="17"/>
          <w:i w:val="1"/>
          <w:iCs w:val="1"/>
          <w:color w:val="auto"/>
        </w:rPr>
        <w:t xml:space="preserve"> </w:t>
      </w:r>
      <w:r>
        <w:rPr>
          <w:rFonts w:ascii="Arial" w:cs="Arial" w:eastAsia="Arial" w:hAnsi="Arial"/>
          <w:sz w:val="17"/>
          <w:szCs w:val="17"/>
          <w:color w:val="auto"/>
        </w:rPr>
        <w:t>the beginning of the academic period.</w:t>
      </w:r>
    </w:p>
    <w:p>
      <w:pPr>
        <w:spacing w:after="0" w:line="68" w:lineRule="exact"/>
        <w:rPr>
          <w:rFonts w:ascii="Arial" w:cs="Arial" w:eastAsia="Arial" w:hAnsi="Arial"/>
          <w:sz w:val="17"/>
          <w:szCs w:val="17"/>
          <w:color w:val="auto"/>
        </w:rPr>
      </w:pPr>
    </w:p>
    <w:p>
      <w:pPr>
        <w:ind w:left="1080" w:hanging="545"/>
        <w:spacing w:after="0" w:line="282"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Installment payment plan</w:t>
      </w:r>
      <w:r>
        <w:rPr>
          <w:rFonts w:ascii="Arial" w:cs="Arial" w:eastAsia="Arial" w:hAnsi="Arial"/>
          <w:sz w:val="15"/>
          <w:szCs w:val="15"/>
          <w:color w:val="auto"/>
        </w:rPr>
        <w:t>. We offer an installment payment option that enables eligible students to obtain loans from accredited credit providers in China</w:t>
      </w:r>
      <w:r>
        <w:rPr>
          <w:rFonts w:ascii="Arial" w:cs="Arial" w:eastAsia="Arial" w:hAnsi="Arial"/>
          <w:sz w:val="15"/>
          <w:szCs w:val="15"/>
          <w:i w:val="1"/>
          <w:iCs w:val="1"/>
          <w:color w:val="auto"/>
        </w:rPr>
        <w:t xml:space="preserve"> </w:t>
      </w:r>
      <w:r>
        <w:rPr>
          <w:rFonts w:ascii="Arial" w:cs="Arial" w:eastAsia="Arial" w:hAnsi="Arial"/>
          <w:sz w:val="15"/>
          <w:szCs w:val="15"/>
          <w:color w:val="auto"/>
        </w:rPr>
        <w:t>to finance all or part of their tuition. The credit providers perform credit assessment, approve loan applications, provide the funds and collect delinquent payments. Once a student’s loan application is approved by the credit provider, the tuition will be fully paid to us by such credit provider. We also partner with credit intermediaries, who connect our students with credit providers. Under the loan agreement between the borrowing student and the lending credit provider, the borrowing student is required to repay the loan principal in installments over a period generally ranging from three to 18 months. Under the cooperation agreement between us and each credit provider, we are responsible for making interest payments under a student loan to the lending credit provider. Interest payments and service fees are recorded as a reduction to the total contractual tuition price. We generally do not guarantee the payment of the loan principal by the students. See “Item 3. Key Information—3.D. Risk Factors—Risk Factors—Risks Related to Our Business—We may face risks associated with the installment tuition payment plan we offer to our students.” In 2018, 2019 and 2020, our student loan coverage ratios were 78.3% and 70.4% and 54.9%, respectively. During the same periods, we made interest payments of RMB159.9 million, RMB118.0 million and RMB83.3 million (US$12.8 million), respectively, to the credit providers.</w:t>
      </w:r>
    </w:p>
    <w:p>
      <w:pPr>
        <w:spacing w:after="0" w:line="162" w:lineRule="exact"/>
        <w:rPr>
          <w:sz w:val="20"/>
          <w:szCs w:val="20"/>
          <w:color w:val="auto"/>
        </w:rPr>
      </w:pPr>
    </w:p>
    <w:p>
      <w:pPr>
        <w:ind w:right="100" w:firstLine="547"/>
        <w:spacing w:after="0" w:line="248" w:lineRule="auto"/>
        <w:rPr>
          <w:sz w:val="20"/>
          <w:szCs w:val="20"/>
          <w:color w:val="auto"/>
        </w:rPr>
      </w:pPr>
      <w:r>
        <w:rPr>
          <w:rFonts w:ascii="Arial" w:cs="Arial" w:eastAsia="Arial" w:hAnsi="Arial"/>
          <w:sz w:val="17"/>
          <w:szCs w:val="17"/>
          <w:color w:val="auto"/>
        </w:rPr>
        <w:t>We generally offer students a full, unconditional refund within 24 hours upon enrollment. If a student requests a refund after taking at least one live streaming course lasting 30 minutes due to any material academic issue associated with our courses within certain refund period, we offer a refund excluding the registration fees and the fees of delivered courses upon our confirmation. In addition, we offer students a refund for the undelivered courses excluding the registration fees. Prior to June 2019, such refund was provided only within seven days upon enrollment while starting from June 2019, we offer such refund during the entire service period. When calculating gross billings for a specific period, we deduct the total amount of refunds from the total amount of cash received for the sale of course packages for such period.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Intellectual Property</w:t>
      </w:r>
    </w:p>
    <w:p>
      <w:pPr>
        <w:spacing w:after="0" w:line="107" w:lineRule="exact"/>
        <w:rPr>
          <w:sz w:val="20"/>
          <w:szCs w:val="20"/>
          <w:color w:val="auto"/>
        </w:rPr>
      </w:pPr>
    </w:p>
    <w:p>
      <w:pPr>
        <w:ind w:right="60" w:firstLine="547"/>
        <w:spacing w:after="0" w:line="269" w:lineRule="auto"/>
        <w:rPr>
          <w:sz w:val="20"/>
          <w:szCs w:val="20"/>
          <w:color w:val="auto"/>
        </w:rPr>
      </w:pPr>
      <w:r>
        <w:rPr>
          <w:rFonts w:ascii="Arial" w:cs="Arial" w:eastAsia="Arial" w:hAnsi="Arial"/>
          <w:sz w:val="16"/>
          <w:szCs w:val="16"/>
          <w:color w:val="auto"/>
        </w:rPr>
        <w:t>We rely on a combination of patent, copyright, trademark and trade secret laws and restrictions on disclosure to protect our intellectual property rights. We own copyrights to the educational content we developed in-house. We enter into standard employment agreements with our teachers, course development staff and other employees which provide that the intellectual property created by them in connection with their employment with us is our intellectual property. As of the date of this annual report, we have registered 44 trademarks with the Trademark Office of the PRC State Administration of Industry and Commerce, registered 100 software copyrights with the PRC State Copyright Bureau, and registered 273 domain names.</w:t>
      </w:r>
    </w:p>
    <w:p>
      <w:pPr>
        <w:spacing w:after="0" w:line="165" w:lineRule="exact"/>
        <w:rPr>
          <w:sz w:val="20"/>
          <w:szCs w:val="20"/>
          <w:color w:val="auto"/>
        </w:rPr>
      </w:pPr>
    </w:p>
    <w:p>
      <w:pPr>
        <w:ind w:firstLine="547"/>
        <w:spacing w:after="0" w:line="269" w:lineRule="auto"/>
        <w:rPr>
          <w:sz w:val="20"/>
          <w:szCs w:val="20"/>
          <w:color w:val="auto"/>
        </w:rPr>
      </w:pPr>
      <w:r>
        <w:rPr>
          <w:rFonts w:ascii="Arial" w:cs="Arial" w:eastAsia="Arial" w:hAnsi="Arial"/>
          <w:sz w:val="16"/>
          <w:szCs w:val="16"/>
          <w:color w:val="auto"/>
        </w:rPr>
        <w:t>Despite our efforts to protect ourselves from infringement or misappropriation of our intellectual property rights, unauthorized parties may attempt to copy or otherwise obtain and use our intellectual property. In the event of a successful claim of infringement and our failure or inability to develop non-infringing intellectual property or license the infringed or similar intellectual property on a timely basis, our business could be harmed. See “Item 3. Key Information—3.D. Risk Factors— Risk Factors—Risks Related to Our Business—We may from time to time be subject to infringement claims relating to intellectual properties of third parties.” and “—If we fail to protect our intellectual property rights, our brand and business may suffer.”</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7" w:lineRule="exact"/>
        <w:rPr>
          <w:sz w:val="20"/>
          <w:szCs w:val="20"/>
          <w:color w:val="auto"/>
        </w:rPr>
      </w:pPr>
    </w:p>
    <w:p>
      <w:pPr>
        <w:ind w:right="160" w:firstLine="547"/>
        <w:spacing w:after="0" w:line="370" w:lineRule="auto"/>
        <w:rPr>
          <w:sz w:val="20"/>
          <w:szCs w:val="20"/>
          <w:color w:val="auto"/>
        </w:rPr>
      </w:pPr>
      <w:r>
        <w:rPr>
          <w:rFonts w:ascii="Arial" w:cs="Arial" w:eastAsia="Arial" w:hAnsi="Arial"/>
          <w:sz w:val="13"/>
          <w:szCs w:val="13"/>
          <w:color w:val="auto"/>
        </w:rPr>
        <w:t>We primarily compete with offline, classroom-based education service providers. Additionally, we expect to face competition as a result of new entrants to the postsecondary and professional education market in China, including established education service providers that had not previously offered online education courses. We compete with our competitors for student enrollments and engagement, high-quality faculty members, sales and marketing effectiveness, among other things.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believe that the principal competitive factors in China’s post-secondary and professional education market include the following:</w:t>
      </w:r>
    </w:p>
    <w:p>
      <w:pPr>
        <w:spacing w:after="0" w:line="103" w:lineRule="exact"/>
        <w:rPr>
          <w:sz w:val="20"/>
          <w:szCs w:val="20"/>
          <w:color w:val="auto"/>
        </w:rPr>
      </w:pPr>
    </w:p>
    <w:p>
      <w:pPr>
        <w:ind w:left="1080" w:hanging="545"/>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brand awareness and reputation;</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scope of course offerings;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course pricing;</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interactive, engaging and customized learning experience;</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teaching quality and level of academic and administrative student support;</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ease of deployment and use of the course delivery format; and</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expertise in sales and marketing, and student acquisition and retention; and</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proven track record of performance.</w:t>
      </w:r>
    </w:p>
    <w:p>
      <w:pPr>
        <w:spacing w:after="0" w:line="203" w:lineRule="exact"/>
        <w:rPr>
          <w:sz w:val="20"/>
          <w:szCs w:val="20"/>
          <w:color w:val="auto"/>
        </w:rPr>
      </w:pPr>
    </w:p>
    <w:p>
      <w:pPr>
        <w:ind w:right="20" w:firstLine="547"/>
        <w:spacing w:after="0" w:line="283" w:lineRule="auto"/>
        <w:rPr>
          <w:sz w:val="20"/>
          <w:szCs w:val="20"/>
          <w:color w:val="auto"/>
        </w:rPr>
      </w:pPr>
      <w:r>
        <w:rPr>
          <w:rFonts w:ascii="Arial" w:cs="Arial" w:eastAsia="Arial" w:hAnsi="Arial"/>
          <w:sz w:val="15"/>
          <w:szCs w:val="15"/>
          <w:color w:val="auto"/>
        </w:rPr>
        <w:t>We believe we compete favorably on the basis of these factors. Our ability to remain competitive will depend, to a great extent, upon our ability to consistently deliver high-quality course offerings and acquire, support and retain students. Some of our present and future competitors may have longer operating histories, larger teams of teaching faculty and supporting staff and greater financial, technical, marketing and other resources. For a discussion of risks relating to competition, see “Item</w:t>
      </w:r>
    </w:p>
    <w:p>
      <w:pPr>
        <w:ind w:right="60"/>
        <w:spacing w:after="0" w:line="249" w:lineRule="auto"/>
        <w:tabs>
          <w:tab w:leader="none" w:pos="166" w:val="left"/>
        </w:tabs>
        <w:numPr>
          <w:ilvl w:val="0"/>
          <w:numId w:val="21"/>
        </w:numPr>
        <w:rPr>
          <w:rFonts w:ascii="Arial" w:cs="Arial" w:eastAsia="Arial" w:hAnsi="Arial"/>
          <w:sz w:val="17"/>
          <w:szCs w:val="17"/>
          <w:color w:val="auto"/>
        </w:rPr>
      </w:pPr>
      <w:r>
        <w:rPr>
          <w:rFonts w:ascii="Arial" w:cs="Arial" w:eastAsia="Arial" w:hAnsi="Arial"/>
          <w:sz w:val="17"/>
          <w:szCs w:val="17"/>
          <w:color w:val="auto"/>
        </w:rPr>
        <w:t>Key Information—3.D. Risk Factors—Risk Factors—Risks Related to Our Business—We face intense competition in our industry, which could divert student to our competitors, lead to pricing pressure and loss of market share, and significantly reduce our gross billings and net revenues.”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Insurance</w:t>
      </w:r>
    </w:p>
    <w:p>
      <w:pPr>
        <w:spacing w:after="0" w:line="107" w:lineRule="exact"/>
        <w:rPr>
          <w:sz w:val="20"/>
          <w:szCs w:val="20"/>
          <w:color w:val="auto"/>
        </w:rPr>
      </w:pPr>
    </w:p>
    <w:p>
      <w:pPr>
        <w:ind w:right="240" w:firstLine="547"/>
        <w:spacing w:after="0" w:line="254" w:lineRule="auto"/>
        <w:rPr>
          <w:sz w:val="20"/>
          <w:szCs w:val="20"/>
          <w:color w:val="auto"/>
        </w:rPr>
      </w:pPr>
      <w:r>
        <w:rPr>
          <w:rFonts w:ascii="Arial" w:cs="Arial" w:eastAsia="Arial" w:hAnsi="Arial"/>
          <w:sz w:val="17"/>
          <w:szCs w:val="17"/>
          <w:color w:val="auto"/>
        </w:rPr>
        <w:t>We do not maintain any liability insurance or property insurance policies covering students, equipment and facilities for injuries, death or losses due to fire, earthquake, flood or any other disaster. Consistent with customary industry practice in China, we do not maintain business interruption insurance, nor do we maintain key-man life insurance.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Relating to Foreign Investment Restrictions</w:t>
      </w:r>
    </w:p>
    <w:p>
      <w:pPr>
        <w:spacing w:after="0" w:line="107" w:lineRule="exact"/>
        <w:rPr>
          <w:sz w:val="20"/>
          <w:szCs w:val="20"/>
          <w:color w:val="auto"/>
        </w:rPr>
      </w:pPr>
    </w:p>
    <w:p>
      <w:pPr>
        <w:ind w:right="140" w:firstLine="547"/>
        <w:spacing w:after="0" w:line="249" w:lineRule="auto"/>
        <w:rPr>
          <w:sz w:val="20"/>
          <w:szCs w:val="20"/>
          <w:color w:val="auto"/>
        </w:rPr>
      </w:pPr>
      <w:r>
        <w:rPr>
          <w:rFonts w:ascii="Arial" w:cs="Arial" w:eastAsia="Arial" w:hAnsi="Arial"/>
          <w:sz w:val="17"/>
          <w:szCs w:val="17"/>
          <w:color w:val="auto"/>
        </w:rPr>
        <w:t>According to the latest Special Administrative Measures for the Entry of Investment (Negative List), or the Negative List, promulgated by the Ministry of Commerce, or MOFCOM and the National Development and Reform Commission, or NDRC, effective on July 23, 2020, foreign investors shall not engage in the prohibited activities listed in the Negative List. Pursuant to the latest Negative List, the provision of value-added telecommunications services falls in the category of restricted activities and, with a few exceptions, the percentage of foreign ownership cannot exceed 50% (except for e-commerce, domestic multi-party communication, store-and-forward and call center).</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PRC Foreign Investment Law</w:t>
      </w:r>
    </w:p>
    <w:p>
      <w:pPr>
        <w:spacing w:after="0" w:line="107" w:lineRule="exact"/>
        <w:rPr>
          <w:sz w:val="20"/>
          <w:szCs w:val="20"/>
          <w:color w:val="auto"/>
        </w:rPr>
      </w:pPr>
    </w:p>
    <w:p>
      <w:pPr>
        <w:ind w:firstLine="547"/>
        <w:spacing w:after="0" w:line="284" w:lineRule="auto"/>
        <w:rPr>
          <w:sz w:val="20"/>
          <w:szCs w:val="20"/>
          <w:color w:val="auto"/>
        </w:rPr>
      </w:pPr>
      <w:r>
        <w:rPr>
          <w:rFonts w:ascii="Arial" w:cs="Arial" w:eastAsia="Arial" w:hAnsi="Arial"/>
          <w:sz w:val="15"/>
          <w:szCs w:val="15"/>
          <w:color w:val="auto"/>
        </w:rPr>
        <w:t>On March 15, 2019, the Standing Committee of the National People’s Congress published the Foreign Investment Law, or the FIL, which became effective on January 1, 2020. The FIL is expected to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existing foreign-invested enterprises established prior to the effective of the FIL may keep their corporate forms within five years. Pursuant to the FIL, “foreign investors” means natural person, enterprise, or other organization of a foreign country, “foreign-invested enterprises” (FIEs) means any enterprise established under PRC law that is wholly or partially invested by foreign investors and “foreign investment” means any foreign investor’s direct or indirect investment in mainland China, including: (i) establishing FIEs in mainland China either individually or jointly with other investors; (ii) obtaining stock shares, stock equity, property shares, other similar interests in Chinese domestic enterprises; (iii) investing in new projects in mainland China either individually or jointly with other investors; and (iv) making investment through other means provided by laws, administrative regulations, or State Council provisions.</w:t>
      </w:r>
    </w:p>
    <w:p>
      <w:pPr>
        <w:spacing w:after="0" w:line="119" w:lineRule="exact"/>
        <w:rPr>
          <w:sz w:val="20"/>
          <w:szCs w:val="20"/>
          <w:color w:val="auto"/>
        </w:rPr>
      </w:pPr>
    </w:p>
    <w:p>
      <w:pPr>
        <w:ind w:right="20" w:firstLine="547"/>
        <w:spacing w:after="0" w:line="267" w:lineRule="auto"/>
        <w:rPr>
          <w:sz w:val="20"/>
          <w:szCs w:val="20"/>
          <w:color w:val="auto"/>
        </w:rPr>
      </w:pPr>
      <w:r>
        <w:rPr>
          <w:rFonts w:ascii="Arial" w:cs="Arial" w:eastAsia="Arial" w:hAnsi="Arial"/>
          <w:sz w:val="16"/>
          <w:szCs w:val="16"/>
          <w:color w:val="auto"/>
        </w:rPr>
        <w:t>The FIL stipulates that China implements the management system of pre-establishment national treatment plus a negative list to foreign investment and the government generally will not expropriate foreign investment, except under special circumstances, in which case it will provide fair and reasonable compensation to foreign investors. Foreign investors are barred from investing in prohibited industries on the negative list and must comply with the specified requirements when investing in restricted industries on that list. When a license is required to enter a certain industry, the foreign investor must apply for one, and the government must treat the application the same as one by a domestic enterprise, except where laws or regulations provide otherwise. In addition, foreign investors or FIEs are required to file information reports and foreign investment shall be subject to the national security review.</w:t>
      </w:r>
    </w:p>
    <w:p>
      <w:pPr>
        <w:spacing w:after="0" w:line="142" w:lineRule="exact"/>
        <w:rPr>
          <w:sz w:val="20"/>
          <w:szCs w:val="20"/>
          <w:color w:val="auto"/>
        </w:rPr>
      </w:pPr>
    </w:p>
    <w:p>
      <w:pPr>
        <w:ind w:right="20" w:firstLine="547"/>
        <w:spacing w:after="0" w:line="288" w:lineRule="auto"/>
        <w:rPr>
          <w:sz w:val="20"/>
          <w:szCs w:val="20"/>
          <w:color w:val="auto"/>
        </w:rPr>
      </w:pPr>
      <w:r>
        <w:rPr>
          <w:rFonts w:ascii="Arial" w:cs="Arial" w:eastAsia="Arial" w:hAnsi="Arial"/>
          <w:sz w:val="15"/>
          <w:szCs w:val="15"/>
          <w:color w:val="auto"/>
        </w:rPr>
        <w:t>On December 26, 2019, the State Council published the Implementation Rules of Foreign Investment Law, which came into effect on January 1, 2020. The Implementation Rules of Foreign Investment Law restates certain principles of the FIL and further provides, among others, (i) an FIE’s investment within the territory of PRC is also subject to the FIL and the Implementation Rules of Foreign Investment Law; (ii) an FIE may, within five years following January 1, 2020, choose to amend its legal form or the corporate governance and complete amendment registration, or to keep its original legal form or the corporate governance; (iii) the provisions regarding the transfer of equity interests, distribution of profits and remaining assets as stipulated in the contracts among the joint venture parties of an existing FIE may survive the FIL after such FIE amends its legal form or the corporate governance in accordance with relevant applicable laws.</w:t>
      </w:r>
    </w:p>
    <w:p>
      <w:pPr>
        <w:spacing w:after="0" w:line="116" w:lineRule="exact"/>
        <w:rPr>
          <w:sz w:val="20"/>
          <w:szCs w:val="20"/>
          <w:color w:val="auto"/>
        </w:rPr>
      </w:pPr>
    </w:p>
    <w:p>
      <w:pPr>
        <w:ind w:right="20" w:firstLine="547"/>
        <w:spacing w:after="0" w:line="340" w:lineRule="auto"/>
        <w:rPr>
          <w:sz w:val="20"/>
          <w:szCs w:val="20"/>
          <w:color w:val="auto"/>
        </w:rPr>
      </w:pPr>
      <w:r>
        <w:rPr>
          <w:rFonts w:ascii="Arial" w:cs="Arial" w:eastAsia="Arial" w:hAnsi="Arial"/>
          <w:sz w:val="13"/>
          <w:szCs w:val="13"/>
          <w:color w:val="auto"/>
        </w:rPr>
        <w:t>On December 30, 2019, MOFCOM and the SAMR, jointly issued the Measures for Reporting of Foreign Investment Information, which came into effect on January 1, 2020. Since January 1, 2020, for foreign investors carrying out investment activities directly or indirectly in the PRC, foreign investors or foreign-invested enterprises shall submit investment information through certain system operated by SAMR. Foreign investors or foreign-invested enterprises shall disclose their investment information by submitting reports for their establishments, modifications and cancellations and their annual reports. If a foreign-invested enterprise investing in the PRC has finished submitting its reports for its establishment, modifications and cancellation and its annual reports, the relevant information will be shared by the competent market regulation department to the competent commercial department, and does not require such foreign-invested enterprise to submit the reports separately.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Regulation Relating to Value-added Telecommunications Services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Licenses for Value-Added Telecommunications Services</w:t>
      </w:r>
    </w:p>
    <w:p>
      <w:pPr>
        <w:spacing w:after="0" w:line="103" w:lineRule="exact"/>
        <w:rPr>
          <w:sz w:val="20"/>
          <w:szCs w:val="20"/>
          <w:color w:val="auto"/>
        </w:rPr>
      </w:pPr>
    </w:p>
    <w:p>
      <w:pPr>
        <w:ind w:firstLine="547"/>
        <w:spacing w:after="0" w:line="286" w:lineRule="auto"/>
        <w:rPr>
          <w:sz w:val="20"/>
          <w:szCs w:val="20"/>
          <w:color w:val="auto"/>
        </w:rPr>
      </w:pPr>
      <w:r>
        <w:rPr>
          <w:rFonts w:ascii="Arial" w:cs="Arial" w:eastAsia="Arial" w:hAnsi="Arial"/>
          <w:sz w:val="15"/>
          <w:szCs w:val="15"/>
          <w:color w:val="auto"/>
        </w:rPr>
        <w:t>The PRC Regulations on Telecommunications, or the Telecommunications Regulations, which was latest amended and came into effect on February 6, 2016, regulate telecommunications activities in China. The Telecommunications Regulations divide the telecommunications services into two categories, namely “infrastructure telecommunications services” and “value-added telecommunications services.” Pursuant to the Telecommunications Regulations, operators of value-added telecommunications services must first obtain a Value-added Telecommunications Business Operating License, or VAT License, from the Ministry of Industry and Information Technology, or MIIT, or its provincial level counterparts. On July 3, 2017, the MIIT promulgated the Administrative Measures on Telecommunications Business Operating Licenses, which set forth more specific provisions regarding the types of licenses required to operate value-added telecommunications services, the qualifications and procedures for obtaining such licenses and the administration and supervision of such licenses.</w:t>
      </w:r>
    </w:p>
    <w:p>
      <w:pPr>
        <w:spacing w:after="0" w:line="156" w:lineRule="exact"/>
        <w:rPr>
          <w:sz w:val="20"/>
          <w:szCs w:val="20"/>
          <w:color w:val="auto"/>
        </w:rPr>
      </w:pPr>
    </w:p>
    <w:p>
      <w:pPr>
        <w:ind w:firstLine="547"/>
        <w:spacing w:after="0" w:line="263" w:lineRule="auto"/>
        <w:rPr>
          <w:sz w:val="20"/>
          <w:szCs w:val="20"/>
          <w:color w:val="auto"/>
        </w:rPr>
      </w:pPr>
      <w:r>
        <w:rPr>
          <w:rFonts w:ascii="Arial" w:cs="Arial" w:eastAsia="Arial" w:hAnsi="Arial"/>
          <w:sz w:val="16"/>
          <w:szCs w:val="16"/>
          <w:color w:val="auto"/>
        </w:rPr>
        <w:t>According to the Catalog of Classification of Telecommunication Businesses, or the 2016 MIIT Catalog, which published by MIIT on December 28, 2015 and took effect on March 1, 2016 and were amended on June 6, 2019, internet information services, which include information release and delivery services, information search and query services, information community platform services, information real-times interactive services, and information protection and processing services, are classified as a category of value-added telecommunication services. The Administrative Measures on Internet Information Services, or ICP Measures, also promulgated by the PRC State Council on September 25, 2000 and most recently amended on January 8, 2011, set forth more specific rules on the provision of ICP services. According to ICP Measures, any company that engages in the provision of commercial ICP services shall obtain a sub-category VAT License for Internet Information Services, or ICP License, from the relevant government authorities before providing any commercial internet content services within the PRC, and when the ICP services involve areas of news, publication, education, medical treatment, health, pharmaceuticals and medical equipment, and if required by law or relevant regulations, specific approval from the respective regulatory authorities must be obtained prior to applying for the ICP License from the MIIT or its provincial level counterpart. Pursuant to the above-mentioned regulations, “commercial ICP services” generally refers to provision of specific information content, online advertising, web page construction and other online application services through internet for profit making purpose. Operating our online platform to provide information and services to our students is classified as commercial ICP services.</w:t>
      </w:r>
    </w:p>
    <w:p>
      <w:pPr>
        <w:spacing w:after="0" w:line="172" w:lineRule="exact"/>
        <w:rPr>
          <w:sz w:val="20"/>
          <w:szCs w:val="20"/>
          <w:color w:val="auto"/>
        </w:rPr>
      </w:pPr>
    </w:p>
    <w:p>
      <w:pPr>
        <w:ind w:right="140" w:firstLine="547"/>
        <w:spacing w:after="0" w:line="266" w:lineRule="auto"/>
        <w:rPr>
          <w:sz w:val="20"/>
          <w:szCs w:val="20"/>
          <w:color w:val="auto"/>
        </w:rPr>
      </w:pPr>
      <w:r>
        <w:rPr>
          <w:rFonts w:ascii="Arial" w:cs="Arial" w:eastAsia="Arial" w:hAnsi="Arial"/>
          <w:sz w:val="16"/>
          <w:szCs w:val="16"/>
          <w:color w:val="auto"/>
        </w:rPr>
        <w:t>In addition to the Telecommunications Regulations and the other regulations set forth above, the provision of commercial internet information services on mobile internet apps is regulated by the Administrative Provisions on Mobile Internet Applications Information Services, which was promulgated by the Cyberspace Administration of China, or the CAC, on June 28, 2016 and came into effect on August 1, 2016. The providers of mobile internet applications are subject to requirements under these provisions, including acquiring the qualifications and complying with other requirements provided by laws and regulations and being responsible for information security. We currently, through Beijing Sunlands, our PRC consolidated VIE, and its wholly owned subsidiary, Beijing Shangren Chongye Education Technology Co., Ltd., or Shangren Chongye, respectively, hold an ICP License. The ICP License of Beijing Sunlands is valid until July 2, 2024 and the ICP License of Shangren Chongye, is valid until April 2, 2025.</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Investment in Value-Added Telecommunication Services</w:t>
      </w:r>
    </w:p>
    <w:p>
      <w:pPr>
        <w:spacing w:after="0" w:line="103" w:lineRule="exact"/>
        <w:rPr>
          <w:sz w:val="20"/>
          <w:szCs w:val="20"/>
          <w:color w:val="auto"/>
        </w:rPr>
      </w:pPr>
    </w:p>
    <w:p>
      <w:pPr>
        <w:ind w:right="200" w:firstLine="547"/>
        <w:spacing w:after="0" w:line="291" w:lineRule="auto"/>
        <w:rPr>
          <w:sz w:val="20"/>
          <w:szCs w:val="20"/>
          <w:color w:val="auto"/>
        </w:rPr>
      </w:pPr>
      <w:r>
        <w:rPr>
          <w:rFonts w:ascii="Arial" w:cs="Arial" w:eastAsia="Arial" w:hAnsi="Arial"/>
          <w:sz w:val="15"/>
          <w:szCs w:val="15"/>
          <w:color w:val="auto"/>
        </w:rPr>
        <w:t>The Regulations on Administration of Foreign-Invested Telecommunications Enterprises, or the FITE Regulations, which took effect on January 1, 2002 and latest amended on February 6, 2016, are the key regulations that regulate foreign direct investment in telecommunications companies in China. The FITE Regulations stipulate that, except as otherwise provided by MIIT, the foreign investor of a telecommunications enterprise is prohibited from holding more than 50% of the equity interest in a foreign-invested enterprise that provides value-added telecommunications services. In addition, for a foreign investor to acquire any equity interest in a business providing value-added telecommunications services in China, it must demonstrate a positive track record and experience in providing such services.</w:t>
      </w:r>
    </w:p>
    <w:p>
      <w:pPr>
        <w:spacing w:after="0" w:line="150" w:lineRule="exact"/>
        <w:rPr>
          <w:sz w:val="20"/>
          <w:szCs w:val="20"/>
          <w:color w:val="auto"/>
        </w:rPr>
      </w:pPr>
    </w:p>
    <w:p>
      <w:pPr>
        <w:ind w:right="40" w:firstLine="547"/>
        <w:spacing w:after="0" w:line="286" w:lineRule="auto"/>
        <w:rPr>
          <w:sz w:val="20"/>
          <w:szCs w:val="20"/>
          <w:color w:val="auto"/>
        </w:rPr>
      </w:pPr>
      <w:r>
        <w:rPr>
          <w:rFonts w:ascii="Arial" w:cs="Arial" w:eastAsia="Arial" w:hAnsi="Arial"/>
          <w:sz w:val="15"/>
          <w:szCs w:val="15"/>
          <w:color w:val="auto"/>
        </w:rPr>
        <w:t>On July 13, 2006, the MIIT issued the Circular on Strengthening the Administration of Foreign Investment in Value-added Telecommunications Services, or the MIIT Circular 2006, which requires that (i) foreign investors can only operate a telecommunications business in China through establishing a telecommunications enterprise with a valid telecommunications business operation license; (ii) domestic license holders are prohibited from leasing, transferring or selling telecommunications business operation licenses to foreign investors in any form, or providing any resource, sites or facilities to foreign investors to facilitate the unlicensed operation of telecommunications business in China; (iii) value-added telecommunications services providers or their shareholders must directly own the domain names and registered trademarks they use in their daily operations; (iv) each value-added telecommunications services provider must have the necessary facilities for its approved business operations and maintain such facilities in the geographic regions covered by its license;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55" w:name="page56"/>
    <w:bookmarkEnd w:id="55"/>
    <w:p>
      <w:pPr>
        <w:ind w:right="20"/>
        <w:spacing w:after="0" w:line="282" w:lineRule="auto"/>
        <w:rPr>
          <w:sz w:val="20"/>
          <w:szCs w:val="20"/>
          <w:color w:val="auto"/>
        </w:rPr>
      </w:pPr>
      <w:r>
        <w:rPr>
          <w:rFonts w:ascii="Arial" w:cs="Arial" w:eastAsia="Arial" w:hAnsi="Arial"/>
          <w:sz w:val="15"/>
          <w:szCs w:val="15"/>
          <w:color w:val="auto"/>
        </w:rPr>
        <w:t>and all value-added telecommunications services providers should improve network and information security, enact relevant information safety administration regulations and set up emergency plans to ensure network and information safety. The provincial communications administration bureaus, as local authorities in charge of regulating telecommunications services, (i) are required to ensure that existing qualified value-added telecommunications service providers will conduct a self-assessment of their compliance with the MIIT Circular 2006 and submit status reports to the MIIT before November 1, 2006; and (ii) may revoke the value-added telecommunications business operation licenses of those that fail to comply with the above requirements or fail to rectify such noncompliance within specified time limits. Due to the lack of any additional interpretation from the regulatory authorities, it remains unclear what impact MIIT Circular 2006 will have on us or the other PRC internet companies with similar corporate and contractual structures. After the MOFCOM and NDRC amended the Catalog in March 2015, MIIT also issued the Circular on Removing the Restrictions on Shareholding Ratio Held by Foreign Investors in Online Data Processing and Transaction Processing (Operating E-commerce) Business on June 19, 2015, which amended the relevant provision in FITE Regulations by allowing foreign investors to own more than 50% of the equity interest in an operator of e-commerce business. However, foreign investors continue to be prohibited from holding more than 50% of the equity interest in a provider of other categories of value-added telecommunications services except for e-commerce, domestic multi-party communication, store-and-forward, and call center.</w:t>
      </w:r>
    </w:p>
    <w:p>
      <w:pPr>
        <w:spacing w:after="0" w:line="162" w:lineRule="exact"/>
        <w:rPr>
          <w:sz w:val="20"/>
          <w:szCs w:val="20"/>
          <w:color w:val="auto"/>
        </w:rPr>
      </w:pPr>
    </w:p>
    <w:p>
      <w:pPr>
        <w:ind w:right="60" w:firstLine="547"/>
        <w:spacing w:after="0" w:line="265" w:lineRule="auto"/>
        <w:rPr>
          <w:sz w:val="20"/>
          <w:szCs w:val="20"/>
          <w:color w:val="auto"/>
        </w:rPr>
      </w:pPr>
      <w:r>
        <w:rPr>
          <w:rFonts w:ascii="Arial" w:cs="Arial" w:eastAsia="Arial" w:hAnsi="Arial"/>
          <w:sz w:val="16"/>
          <w:szCs w:val="16"/>
          <w:color w:val="auto"/>
        </w:rPr>
        <w:t>To comply with the above-mentioned foreign ownership restrictions, we operate our online platform in China through Beijing Sunlands and its wholly owned subsidiary, Shangren Chongye, all of the shareholders of Beijing Sunlands are PRC domestically funded entities, and Beijing Sunlands is controlled by Wuhan Zhibo, our PRC subsidiary, through a series of contractual arrangements. Beijing Sunlands and Shangren Chongye are the holders of the domain names, trademarks and facilities necessary for daily operations of our online platforms in compliance with the MIIT Circular 2006. Based on our PRC legal counsel’s understanding of the current PRC law, rules and regulations, the contractual arrangements among Wuhan Zhibo, Beijing Sunlands and its shareholders and subsidiaries are valid, binding and enforceable under current PRC law. However, we were further advised by our PRC legal counsel that there are substantial uncertainties with respect to the interpretation and application of existing or future PRC laws and regulations and thus there is no assurance that Chinese governmental authorities would take a view consistent with the opinions of our PRC legal counsel.</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Relating to Private Education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 Law of the PRC</w:t>
      </w:r>
    </w:p>
    <w:p>
      <w:pPr>
        <w:spacing w:after="0" w:line="103" w:lineRule="exact"/>
        <w:rPr>
          <w:sz w:val="20"/>
          <w:szCs w:val="20"/>
          <w:color w:val="auto"/>
        </w:rPr>
      </w:pPr>
    </w:p>
    <w:p>
      <w:pPr>
        <w:ind w:firstLine="547"/>
        <w:spacing w:after="0" w:line="266" w:lineRule="auto"/>
        <w:rPr>
          <w:sz w:val="20"/>
          <w:szCs w:val="20"/>
          <w:color w:val="auto"/>
        </w:rPr>
      </w:pPr>
      <w:r>
        <w:rPr>
          <w:rFonts w:ascii="Arial" w:cs="Arial" w:eastAsia="Arial" w:hAnsi="Arial"/>
          <w:sz w:val="16"/>
          <w:szCs w:val="16"/>
          <w:color w:val="auto"/>
        </w:rPr>
        <w:t>On March 18, 1995, the PRC National People’s Congress promulgated the Education Law of the PRC, or the Education Law, which was further amended on August 27, 2009 and on December 29, 2018, stipulates that the government formulates plans for the development of education, establishes and operates schools and other types of educational institutions, and in principle, enterprises, institutions, social organizations and individuals are encouraged to operate schools and other types of educational organizations. Comparing to the version of Education Laws that was amended and came into effect on 2009, which provided that no organization or individual may establish or operate a school or any other educational institution for commercial purposes, the current Education Law narrowed the provision prohibiting the establishment or operation of schools or other educational institutions for commercial purposes to only restricting a school or other educational institution founded with governmental funds or donated assets in the amended Education Law.</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Law for Promoting Private Education and its Implementing Rules</w:t>
      </w:r>
    </w:p>
    <w:p>
      <w:pPr>
        <w:spacing w:after="0" w:line="103" w:lineRule="exact"/>
        <w:rPr>
          <w:sz w:val="20"/>
          <w:szCs w:val="20"/>
          <w:color w:val="auto"/>
        </w:rPr>
      </w:pPr>
    </w:p>
    <w:p>
      <w:pPr>
        <w:ind w:right="840" w:firstLine="547"/>
        <w:spacing w:after="0" w:line="332" w:lineRule="auto"/>
        <w:rPr>
          <w:sz w:val="20"/>
          <w:szCs w:val="20"/>
          <w:color w:val="auto"/>
        </w:rPr>
      </w:pPr>
      <w:r>
        <w:rPr>
          <w:rFonts w:ascii="Arial" w:cs="Arial" w:eastAsia="Arial" w:hAnsi="Arial"/>
          <w:sz w:val="15"/>
          <w:szCs w:val="15"/>
          <w:color w:val="auto"/>
        </w:rPr>
        <w:t>The Law for Promoting Private Education of the PRC became effective on September 1, 2003 and was last amended on December 29, 2018, and the Implementation Rules for the Law for Promoting Private Education, or PE Implementation Rules of the PRC became effective on April 1, 2004.</w:t>
      </w:r>
    </w:p>
    <w:p>
      <w:pPr>
        <w:spacing w:after="0" w:line="121" w:lineRule="exact"/>
        <w:rPr>
          <w:sz w:val="20"/>
          <w:szCs w:val="20"/>
          <w:color w:val="auto"/>
        </w:rPr>
      </w:pPr>
    </w:p>
    <w:p>
      <w:pPr>
        <w:ind w:right="640" w:firstLine="547"/>
        <w:spacing w:after="0" w:line="332" w:lineRule="auto"/>
        <w:rPr>
          <w:sz w:val="20"/>
          <w:szCs w:val="20"/>
          <w:color w:val="auto"/>
        </w:rPr>
      </w:pPr>
      <w:r>
        <w:rPr>
          <w:rFonts w:ascii="Arial" w:cs="Arial" w:eastAsia="Arial" w:hAnsi="Arial"/>
          <w:sz w:val="15"/>
          <w:szCs w:val="15"/>
          <w:color w:val="auto"/>
        </w:rPr>
        <w:t>The Decision of the Standing Committee of the National People’s Congress on Amending the Law for Promoting Private Education of the PRC, or the Amendment, has been promulgated by Order No. 55 of the President of the PRC on November 7, 2016 and came into force on September 1, 2017.</w:t>
      </w:r>
    </w:p>
    <w:p>
      <w:pPr>
        <w:spacing w:after="0" w:line="121" w:lineRule="exact"/>
        <w:rPr>
          <w:sz w:val="20"/>
          <w:szCs w:val="20"/>
          <w:color w:val="auto"/>
        </w:rPr>
      </w:pPr>
    </w:p>
    <w:p>
      <w:pPr>
        <w:ind w:right="120" w:firstLine="547"/>
        <w:spacing w:after="0" w:line="251" w:lineRule="auto"/>
        <w:rPr>
          <w:sz w:val="20"/>
          <w:szCs w:val="20"/>
          <w:color w:val="auto"/>
        </w:rPr>
      </w:pPr>
      <w:r>
        <w:rPr>
          <w:rFonts w:ascii="Arial" w:cs="Arial" w:eastAsia="Arial" w:hAnsi="Arial"/>
          <w:sz w:val="17"/>
          <w:szCs w:val="17"/>
          <w:color w:val="auto"/>
        </w:rPr>
        <w:t>Under the Amendment, sponsors of private schools may choose to establish non-profit or for-profit private schools at their own discretion. Nonetheless, school sponsors are not allowed to establish for-profit private schools that are engaged in compulsory education. In other words, the schools engaged in compulsory education should retain their non-profit status after the Amendment comes into force. The Amendment further establishes a new classification system for private schools to be classified by whether they are established and operated for profit-making purposes.</w:t>
      </w:r>
    </w:p>
    <w:p>
      <w:pPr>
        <w:spacing w:after="0" w:line="179" w:lineRule="exact"/>
        <w:rPr>
          <w:sz w:val="20"/>
          <w:szCs w:val="20"/>
          <w:color w:val="auto"/>
        </w:rPr>
      </w:pPr>
    </w:p>
    <w:p>
      <w:pPr>
        <w:ind w:right="300" w:firstLine="547"/>
        <w:spacing w:after="0" w:line="264" w:lineRule="auto"/>
        <w:rPr>
          <w:sz w:val="20"/>
          <w:szCs w:val="20"/>
          <w:color w:val="auto"/>
        </w:rPr>
      </w:pPr>
      <w:r>
        <w:rPr>
          <w:rFonts w:ascii="Arial" w:cs="Arial" w:eastAsia="Arial" w:hAnsi="Arial"/>
          <w:sz w:val="17"/>
          <w:szCs w:val="17"/>
          <w:color w:val="auto"/>
        </w:rPr>
        <w:t>On December 29, 2016, the State Council issued the Several Opinions of the State Council on Encouraging the Operation of Education by Social Forces and Promoting the Healthy Development of Private Education, or the State Council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6" w:name="page57"/>
    <w:bookmarkEnd w:id="56"/>
    <w:p>
      <w:pPr>
        <w:ind w:right="40"/>
        <w:spacing w:after="0" w:line="286" w:lineRule="auto"/>
        <w:rPr>
          <w:sz w:val="20"/>
          <w:szCs w:val="20"/>
          <w:color w:val="auto"/>
        </w:rPr>
      </w:pPr>
      <w:r>
        <w:rPr>
          <w:rFonts w:ascii="Arial" w:cs="Arial" w:eastAsia="Arial" w:hAnsi="Arial"/>
          <w:sz w:val="15"/>
          <w:szCs w:val="15"/>
          <w:color w:val="auto"/>
        </w:rPr>
        <w:t>Opinions, which requires to ease the access to the operation of private schools and encourages social forces to enter the education industry. The State Council Opinions also provides that each level of the people’s governments shall increase their support to the private schools in terms of financial investment, financial support, autonomy policies, preferential tax treatments, land policies, fee policies, autonomy operation, protecting the rights of teachers and students etc. Further, the State Council Opinions require each level of the people’s governments to improve its local policies on government support to for-profit and non-profit private schools by ways of preferential tax treatments etc. In addition, under the State Council Opinions, private schools shall strengthen its construction of the Chinese Communist Party, or the CCP, and further the theoretical system of Socialism with Chinese Characteristics by introducing such system into textbooks and teaching programs. The construction of the CCP’s organizations by the private schools as well as the CCP’s leadership to private schools shall constitute an important part of such schools’ annual inspection.</w:t>
      </w:r>
    </w:p>
    <w:p>
      <w:pPr>
        <w:spacing w:after="0" w:line="156" w:lineRule="exact"/>
        <w:rPr>
          <w:sz w:val="20"/>
          <w:szCs w:val="20"/>
          <w:color w:val="auto"/>
        </w:rPr>
      </w:pPr>
    </w:p>
    <w:p>
      <w:pPr>
        <w:ind w:right="60" w:firstLine="547"/>
        <w:spacing w:after="0" w:line="265" w:lineRule="auto"/>
        <w:rPr>
          <w:sz w:val="20"/>
          <w:szCs w:val="20"/>
          <w:color w:val="auto"/>
        </w:rPr>
      </w:pPr>
      <w:r>
        <w:rPr>
          <w:rFonts w:ascii="Arial" w:cs="Arial" w:eastAsia="Arial" w:hAnsi="Arial"/>
          <w:sz w:val="16"/>
          <w:szCs w:val="16"/>
          <w:color w:val="auto"/>
        </w:rPr>
        <w:t>On December 30, 2016, the MOE, Ministry of Civil Affairs, State Administration for Industry and Commerce (the predecessor of the State Administration for Market Regulation), the Ministry of Human Resources and Social Welfare and the State Commission Office of Public Sectors Reform jointly issued the Implementation Rules on the Classification Registration of Private Schools to reflect the new classification system for private schools as set out in the Amendment. Generally, if a private school established before promulgation of the Amendment chooses to register as a non-profit school, it shall amend its articles of association, continue its operation and complete the new registration process. If such private school chooses to register as a for-profit school, it shall conduct financial liquidation process, have the property rights of its assets such as lands, school buildings and net balance being authenticated by relevant government authorities, pay up relevant taxes, apply for a new private school operating permit, re-register as for-profit school and continue its operation. Specific provisions regarding the above registrations are yet to be introduced by people’s governments at the provincial level.</w:t>
      </w:r>
    </w:p>
    <w:p>
      <w:pPr>
        <w:spacing w:after="0" w:line="169" w:lineRule="exact"/>
        <w:rPr>
          <w:sz w:val="20"/>
          <w:szCs w:val="20"/>
          <w:color w:val="auto"/>
        </w:rPr>
      </w:pPr>
    </w:p>
    <w:p>
      <w:pPr>
        <w:ind w:right="40" w:firstLine="547"/>
        <w:spacing w:after="0" w:line="269" w:lineRule="auto"/>
        <w:rPr>
          <w:sz w:val="20"/>
          <w:szCs w:val="20"/>
          <w:color w:val="auto"/>
        </w:rPr>
      </w:pPr>
      <w:r>
        <w:rPr>
          <w:rFonts w:ascii="Arial" w:cs="Arial" w:eastAsia="Arial" w:hAnsi="Arial"/>
          <w:sz w:val="16"/>
          <w:szCs w:val="16"/>
          <w:color w:val="auto"/>
        </w:rPr>
        <w:t>On December 30, 2016, the MOE, State Administration for Industry and Commerce and the Ministry of Human Resources and Social Welfare jointly issued the Implementation Rules on the Supervision and Administration of For-profit Private Schools, pursuant to which the establishment, division, merger and other material changes of a for-profit private school shall first be approved by the education authorities or the authorities in charge of labor and social welfare, and then be registered with the competent branch of State Administration for Industry and Commerce. In addition, it also provides that for-profit private training institutes shall be analogically governed by these Implementation Rules on the Supervision and Administration of For-profit Private Schools.</w:t>
      </w:r>
    </w:p>
    <w:p>
      <w:pPr>
        <w:spacing w:after="0" w:line="165" w:lineRule="exact"/>
        <w:rPr>
          <w:sz w:val="20"/>
          <w:szCs w:val="20"/>
          <w:color w:val="auto"/>
        </w:rPr>
      </w:pPr>
    </w:p>
    <w:p>
      <w:pPr>
        <w:ind w:firstLine="547"/>
        <w:spacing w:after="0" w:line="247" w:lineRule="auto"/>
        <w:rPr>
          <w:sz w:val="20"/>
          <w:szCs w:val="20"/>
          <w:color w:val="auto"/>
        </w:rPr>
      </w:pPr>
      <w:r>
        <w:rPr>
          <w:rFonts w:ascii="Arial" w:cs="Arial" w:eastAsia="Arial" w:hAnsi="Arial"/>
          <w:sz w:val="17"/>
          <w:szCs w:val="17"/>
          <w:color w:val="auto"/>
        </w:rPr>
        <w:t>On August 10, 2018, the Ministry of Justice, or MOJ, published the draft amendment to the Regulations on the Implementation of the Law for Promoting Private Education of the PRC, or MOJ Draft, for public comment. As of the date of this annual report, this MOJ Draft is still pending for final approval and was not in effect. The MOJ Draft stipulates that private schools using internet technology to provide online diploma-awarding educational courses shall obtain the private school operating permit of similar academic education at the same level, as well as the internet operating permit. The institutions that use internet technology to provide training and educational activities, vocational qualification and vocational skills training, or providing an internet technology service platform for the above activities, would need to obtain the corresponding internet operating permit and file with the administrative department for education or the department of human resources and social security at the provincial level where the institution is domiciled, and such institutions shall not provide educational and teaching activities which requires the private school operating permit.</w:t>
      </w:r>
    </w:p>
    <w:p>
      <w:pPr>
        <w:spacing w:after="0" w:line="147" w:lineRule="exact"/>
        <w:rPr>
          <w:sz w:val="20"/>
          <w:szCs w:val="20"/>
          <w:color w:val="auto"/>
        </w:rPr>
      </w:pPr>
    </w:p>
    <w:p>
      <w:pPr>
        <w:ind w:right="20" w:firstLine="547"/>
        <w:spacing w:after="0" w:line="265" w:lineRule="auto"/>
        <w:rPr>
          <w:sz w:val="20"/>
          <w:szCs w:val="20"/>
          <w:color w:val="auto"/>
        </w:rPr>
      </w:pPr>
      <w:r>
        <w:rPr>
          <w:rFonts w:ascii="Arial" w:cs="Arial" w:eastAsia="Arial" w:hAnsi="Arial"/>
          <w:sz w:val="16"/>
          <w:szCs w:val="16"/>
          <w:color w:val="auto"/>
        </w:rPr>
        <w:t>The MOJ Draft further stipulates that the establishment of private training and educational organizations enrolling students of kindergarten, primary school, middle and high school age and providing activities relating to cultural and educational courses at school, or examination-related and further education-related tutoring and other cultural and educational activities, shall obtain a private school operating permit from the administrative departments for education of the governments at or above the county level. The establishment of private training and educational organizations that provide activities aiming at quality promotion, personality development in the areas of linguistic competence, arts, physical activities, technology, and activities targeting at cultural education for adults and non-degree continuing education, can apply to register as the legal person directly, however, such private training and/or educational organizations shall not carry out the cultural and educational activities mentioned above, which requires a private school operating permit. In addition, entities implementing group-based education shall not control non-profit schools by merger, acquisition, franchise or contractual arrangements.</w:t>
      </w:r>
    </w:p>
    <w:p>
      <w:pPr>
        <w:spacing w:after="0" w:line="144" w:lineRule="exact"/>
        <w:rPr>
          <w:sz w:val="20"/>
          <w:szCs w:val="20"/>
          <w:color w:val="auto"/>
        </w:rPr>
      </w:pPr>
    </w:p>
    <w:p>
      <w:pPr>
        <w:ind w:right="40" w:firstLine="547"/>
        <w:spacing w:after="0" w:line="269" w:lineRule="auto"/>
        <w:rPr>
          <w:sz w:val="20"/>
          <w:szCs w:val="20"/>
          <w:color w:val="auto"/>
        </w:rPr>
      </w:pPr>
      <w:r>
        <w:rPr>
          <w:rFonts w:ascii="Arial" w:cs="Arial" w:eastAsia="Arial" w:hAnsi="Arial"/>
          <w:sz w:val="16"/>
          <w:szCs w:val="16"/>
          <w:color w:val="auto"/>
        </w:rPr>
        <w:t>Uncertainties exist with respect to the interpretation and application of the existing and future laws and regulations governing online private education industry, as well as when and how the MOJ Draft would come into effect and how the local government would promulgate implementing rules relating to the specific requirements applicable to online education service providers like us. See “Item 3. Key Information—3.D. Risk Factors—Risks Related to Our Business—We face risks associated with our lack of a private school operating permit for our online education services as well as uncertainties surrounding PRC laws and regulations governing the education industry in general, including the Law for Promoting Private Education and its Implementation Rules.”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Regulations on Online and Distance Education</w:t>
      </w:r>
    </w:p>
    <w:p>
      <w:pPr>
        <w:spacing w:after="0" w:line="107" w:lineRule="exact"/>
        <w:rPr>
          <w:sz w:val="20"/>
          <w:szCs w:val="20"/>
          <w:color w:val="auto"/>
        </w:rPr>
      </w:pPr>
    </w:p>
    <w:p>
      <w:pPr>
        <w:ind w:right="60" w:firstLine="547"/>
        <w:spacing w:after="0" w:line="265" w:lineRule="auto"/>
        <w:rPr>
          <w:sz w:val="20"/>
          <w:szCs w:val="20"/>
          <w:color w:val="auto"/>
        </w:rPr>
      </w:pPr>
      <w:r>
        <w:rPr>
          <w:rFonts w:ascii="Arial" w:cs="Arial" w:eastAsia="Arial" w:hAnsi="Arial"/>
          <w:sz w:val="16"/>
          <w:szCs w:val="16"/>
          <w:color w:val="auto"/>
        </w:rPr>
        <w:t>Pursuant to the Administrative Regulations on Educational Websites and Online and Distance Education Schools issued by the Ministry of Education on July 5, 2000, educational websites and online education schools may provide educational services in relation to higher education, elementary education, pre-school education, teaching education, occupational education, adult education, other education and public educational information services. “Educational websites” refer to organizations providing education or education-related information services to website visitors by means of a database or online education platform connected via the internet or an educational television station through an Internet Service Provider, or ISP. “Online education schools” refer to educational websites providing academic education services or training services with the issuance of various certificates. Setting up education websites and online education schools is subject to approval from relevant education authorities, depending on the specific types of education. Any educational website and online education school shall, upon the receipt of approval, indicate on its website such approval information as well as the approval date and file number.</w:t>
      </w:r>
    </w:p>
    <w:p>
      <w:pPr>
        <w:spacing w:after="0" w:line="169" w:lineRule="exact"/>
        <w:rPr>
          <w:sz w:val="20"/>
          <w:szCs w:val="20"/>
          <w:color w:val="auto"/>
        </w:rPr>
      </w:pPr>
    </w:p>
    <w:p>
      <w:pPr>
        <w:ind w:right="260" w:firstLine="547"/>
        <w:spacing w:after="0" w:line="295" w:lineRule="auto"/>
        <w:rPr>
          <w:sz w:val="20"/>
          <w:szCs w:val="20"/>
          <w:color w:val="auto"/>
        </w:rPr>
      </w:pPr>
      <w:r>
        <w:rPr>
          <w:rFonts w:ascii="Arial" w:cs="Arial" w:eastAsia="Arial" w:hAnsi="Arial"/>
          <w:sz w:val="15"/>
          <w:szCs w:val="15"/>
          <w:color w:val="auto"/>
        </w:rPr>
        <w:t>On June 29, 2004, the State Council promulgated the Decision on Setting Down Administrative Licenses for the Administrative Examination and Approval Items Really Necessary to Be Retained, pursuant to which the administrative license for “online education schools” was retained, while the administrative license for “educational websites” was not retained. On January 28, 2014, the State Council promulgated the Decision on Abolishing and Delegating Certain Administrative Examination and Approval Items, pursuant to which the administrative approval for “online education schools” of higher education was abolished.</w:t>
      </w:r>
    </w:p>
    <w:p>
      <w:pPr>
        <w:spacing w:after="0" w:line="149" w:lineRule="exact"/>
        <w:rPr>
          <w:sz w:val="20"/>
          <w:szCs w:val="20"/>
          <w:color w:val="auto"/>
        </w:rPr>
      </w:pPr>
    </w:p>
    <w:p>
      <w:pPr>
        <w:ind w:firstLine="547"/>
        <w:spacing w:after="0" w:line="288" w:lineRule="auto"/>
        <w:rPr>
          <w:sz w:val="20"/>
          <w:szCs w:val="20"/>
          <w:color w:val="auto"/>
        </w:rPr>
      </w:pPr>
      <w:r>
        <w:rPr>
          <w:rFonts w:ascii="Arial" w:cs="Arial" w:eastAsia="Arial" w:hAnsi="Arial"/>
          <w:sz w:val="15"/>
          <w:szCs w:val="15"/>
          <w:color w:val="auto"/>
        </w:rPr>
        <w:t>Notwithstanding these decisions formulated by the State Council, as the Administrative Regulations on Educational Websites and Online Education Schools were not explicitly abolished, in practice, certain local authorities continue to implement the approval requirement for setting up education websites and online education schools until February 3, 2016, when the State Council promulgated the Decision on Cancelling the Second Batch of 152 Items Subject to Administrative Examination and Approval by Local Governments Designated by the Central Government, explicitly withdrew the approval requirements for operating educational websites and online education schools as provided by the Administrative Regulations on Educational Websites and Online Education Schools, and reiterated the principle that administrative approval requirements may only be imposed in accordance with the PRC Administrative Licensing Law.</w:t>
      </w:r>
    </w:p>
    <w:p>
      <w:pPr>
        <w:spacing w:after="0" w:line="153" w:lineRule="exact"/>
        <w:rPr>
          <w:sz w:val="20"/>
          <w:szCs w:val="20"/>
          <w:color w:val="auto"/>
        </w:rPr>
      </w:pPr>
    </w:p>
    <w:p>
      <w:pPr>
        <w:ind w:right="20" w:firstLine="547"/>
        <w:spacing w:after="0" w:line="288" w:lineRule="auto"/>
        <w:rPr>
          <w:sz w:val="20"/>
          <w:szCs w:val="20"/>
          <w:color w:val="auto"/>
        </w:rPr>
      </w:pPr>
      <w:r>
        <w:rPr>
          <w:rFonts w:ascii="Arial" w:cs="Arial" w:eastAsia="Arial" w:hAnsi="Arial"/>
          <w:sz w:val="15"/>
          <w:szCs w:val="15"/>
          <w:color w:val="auto"/>
        </w:rPr>
        <w:t>In December 2017, Shanghai Municipal Government promulgated the Management Methods of Classified Registration of Private Schools, the Setting Standards for Private Training Institutions of Shanghai, the Management Measures for the For-profit Private Training Institutions of Shanghai, and the Management Methods for the Non-Profit Private Training Institutions of Shanghai. In November 2018, Beijing Municipal Education Commission and Beijing Municipal Human Resources and Social Security Bureau jointly promulgated the Standards of Private Education and Training Institutions in Beijing (Provisional). Pursuant to these measures, any management measures and regulations applied to the institutions that provides training services only through the Internet will be further promulgated separately. These management measures and regulations have not yet been introduced as of the date of this annual report.</w:t>
      </w:r>
    </w:p>
    <w:p>
      <w:pPr>
        <w:spacing w:after="0" w:line="116" w:lineRule="exact"/>
        <w:rPr>
          <w:sz w:val="20"/>
          <w:szCs w:val="20"/>
          <w:color w:val="auto"/>
        </w:rPr>
      </w:pPr>
    </w:p>
    <w:p>
      <w:pPr>
        <w:ind w:right="20" w:firstLine="547"/>
        <w:spacing w:after="0" w:line="286" w:lineRule="auto"/>
        <w:rPr>
          <w:sz w:val="20"/>
          <w:szCs w:val="20"/>
          <w:color w:val="auto"/>
        </w:rPr>
      </w:pPr>
      <w:r>
        <w:rPr>
          <w:rFonts w:ascii="Arial" w:cs="Arial" w:eastAsia="Arial" w:hAnsi="Arial"/>
          <w:sz w:val="15"/>
          <w:szCs w:val="15"/>
          <w:color w:val="auto"/>
        </w:rPr>
        <w:t>Moreover, the MOE, jointly with certain other PRC government authorities, promulgated the Opinions on Guiding and Regulating the Orderly and Healthy Development of Educational Mobile Apps on August 10, 2019, or the Opinions on Educational Apps, which requires, among others, mobile apps that provide services for school teaching and management, student learning and student life, or home-school interactions, with school faculty, students or parents as the main users, and with education or learning as the main application scenarios, or the Educational Apps, be filed with competent provincial regulatory authorities for education before the end of 2019. The Opinions on Educational Apps also requires, among others, that before filing, the Educational App’s provider obtain the ICP License or complete the ICP filing and obtain the certificate and the grade evaluation report for graded protection of cybersecurity. On November 11, 2019, MOE issued the Administrative Measures on Filing of Educational Mobile Apps, which requires, among others, that filings of existing Educational Apps shall be completed before January 31, 2020.</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Relating to Internet Culture Activities</w:t>
      </w:r>
    </w:p>
    <w:p>
      <w:pPr>
        <w:spacing w:after="0" w:line="107" w:lineRule="exact"/>
        <w:rPr>
          <w:sz w:val="20"/>
          <w:szCs w:val="20"/>
          <w:color w:val="auto"/>
        </w:rPr>
      </w:pPr>
    </w:p>
    <w:p>
      <w:pPr>
        <w:ind w:right="160" w:firstLine="547"/>
        <w:spacing w:after="0" w:line="286" w:lineRule="auto"/>
        <w:rPr>
          <w:sz w:val="20"/>
          <w:szCs w:val="20"/>
          <w:color w:val="auto"/>
        </w:rPr>
      </w:pPr>
      <w:r>
        <w:rPr>
          <w:rFonts w:ascii="Arial" w:cs="Arial" w:eastAsia="Arial" w:hAnsi="Arial"/>
          <w:sz w:val="15"/>
          <w:szCs w:val="15"/>
          <w:color w:val="auto"/>
        </w:rPr>
        <w:t>On February 17, 2011, the Ministry of Culture, or MOC, promulgated the Interim Administrative Provisions on Internet Culture, or the Internet Culture Provisions, which became effective on April 1, 2011 and was further amended on December 15, 2017. The Internet Culture Provisions require ICP services providers engaging in commercial “internet culture activities” to obtain an Internet Culture Business Operating License from the MOC. “Internet cultural activities” is defined in the Internet Culture Provisions as an act of provision of internet cultural products and related services, which includes (i) the production, duplication, importation, and broadcasting of the internet cultural products; (ii) the online dissemination whereby cultural products are posted on the internet or transmitted via the internet to end-users, such as computers, fixed-line telephones, mobile phones, television sets and games machines, for online users’ browsing, use or downloading; and (iii) the exhibition and comparison of the internet cultural products. In addition, “internet cultural products” is defined in the Internet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8" w:name="page59"/>
    <w:bookmarkEnd w:id="58"/>
    <w:p>
      <w:pPr>
        <w:ind w:right="40"/>
        <w:spacing w:after="0" w:line="251" w:lineRule="auto"/>
        <w:rPr>
          <w:sz w:val="20"/>
          <w:szCs w:val="20"/>
          <w:color w:val="auto"/>
        </w:rPr>
      </w:pPr>
      <w:r>
        <w:rPr>
          <w:rFonts w:ascii="Arial" w:cs="Arial" w:eastAsia="Arial" w:hAnsi="Arial"/>
          <w:sz w:val="17"/>
          <w:szCs w:val="17"/>
          <w:color w:val="auto"/>
        </w:rPr>
        <w:t>Culture Provisions as cultural products produced, broadcast and disseminated via the Internet, which mainly include internet cultural products specially produced for the Internet, such as online music entertainment, online games, online shows and plays (programs), online performances, online works of art and online cartoons, and internet cultural products produced from cultural products such as music entertainment, games, shows and plays (programs), performances, works of art, and cartoons through certain techniques and duplicating those to internet for dissemination.</w:t>
      </w:r>
    </w:p>
    <w:p>
      <w:pPr>
        <w:spacing w:after="0" w:line="79" w:lineRule="exact"/>
        <w:rPr>
          <w:sz w:val="20"/>
          <w:szCs w:val="20"/>
          <w:color w:val="auto"/>
        </w:rPr>
      </w:pPr>
    </w:p>
    <w:p>
      <w:pPr>
        <w:ind w:right="120" w:firstLine="547"/>
        <w:spacing w:after="0" w:line="251" w:lineRule="auto"/>
        <w:rPr>
          <w:sz w:val="20"/>
          <w:szCs w:val="20"/>
          <w:color w:val="auto"/>
        </w:rPr>
      </w:pPr>
      <w:r>
        <w:rPr>
          <w:rFonts w:ascii="Arial" w:cs="Arial" w:eastAsia="Arial" w:hAnsi="Arial"/>
          <w:sz w:val="17"/>
          <w:szCs w:val="17"/>
          <w:color w:val="auto"/>
        </w:rPr>
        <w:t>On May 14, 2019, the General Office of MOC promulgated the Notice on Adjusting the Scope of Internet Culture Business Operating License and Further Standardize the Approval Work, which provides that online music, online shows and plays, online performances, online works of art, online cartoons, displays and games are the activities that fall in the scope of internet culture business operating license, and further clarifies that educational live streaming activities are not deemed as online performances.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Relating to Online Publishing</w:t>
      </w:r>
    </w:p>
    <w:p>
      <w:pPr>
        <w:spacing w:after="0" w:line="107" w:lineRule="exact"/>
        <w:rPr>
          <w:sz w:val="20"/>
          <w:szCs w:val="20"/>
          <w:color w:val="auto"/>
        </w:rPr>
      </w:pPr>
    </w:p>
    <w:p>
      <w:pPr>
        <w:ind w:firstLine="547"/>
        <w:spacing w:after="0" w:line="285" w:lineRule="auto"/>
        <w:rPr>
          <w:sz w:val="20"/>
          <w:szCs w:val="20"/>
          <w:color w:val="auto"/>
        </w:rPr>
      </w:pPr>
      <w:r>
        <w:rPr>
          <w:rFonts w:ascii="Arial" w:cs="Arial" w:eastAsia="Arial" w:hAnsi="Arial"/>
          <w:sz w:val="15"/>
          <w:szCs w:val="15"/>
          <w:color w:val="auto"/>
        </w:rPr>
        <w:t>On June 27, 2002, the General Administration of Press and Publication (predecessor of the State Administration of Press, Publication, Radio, Film and Television, or the SAPPRFT) and the MIIT jointly promulgated the Tentative Internet Publishing Administrative Measures, or the Internet Publishing Measures, which took effect on August 1, 2002. The Internet Publishing Measures require entities that engage in Internet publishing to obtain an Internet Publishing License for engaging in Internet publishing from the SAPPRFT. Pursuant to the Internet Publishing Measures, the definition of “Internet publishing” is broad and refers to the act by ICP services providers to select, edit and process works created by themselves or others and subsequently post such works on the internet or transmit such works to the users’ end through internet for the public to browse. The “works” as defined under the Internet Publishing Measures include (i) contents from books, newspapers, periodicals, audio-visual products, electronic publications that have already been formally published or works that have been made public in other media, and (ii) all other edited or processed works of literatures, art, natural science, social science, engineering technology, etc.</w:t>
      </w:r>
    </w:p>
    <w:p>
      <w:pPr>
        <w:spacing w:after="0" w:line="155" w:lineRule="exact"/>
        <w:rPr>
          <w:sz w:val="20"/>
          <w:szCs w:val="20"/>
          <w:color w:val="auto"/>
        </w:rPr>
      </w:pPr>
    </w:p>
    <w:p>
      <w:pPr>
        <w:ind w:firstLine="547"/>
        <w:spacing w:after="0" w:line="262" w:lineRule="auto"/>
        <w:rPr>
          <w:sz w:val="20"/>
          <w:szCs w:val="20"/>
          <w:color w:val="auto"/>
        </w:rPr>
      </w:pPr>
      <w:r>
        <w:rPr>
          <w:rFonts w:ascii="Arial" w:cs="Arial" w:eastAsia="Arial" w:hAnsi="Arial"/>
          <w:sz w:val="16"/>
          <w:szCs w:val="16"/>
          <w:color w:val="auto"/>
        </w:rPr>
        <w:t>On February 4, 2016, the SAPPRFT (currently reformed into the State Administration of Press and Publication (National Copyright Bureau) under the Propaganda Department of the Central Committee of the Communist Party of China) and the MIIT jointly issued the Administrative Provisions on Online Publishing Services, or the Online Publishing Provisions. The Online Publishing Provisions, taking effect as of March 10, 2016, superseded the Internet Publishing Measures. Compared with the Internet Publishing Measures, the Online Publishing Provisions set out more detailed provisions for online publishing activities, which mainly cover issues such as defining online publishing services, licensing and approvals, the administrative and supervisory regime and legal liabilities. According to the Online Publishing Provisions, all online publishing services provided within the territory of China are subject to the Online Publishing Provisions, and an Internet Publishing License shall be obtained to provide online publishing services. Pursuant to the Online Publishing Provisions, “online publishing services” refer to providing online publications to the public through information networks; and “online publications” refer to digital works with publishing features such as having been edited, produced or processed and are made available to the public through information networks, including: (i) written works, pictures, maps, games, cartoons, audio/video reading materials and other original digital works containing useful knowledge or ideas in the field of literature, art, science or other fields; (ii) digital works of which the content is identical to that of any published book, newspaper, periodical, audio/video product, electronic publication or the like; (iii) network literature databases or other digital works, derived from any of the aforesaid works by selection, arrangement, collection or other means; and (iv) other types of digital works as may be determined by the SAPPRFT. As the scope of online publication is broad, certain contents we post on our website, such as video-audio clips and course materials, may be deemed as online publications.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on Television Program Industry</w:t>
      </w:r>
    </w:p>
    <w:p>
      <w:pPr>
        <w:spacing w:after="0" w:line="107" w:lineRule="exact"/>
        <w:rPr>
          <w:sz w:val="20"/>
          <w:szCs w:val="20"/>
          <w:color w:val="auto"/>
        </w:rPr>
      </w:pPr>
    </w:p>
    <w:p>
      <w:pPr>
        <w:ind w:right="180" w:firstLine="547"/>
        <w:spacing w:after="0" w:line="288" w:lineRule="auto"/>
        <w:rPr>
          <w:sz w:val="20"/>
          <w:szCs w:val="20"/>
          <w:color w:val="auto"/>
        </w:rPr>
      </w:pPr>
      <w:r>
        <w:rPr>
          <w:rFonts w:ascii="Arial" w:cs="Arial" w:eastAsia="Arial" w:hAnsi="Arial"/>
          <w:sz w:val="15"/>
          <w:szCs w:val="15"/>
          <w:color w:val="auto"/>
        </w:rPr>
        <w:t>Television program productions and distribution businesses are mainly regulated by Regulations on Administration of Radio and Television, which came in to effect on August 11, 1997 and was recently amended on March 1, 2017, and the Administrative Regulations on Production and Operation of Radio and Television Program which came into effect on August 20, 2004. Pursuant to these regulations, television programs can only be produced by television stations at the municipal level or above or entities with a License for the Production and Operation of Radio and Television Program. Any entity producing and operating radio and television program without the License for the Production and Operation of Radio and Television Program will be subject to the confiscation of tools, equipment of producing radio and television program and a fine of more than 10 thousand RMB and less than 50 thousand RMB by competent local branch of SAPPRFT.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Regulations Relating to Publication Distribution</w:t>
      </w:r>
    </w:p>
    <w:p>
      <w:pPr>
        <w:spacing w:after="0" w:line="107" w:lineRule="exact"/>
        <w:rPr>
          <w:sz w:val="20"/>
          <w:szCs w:val="20"/>
          <w:color w:val="auto"/>
        </w:rPr>
      </w:pPr>
    </w:p>
    <w:p>
      <w:pPr>
        <w:ind w:right="40" w:firstLine="547"/>
        <w:spacing w:after="0" w:line="266" w:lineRule="auto"/>
        <w:rPr>
          <w:sz w:val="20"/>
          <w:szCs w:val="20"/>
          <w:color w:val="auto"/>
        </w:rPr>
      </w:pPr>
      <w:r>
        <w:rPr>
          <w:rFonts w:ascii="Arial" w:cs="Arial" w:eastAsia="Arial" w:hAnsi="Arial"/>
          <w:sz w:val="16"/>
          <w:szCs w:val="16"/>
          <w:color w:val="auto"/>
        </w:rPr>
        <w:t>Under the Administrative Measures for the Publication Market, or Publication Market Measures, which was jointly promulgated by the SAPPRFT and the MOFCOM on May 31, 2016 and became effective on June 1, 2016, any enterprise or individual who engages in publication distribution activities shall obtain permission from SAPPRFT or its local counterpart. “Publication” is defined as “books, newspapers, periodicals, audio-visual products, and electronic publications,” and “distributing” is defined as “general distribution, wholesale, retail, rental, exhibition and other activities,” respectively, in the Publication Market Measures. Any enterprise or individual that engages in retail of publications shall obtain a Publication Business Operating License issued by the local counterpart of SAPPRFT at the county level. In addition, any enterprise or individual that holds a Publication Business Operating License shall file with the relevant local counterpart of SAPPRFT that granted such license to it within 15 days since it begins to carry out any online publication distribution business.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Relating to Online Transmission of Audio-Visual Programs</w:t>
      </w:r>
    </w:p>
    <w:p>
      <w:pPr>
        <w:spacing w:after="0" w:line="107" w:lineRule="exact"/>
        <w:rPr>
          <w:sz w:val="20"/>
          <w:szCs w:val="20"/>
          <w:color w:val="auto"/>
        </w:rPr>
      </w:pPr>
    </w:p>
    <w:p>
      <w:pPr>
        <w:ind w:right="100" w:firstLine="547"/>
        <w:spacing w:after="0" w:line="282" w:lineRule="auto"/>
        <w:rPr>
          <w:sz w:val="20"/>
          <w:szCs w:val="20"/>
          <w:color w:val="auto"/>
        </w:rPr>
      </w:pPr>
      <w:r>
        <w:rPr>
          <w:rFonts w:ascii="Arial" w:cs="Arial" w:eastAsia="Arial" w:hAnsi="Arial"/>
          <w:sz w:val="15"/>
          <w:szCs w:val="15"/>
          <w:color w:val="auto"/>
        </w:rPr>
        <w:t>The Measures for the Administration of Publication of Audio-Visual Programs through Internet or Other Information Network, or the Audio-Visual Measures, promulgated by the SAPPRFT, on July 6, 2004 and put into effect on October 11, 2004, apply to the activities relating to the opening, broadcasting, integration, transmission or download of audio-visual programs using internet or other information network. Under the Audio-Visual Measures, to engage in the business of transmitting audio-visual programs, a license issued by SAPPRFT is required, and “audio-visual programs (including audio-visual products of films and televisions)” is defined as the audio-visual programs consisting of movable pictures or sounds that can be listened to continuously, which are shot and recorded using video cameras, vidicons, recorders and other audio-visual equipment for producing programs. Foreign invested enterprises are not allowed to carry out such business. On April 13, 2005, the State Council promulgated the Certain Decisions on the Entry of the Non-state-owned Capital into the Cultural Industry. On July 6, 2005, five PRC governmental authorities, including the SAPPRFT, jointly adopted the Several Opinions on Canvassing Foreign Investment into the Cultural Sector. According to these regulations, non-state-owned capital and foreign investors are not allowed to engage in the business of transmitting audio-visual programs through information networks. However, the Audio-Visual Measures was repealed according to the Administrative Provisions on Audio-Visual Program Service through Special Network and Directed Transmission that was promulgated by the SAPPRFT on May 4, 2016, effective as of June 1, 2016.</w:t>
      </w:r>
    </w:p>
    <w:p>
      <w:pPr>
        <w:spacing w:after="0" w:line="162" w:lineRule="exact"/>
        <w:rPr>
          <w:sz w:val="20"/>
          <w:szCs w:val="20"/>
          <w:color w:val="auto"/>
        </w:rPr>
      </w:pPr>
    </w:p>
    <w:p>
      <w:pPr>
        <w:ind w:firstLine="547"/>
        <w:spacing w:after="0" w:line="280" w:lineRule="auto"/>
        <w:rPr>
          <w:sz w:val="20"/>
          <w:szCs w:val="20"/>
          <w:color w:val="auto"/>
        </w:rPr>
      </w:pPr>
      <w:r>
        <w:rPr>
          <w:rFonts w:ascii="Arial" w:cs="Arial" w:eastAsia="Arial" w:hAnsi="Arial"/>
          <w:sz w:val="15"/>
          <w:szCs w:val="15"/>
          <w:color w:val="auto"/>
        </w:rPr>
        <w:t>To further regulate the provision of audio-visual program services to the public via the internet, including through mobile networks, within the territory of the PRC, the SAPPRFT and the MIIT jointly promulgated the Administrative Provisions on Internet Audio-Visual Program Service, or the Audio-Visual Program Provisions, on December 20, 2007, which came into effect on January 31, 2008 and was latest amended on August 28, 2015. Under the Audio-Visual Program Provisions, “internet audio-visual program services” is defined as activities of producing, redacting and integrating audio-visual programs, providing them to the general public via internet, and providing service for other people to upload and transmit audio-visual programs, and providers of internet audio-visual program services are required to obtain a License for Online Transmission of Audio-Visual Programs issued by SAPPRFT, or complete certain registration procedures with SAPPRFT. Providers of internet audiovisual program services must be either state-owned or state-controlled entities, and the business to be carried out by such providers must satisfy the overall planning and guidance catalog for internet audio-visual program service determined by SAPPRFT. In a press conference jointly held by SAPPRFT and MIIT to answer questions relating to the Audio-Visual Program Provisions in February 2008, SAPPRFT and MIIT clarified that providers of internet audio-visual program services who engaged in such services prior to the promulgation of the Audio-Visual Program Provisions are eligible to re-register with the relevant authorities and continue their operation of internet audio-visual program services so long as those providers did not violate the relevant laws and regulations in the past. On May 21, 2008, SAPPRFT issued a Notice on Relevant Issues Concerning Application and Approval of License for the Online Transmission of Audio-Visual Programs, which further sets out detailed provisions concerning the application and approval process regarding the License for Online Transmission of Audio-Visual Programs. The notice also states that providers of internet audio-visual program services that engaged in such services prior to the promulgation of the Audio-Visual Program Provisions are eligible to apply for the license so long as their violation of the laws and regulations is minor in scope and can be rectified in a timely manner and they have no records of violation during the last three months prior to the promulgation of the Audio-Visual Program Provisions. Further, on March 30, 2009, SAPPRFT promulgated the Notice on Strengthening the Administration of the Content of Internet Audio-Visual Programs, which reiterates the pre-approval requirements for the audio-visual programs transmitted via the internet, including through mobile networks, where applicable, and prohibits certain types of internet audio-visual programs containing violence, pornography, gambling, terrorism, superstition or other similarly prohibited elements.</w:t>
      </w:r>
    </w:p>
    <w:p>
      <w:pPr>
        <w:spacing w:after="0" w:line="163" w:lineRule="exact"/>
        <w:rPr>
          <w:sz w:val="20"/>
          <w:szCs w:val="20"/>
          <w:color w:val="auto"/>
        </w:rPr>
      </w:pPr>
    </w:p>
    <w:p>
      <w:pPr>
        <w:ind w:right="280" w:firstLine="547"/>
        <w:spacing w:after="0" w:line="304" w:lineRule="auto"/>
        <w:rPr>
          <w:sz w:val="20"/>
          <w:szCs w:val="20"/>
          <w:color w:val="auto"/>
        </w:rPr>
      </w:pPr>
      <w:r>
        <w:rPr>
          <w:rFonts w:ascii="Arial" w:cs="Arial" w:eastAsia="Arial" w:hAnsi="Arial"/>
          <w:sz w:val="15"/>
          <w:szCs w:val="15"/>
          <w:color w:val="auto"/>
        </w:rPr>
        <w:t>On March 17, 2010, SAPPRFT promulgated the Provisional Implementation of the Tentative Categories of Internet Audio-Visual Program Services, or the Categories, which clarified the scope of Internet audio-visual programs services, which was amended on March 10, 2017. According to the Categories, there are four categories of Internet audio-visual program services which are further divided into seventeen sub-categories. The third sub-category to the second category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0" w:name="page61"/>
    <w:bookmarkEnd w:id="60"/>
    <w:p>
      <w:pPr>
        <w:ind w:right="220"/>
        <w:spacing w:after="0" w:line="254" w:lineRule="auto"/>
        <w:rPr>
          <w:sz w:val="20"/>
          <w:szCs w:val="20"/>
          <w:color w:val="auto"/>
        </w:rPr>
      </w:pPr>
      <w:r>
        <w:rPr>
          <w:rFonts w:ascii="Arial" w:cs="Arial" w:eastAsia="Arial" w:hAnsi="Arial"/>
          <w:sz w:val="17"/>
          <w:szCs w:val="17"/>
          <w:color w:val="auto"/>
        </w:rPr>
        <w:t>covers the making and editing of certain specialized audio-visual programs concerning, among other things, educational content, and broadcasting such content to the general public online. However, there are still significant uncertainties relating to the interpretation and implementation of the Audio-Visual Program Provisions, in particular, the scope of “internet audio-visual programs.”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Relating to Internet Live Streaming Services</w:t>
      </w:r>
    </w:p>
    <w:p>
      <w:pPr>
        <w:spacing w:after="0" w:line="107" w:lineRule="exact"/>
        <w:rPr>
          <w:sz w:val="20"/>
          <w:szCs w:val="20"/>
          <w:color w:val="auto"/>
        </w:rPr>
      </w:pPr>
    </w:p>
    <w:p>
      <w:pPr>
        <w:ind w:right="140" w:firstLine="547"/>
        <w:spacing w:after="0" w:line="249" w:lineRule="auto"/>
        <w:rPr>
          <w:sz w:val="20"/>
          <w:szCs w:val="20"/>
          <w:color w:val="auto"/>
        </w:rPr>
      </w:pPr>
      <w:r>
        <w:rPr>
          <w:rFonts w:ascii="Arial" w:cs="Arial" w:eastAsia="Arial" w:hAnsi="Arial"/>
          <w:sz w:val="17"/>
          <w:szCs w:val="17"/>
          <w:color w:val="auto"/>
        </w:rPr>
        <w:t>On November 4, 2016, the CAC issued Administrative Regulation on Internet Live Streaming Services, effective from December 1, 2016, according to which, “internet live streaming” refers to the activities of continuously releasing real-time information to the public based on the Internet in forms such as videos, audios, images and texts, and “internet live-streaming service providers” refers to the operators that provide Internet live-streaming platform service. In addition, the internet live-streaming service providers shall take various measures during operation of its services, such as examining and verifying the authenticity of the identification information and file such information for records.</w:t>
      </w:r>
    </w:p>
    <w:p>
      <w:pPr>
        <w:spacing w:after="0" w:line="182" w:lineRule="exact"/>
        <w:rPr>
          <w:sz w:val="20"/>
          <w:szCs w:val="20"/>
          <w:color w:val="auto"/>
        </w:rPr>
      </w:pPr>
    </w:p>
    <w:p>
      <w:pPr>
        <w:ind w:right="40" w:firstLine="547"/>
        <w:spacing w:after="0" w:line="254" w:lineRule="auto"/>
        <w:rPr>
          <w:sz w:val="20"/>
          <w:szCs w:val="20"/>
          <w:color w:val="auto"/>
        </w:rPr>
      </w:pPr>
      <w:r>
        <w:rPr>
          <w:rFonts w:ascii="Arial" w:cs="Arial" w:eastAsia="Arial" w:hAnsi="Arial"/>
          <w:sz w:val="17"/>
          <w:szCs w:val="17"/>
          <w:color w:val="auto"/>
        </w:rPr>
        <w:t>On July 12, 2017, the CAC issued a Notice on Development of the Filing Work for Enterprises Providing Internet Live Streaming Services, which provides that all the companies providing internet live streaming services shall file with the local authority since July 15, 2017, otherwise the CAC or its local counterparts may impose administrative sanctions on such companies.</w:t>
      </w:r>
    </w:p>
    <w:p>
      <w:pPr>
        <w:spacing w:after="0" w:line="177" w:lineRule="exact"/>
        <w:rPr>
          <w:sz w:val="20"/>
          <w:szCs w:val="20"/>
          <w:color w:val="auto"/>
        </w:rPr>
      </w:pPr>
    </w:p>
    <w:p>
      <w:pPr>
        <w:jc w:val="both"/>
        <w:ind w:right="160" w:firstLine="547"/>
        <w:spacing w:after="0" w:line="254" w:lineRule="auto"/>
        <w:rPr>
          <w:sz w:val="20"/>
          <w:szCs w:val="20"/>
          <w:color w:val="auto"/>
        </w:rPr>
      </w:pPr>
      <w:r>
        <w:rPr>
          <w:rFonts w:ascii="Arial" w:cs="Arial" w:eastAsia="Arial" w:hAnsi="Arial"/>
          <w:sz w:val="17"/>
          <w:szCs w:val="17"/>
          <w:color w:val="auto"/>
        </w:rPr>
        <w:t>Pursuant to the Circular on Tightening the Administration of Internet Live Streaming Services jointly issued by the MIIT, the Ministry of Culture and Tourism and several other government agencies on August 1, 2018, live streaming services providers are required to file with the local public security authority within 30 days after it commences the service online.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Relating to Internet Information Security and Privacy Protection</w:t>
      </w:r>
    </w:p>
    <w:p>
      <w:pPr>
        <w:spacing w:after="0" w:line="107" w:lineRule="exact"/>
        <w:rPr>
          <w:sz w:val="20"/>
          <w:szCs w:val="20"/>
          <w:color w:val="auto"/>
        </w:rPr>
      </w:pPr>
    </w:p>
    <w:p>
      <w:pPr>
        <w:ind w:firstLine="547"/>
        <w:spacing w:after="0" w:line="279" w:lineRule="auto"/>
        <w:rPr>
          <w:sz w:val="20"/>
          <w:szCs w:val="20"/>
          <w:color w:val="auto"/>
        </w:rPr>
      </w:pPr>
      <w:r>
        <w:rPr>
          <w:rFonts w:ascii="Arial" w:cs="Arial" w:eastAsia="Arial" w:hAnsi="Arial"/>
          <w:sz w:val="15"/>
          <w:szCs w:val="15"/>
          <w:color w:val="auto"/>
        </w:rPr>
        <w:t>The PRC Constitution states that PRC law protects the freedom and privacy of communications of citizens and prohibits infringement of these rights. In recent years, PRC government authorities have enacted laws and regulations on internet use to protect personal information from any unauthorized disclosure. According to the Law on the Protection of Consumer Rights and Interests promulgated in 1993 and amended in 2013, business operators shall collect and use the personal information of consumers in a lawful and proper manner by following the principle that information collection or use is genuinely necessary. They shall expressly state the purposes, methods and scope of information collection or use, and obtain the consent of the consumers whose information is to be collected. To collect or use the personal information of consumers, business operators shall disclose their information collection or use rules, and shall not collect or use information in violation of laws or regulations, or in breach of the agreements between the parties concerned. Business operators and their staff members shall strictly keep confidential the personal information of consumers collected, and shall not divulge, sell or illegally provide others with the same. Pursuant to the Decision on Strengthening the Protection of Online Information issued by the Standing Committee of the National People’s Congress on December 28, 2012 and the Order for the Protection of Telecommunication and Internet User Personal Information issued by the MIIT in July 16, 2013, any collection and use of user personal information must be subject to the consent of the user, abide by the principles of legality, rationality and necessity and be within the specified purposes, methods and scopes. “Personal information” is defined in these regulations as information that identifies a citizen, the time or location for his/her use of telecommunication and internet services, or involves privacy of any citizen such as his birth date, ID card number, and address. An ICP service provider must also keep information collected strictly confidential, and is further prohibited from divulging, tampering or destroying of any such information, or selling or providing such information to other parties. Any violation of the above decision or order may subject the ICP service provider to warnings, fines, confiscation of illegal gains, revocation of licenses, cancellation of filings, closedown of websites or even criminal liabilities. Pursuant to the Ninth Amendment to the Criminal Law issued by the Standing Committee of the National People’s Congress in August 2015, which became effective in November 2015, any internet service provider that fails to fulfill the obligations related to internet information security administration as required by applicable laws and refuses to rectify upon orders, shall be subject to criminal penalty for the result of (i) any dissemination of illegal information in large scale; (ii) any severe effect due to the leakage of the client’s information; (iii) any serious loss of criminal evidence; or (iv) other severe situation, and any individual or entity that (i) sells or provides personal information to others in a way violating the applicable law, or (ii) steals or illegally obtains any personal information, shall be subject to criminal penalty in severe situation. According to the Interpretation of the Supreme People’s Court and the Supreme People’s Procuratorate on Several Issues Concerning the Application of Law in Handling Criminal Cases of Infringing Personal Information of Citizens, if a business operator collects personal information of citizens by purchasing, accepting or exchanging, or collects personal information of citizens in the course of performing their duties and providing services in violation of relevant provisions of the State (including Law on the Protection of Consumer Rights and Interests) and meet one of the following standards, such operator shall be considered breaching criminal law and such operator and its responsible personnel shall undertake the criminal liabilities: (i) illegal acquisition, sale or provision of more than 50 pieces of track information, communication content, credit information, property information; (ii) illegal acquisition, sale, or provision of more than 500 pieces of accommodation information, communication records, health, physiological information, trading information, and other personal information may affect the safety of personal and property; (iii) illegal acquisition, sale, or provision of more than 5000 pieces of personal information other than the information mentioned in the preceding (i) and (ii); (iv) the profits generated from using the illegally collected and acquired personal information is more than fifty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61" w:name="page62"/>
    <w:bookmarkEnd w:id="61"/>
    <w:p>
      <w:pPr>
        <w:ind w:right="300"/>
        <w:spacing w:after="0" w:line="264" w:lineRule="auto"/>
        <w:rPr>
          <w:sz w:val="20"/>
          <w:szCs w:val="20"/>
          <w:color w:val="auto"/>
        </w:rPr>
      </w:pPr>
      <w:r>
        <w:rPr>
          <w:rFonts w:ascii="Arial" w:cs="Arial" w:eastAsia="Arial" w:hAnsi="Arial"/>
          <w:sz w:val="17"/>
          <w:szCs w:val="17"/>
          <w:color w:val="auto"/>
        </w:rPr>
        <w:t>thousand RMB; and (v) resale of the personal information collected in the course of performing their duties and providing service and the amount of resold personal information reaches 50% of the prescribed standard mentioned in (i) or (ii), as applicable.</w:t>
      </w:r>
    </w:p>
    <w:p>
      <w:pPr>
        <w:spacing w:after="0" w:line="168" w:lineRule="exact"/>
        <w:rPr>
          <w:sz w:val="20"/>
          <w:szCs w:val="20"/>
          <w:color w:val="auto"/>
        </w:rPr>
      </w:pPr>
    </w:p>
    <w:p>
      <w:pPr>
        <w:ind w:right="20" w:firstLine="547"/>
        <w:spacing w:after="0" w:line="282" w:lineRule="auto"/>
        <w:rPr>
          <w:sz w:val="20"/>
          <w:szCs w:val="20"/>
          <w:color w:val="auto"/>
        </w:rPr>
      </w:pPr>
      <w:r>
        <w:rPr>
          <w:rFonts w:ascii="Arial" w:cs="Arial" w:eastAsia="Arial" w:hAnsi="Arial"/>
          <w:sz w:val="15"/>
          <w:szCs w:val="15"/>
          <w:color w:val="auto"/>
        </w:rPr>
        <w:t>Pursuant to the PRC Cyber Security Law issued by the Standing Committee of the National People’s Congress and effective on June 1, 2017, “personal information” refers to all kinds of information recorded by electronic or otherwise that can be used to independently identify or be combined with other information to identify individuals’ personal information including but not limited to: individuals’ names, dates of birth, ID numbers, biologically identified personal information, addresses and telephone numbers, etc. The Cyber Security Law also provides that: (i) to collect and use personal information, network operators shall follow the principles of legitimacy, rightfulness and necessity, disclose rules of data collection and use, clearly express the purposes, means and scope of collecting and using the information, and obtain the consent of the persons whose data is gathered; (ii) network operators shall neither gather personal information unrelated to the services they provide, nor gather or use personal information in violation of the provisions of laws and administrative regulations or the scopes of consent given by the persons whose data is gathered; and shall dispose of personal information they have saved in accordance with the provisions of laws and administrative regulations and agreements reached with users; (iii) network operators shall not divulge, tamper with or damage the personal information they have collected, and shall not provide the personal information to others without the consent of the persons whose data is collected. However, if the information has been processed and cannot be recovered and thus it is impossible to match such information with specific persons, such circumstance is an exception.</w:t>
      </w:r>
    </w:p>
    <w:p>
      <w:pPr>
        <w:spacing w:after="0" w:line="162" w:lineRule="exact"/>
        <w:rPr>
          <w:sz w:val="20"/>
          <w:szCs w:val="20"/>
          <w:color w:val="auto"/>
        </w:rPr>
      </w:pPr>
    </w:p>
    <w:p>
      <w:pPr>
        <w:ind w:right="20" w:firstLine="547"/>
        <w:spacing w:after="0" w:line="282" w:lineRule="auto"/>
        <w:rPr>
          <w:sz w:val="20"/>
          <w:szCs w:val="20"/>
          <w:color w:val="auto"/>
        </w:rPr>
      </w:pPr>
      <w:r>
        <w:rPr>
          <w:rFonts w:ascii="Arial" w:cs="Arial" w:eastAsia="Arial" w:hAnsi="Arial"/>
          <w:sz w:val="15"/>
          <w:szCs w:val="15"/>
          <w:color w:val="auto"/>
        </w:rPr>
        <w:t>Pursuant to the Provisions on Internet Security Supervision and Inspection by Public Security Organs, which was promulgated by the Ministry of Public Security and effective on November 1, 2018, the public security departments are authorized to carry out internet security supervision and inspection of the internet service providers from the following aspects, among others: (i) whether the service providers have completed the recordation formalities for online entities, and filed the basic information on and the changes of the accessing entities and users; (ii) whether they have established and implemented the cybersecurity management system and protocols, and appointed the persons responsible for cybersecurity; (iii) whether the technical measures for recording and retaining users’ registration information and weblog data are in place according to the law; (iv) whether they have taken technical measures to prevent computer viruses, network attacks and network intrusion; (v) whether they have adopted preventive measures to tackle the information that is prohibited to be issued or transmitted by the laws and administrative regulations in the public information services; (vi) whether they provide technical support and assistance as required by laws to public security departments to safeguard national security and prevent and investigate on terrorist activities and criminal activities; and (vii) whether they have fulfilled the obligations of the grade-based cybersecurity protection and other obligations prescribed by the laws and administrative regulations. In particular, public security departments shall also carry out supervision and inspection on whether an internet service provider has taken required measures to manage information published by users, adopted proper measures to handle the published or transmitted information that is prohibited to be published or transmitted, and kept the relevant records.</w:t>
      </w:r>
    </w:p>
    <w:p>
      <w:pPr>
        <w:spacing w:after="0" w:line="159" w:lineRule="exact"/>
        <w:rPr>
          <w:sz w:val="20"/>
          <w:szCs w:val="20"/>
          <w:color w:val="auto"/>
        </w:rPr>
      </w:pPr>
    </w:p>
    <w:p>
      <w:pPr>
        <w:ind w:right="60" w:firstLine="398"/>
        <w:spacing w:after="0" w:line="291" w:lineRule="auto"/>
        <w:rPr>
          <w:sz w:val="20"/>
          <w:szCs w:val="20"/>
          <w:color w:val="auto"/>
        </w:rPr>
      </w:pPr>
      <w:r>
        <w:rPr>
          <w:rFonts w:ascii="Arial" w:cs="Arial" w:eastAsia="Arial" w:hAnsi="Arial"/>
          <w:sz w:val="15"/>
          <w:szCs w:val="15"/>
          <w:color w:val="auto"/>
        </w:rPr>
        <w:t>In addition, the Office of the Central Cyberspace Affairs Commission, the MIIT, the Ministry of Public Security, and the SAMR jointly issued an Announcement of Launching Special Crackdown Against Illegal Collection and Use of Personal Information by Apps on January 23, 2019 to implement special rectification works against mobile Apps that collect and use personal information in violation of applicable laws and regulations, where business operators are prohibited from collecting personal information irrelevant to their services, or forcing users to give authorization in a disguised manner. On November 28, 2019, the National Internet Information Office, the MIIT, the Ministry of Public Security and the SAMR further jointly issued a notice to classify and identify illegal collection and use of personal information.</w:t>
      </w:r>
    </w:p>
    <w:p>
      <w:pPr>
        <w:spacing w:after="0" w:line="150" w:lineRule="exact"/>
        <w:rPr>
          <w:sz w:val="20"/>
          <w:szCs w:val="20"/>
          <w:color w:val="auto"/>
        </w:rPr>
      </w:pPr>
    </w:p>
    <w:p>
      <w:pPr>
        <w:ind w:firstLine="398"/>
        <w:spacing w:after="0" w:line="251" w:lineRule="auto"/>
        <w:rPr>
          <w:sz w:val="20"/>
          <w:szCs w:val="20"/>
          <w:color w:val="auto"/>
        </w:rPr>
      </w:pPr>
      <w:r>
        <w:rPr>
          <w:rFonts w:ascii="Arial" w:cs="Arial" w:eastAsia="Arial" w:hAnsi="Arial"/>
          <w:sz w:val="17"/>
          <w:szCs w:val="17"/>
          <w:color w:val="auto"/>
        </w:rPr>
        <w:t>According to the Civil Code of China, which became effective on January 1, 2021, a natural person has the right of privacy and the personal information of a natural person will be protected in accordance with law. Information processors may not divulge or tamper with the personal information collected or stored by them and may not illegally provide any natural person’s personal information to others without the consent of such natural person. As an ICP services provider, we are subject to these laws and regulations relating to protection of Internet information and privacy.</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on Talent Market Administration</w:t>
      </w:r>
    </w:p>
    <w:p>
      <w:pPr>
        <w:spacing w:after="0" w:line="107" w:lineRule="exact"/>
        <w:rPr>
          <w:sz w:val="20"/>
          <w:szCs w:val="20"/>
          <w:color w:val="auto"/>
        </w:rPr>
      </w:pPr>
    </w:p>
    <w:p>
      <w:pPr>
        <w:ind w:right="40" w:firstLine="547"/>
        <w:spacing w:after="0" w:line="288" w:lineRule="auto"/>
        <w:rPr>
          <w:sz w:val="20"/>
          <w:szCs w:val="20"/>
          <w:color w:val="auto"/>
        </w:rPr>
      </w:pPr>
      <w:r>
        <w:rPr>
          <w:rFonts w:ascii="Arial" w:cs="Arial" w:eastAsia="Arial" w:hAnsi="Arial"/>
          <w:sz w:val="15"/>
          <w:szCs w:val="15"/>
          <w:color w:val="auto"/>
        </w:rPr>
        <w:t>Provisions on Talent Market Administration promulgated by Ministry of Human Resources and Social Security on April 30, 2015 and last amended on December 31, 2019, provides that “job agencies”, which means the organizations specializing in the provision of intermediary services or other related services for the employers and job seekers, either as their core business or as a sideline, shall obtain the approval and the Job Agency Service License from the personnel administration department of the local government before it engages in the business of providing intermediary job services; the Internet information service providers engaged in Internet-based intermediary job services, either as their core business or as a sideline, must apply for the License. Whoever violates Provisions on Talent Market Administration and establishes a job agency or engages in job intermediary services without approval from the labor administrative department of the relevant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62" w:name="page63"/>
    <w:bookmarkEnd w:id="62"/>
    <w:p>
      <w:pPr>
        <w:jc w:val="both"/>
        <w:ind w:right="40"/>
        <w:spacing w:after="0" w:line="254" w:lineRule="auto"/>
        <w:rPr>
          <w:sz w:val="20"/>
          <w:szCs w:val="20"/>
          <w:color w:val="auto"/>
        </w:rPr>
      </w:pPr>
      <w:r>
        <w:rPr>
          <w:rFonts w:ascii="Arial" w:cs="Arial" w:eastAsia="Arial" w:hAnsi="Arial"/>
          <w:sz w:val="17"/>
          <w:szCs w:val="17"/>
          <w:color w:val="auto"/>
        </w:rPr>
        <w:t>government shall be ordered to stop the business by the labor administrative department of the relevant government at or above the county level, and be currently given a fine of up to RMB10,000; where there are illegal gains, the perpetrator may be imposed a fine of up to three times the value of the illegal gains, subject to a maximum of RMB30,000.</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Relating to Intellectual Property Rights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Copyright and Software Registration</w:t>
      </w:r>
    </w:p>
    <w:p>
      <w:pPr>
        <w:spacing w:after="0" w:line="103" w:lineRule="exact"/>
        <w:rPr>
          <w:sz w:val="20"/>
          <w:szCs w:val="20"/>
          <w:color w:val="auto"/>
        </w:rPr>
      </w:pPr>
    </w:p>
    <w:p>
      <w:pPr>
        <w:ind w:right="20" w:firstLine="547"/>
        <w:spacing w:after="0" w:line="291" w:lineRule="auto"/>
        <w:rPr>
          <w:sz w:val="20"/>
          <w:szCs w:val="20"/>
          <w:color w:val="auto"/>
        </w:rPr>
      </w:pPr>
      <w:r>
        <w:rPr>
          <w:rFonts w:ascii="Arial" w:cs="Arial" w:eastAsia="Arial" w:hAnsi="Arial"/>
          <w:sz w:val="15"/>
          <w:szCs w:val="15"/>
          <w:color w:val="auto"/>
        </w:rPr>
        <w:t>The Standing Committee of National People’s Congress of PRC adopted the Copyright Law in 1990 and amended it in 2001 and 2010, respectively. The amended Copyright Law extends copyright protection to Internet activities, products disseminated over the Internet and software products. In addition, there is a voluntary registration system administered by the China Copyright Protection Center. The amended Copyright Law also requires registration of a copyright pledge. To address the problem of copyright infringement related to the content posted or transmitted over the Internet, the National Copyright Administration and the MIIT jointly promulgated the Measures for Administrative Protection of Copyright Related to Internet on April 29, 2005. This measure became effective on May 30, 2005.</w:t>
      </w:r>
    </w:p>
    <w:p>
      <w:pPr>
        <w:spacing w:after="0" w:line="150" w:lineRule="exact"/>
        <w:rPr>
          <w:sz w:val="20"/>
          <w:szCs w:val="20"/>
          <w:color w:val="auto"/>
        </w:rPr>
      </w:pPr>
    </w:p>
    <w:p>
      <w:pPr>
        <w:ind w:right="40" w:firstLine="547"/>
        <w:spacing w:after="0" w:line="254" w:lineRule="auto"/>
        <w:rPr>
          <w:sz w:val="20"/>
          <w:szCs w:val="20"/>
          <w:color w:val="auto"/>
        </w:rPr>
      </w:pPr>
      <w:r>
        <w:rPr>
          <w:rFonts w:ascii="Arial" w:cs="Arial" w:eastAsia="Arial" w:hAnsi="Arial"/>
          <w:sz w:val="17"/>
          <w:szCs w:val="17"/>
          <w:color w:val="auto"/>
        </w:rPr>
        <w:t>In order to further implement the Computer Software Protection Regulations promulgated by the State Council on December 20, 2001 and amended on January 30, 2013, the State Copyright Bureau issued the Computer Software Copyright Registration Procedures on February 20, 2002, which apply to software copyright registration, license contract registration and transfer contract registration.</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w:t>
      </w:r>
    </w:p>
    <w:p>
      <w:pPr>
        <w:spacing w:after="0" w:line="103" w:lineRule="exact"/>
        <w:rPr>
          <w:sz w:val="20"/>
          <w:szCs w:val="20"/>
          <w:color w:val="auto"/>
        </w:rPr>
      </w:pPr>
    </w:p>
    <w:p>
      <w:pPr>
        <w:ind w:firstLine="547"/>
        <w:spacing w:after="0" w:line="286" w:lineRule="auto"/>
        <w:rPr>
          <w:sz w:val="20"/>
          <w:szCs w:val="20"/>
          <w:color w:val="auto"/>
        </w:rPr>
      </w:pPr>
      <w:r>
        <w:rPr>
          <w:rFonts w:ascii="Arial" w:cs="Arial" w:eastAsia="Arial" w:hAnsi="Arial"/>
          <w:sz w:val="15"/>
          <w:szCs w:val="15"/>
          <w:color w:val="auto"/>
        </w:rPr>
        <w:t>The Standing Committee of National People’s Congress adopted the Patent Law of the People’s Republic of China, pursuant to which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State Intellectual Property Office is responsible for receiving, examining and approving patent applications. The Patent Law was latest amended on October 17, 2020 which will take effect on June 1, 2021, pursuant to which a patent is valid for a twenty-year term for an invention and a utility model, and a fifteen-year term for a design, all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Domain Name</w:t>
      </w:r>
    </w:p>
    <w:p>
      <w:pPr>
        <w:spacing w:after="0" w:line="103" w:lineRule="exact"/>
        <w:rPr>
          <w:sz w:val="20"/>
          <w:szCs w:val="20"/>
          <w:color w:val="auto"/>
        </w:rPr>
      </w:pPr>
    </w:p>
    <w:p>
      <w:pPr>
        <w:ind w:right="40" w:firstLine="547"/>
        <w:spacing w:after="0" w:line="251" w:lineRule="auto"/>
        <w:rPr>
          <w:sz w:val="20"/>
          <w:szCs w:val="20"/>
          <w:color w:val="auto"/>
        </w:rPr>
      </w:pPr>
      <w:r>
        <w:rPr>
          <w:rFonts w:ascii="Arial" w:cs="Arial" w:eastAsia="Arial" w:hAnsi="Arial"/>
          <w:sz w:val="17"/>
          <w:szCs w:val="17"/>
          <w:color w:val="auto"/>
        </w:rPr>
        <w:t>Pursuant to the Administrative Measures for Internet Domain Names, which was promulgated by the MIIT, domain names are registered on a “first-come, first-served” basis. The domain names registered or used by an organization or individual shall not contain any contents prohibited by laws and administrative regulations. A domain name registration applicant shall provide the domain name registration service agency with truthful, accurate and complete identity information on the domain name holder.</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Trademark</w:t>
      </w:r>
    </w:p>
    <w:p>
      <w:pPr>
        <w:spacing w:after="0" w:line="103" w:lineRule="exact"/>
        <w:rPr>
          <w:sz w:val="20"/>
          <w:szCs w:val="20"/>
          <w:color w:val="auto"/>
        </w:rPr>
      </w:pPr>
    </w:p>
    <w:p>
      <w:pPr>
        <w:ind w:right="60" w:firstLine="547"/>
        <w:spacing w:after="0" w:line="263" w:lineRule="auto"/>
        <w:rPr>
          <w:sz w:val="20"/>
          <w:szCs w:val="20"/>
          <w:color w:val="auto"/>
        </w:rPr>
      </w:pPr>
      <w:r>
        <w:rPr>
          <w:rFonts w:ascii="Arial" w:cs="Arial" w:eastAsia="Arial" w:hAnsi="Arial"/>
          <w:sz w:val="16"/>
          <w:szCs w:val="16"/>
          <w:color w:val="auto"/>
        </w:rPr>
        <w:t>Trademarks are protected by the PRC Trademark Law and the Implementation Regulation of the PRC Trademark Law. The Trademark Office of National Intellectual Property Administration handles trademark registrations and grants a term of ten years to registered trademarks which may be renewed for consecutive ten-year periods upon request by the trademark owner. Trademark license agreements must be filed with the Trademark Office for record. 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On April 23, 2019, the Standing Committee of the National People's Congress promulgated the latest amendment of Trademark Law, which came into effect on November 1, 2019. Compared to the currently effective Trademark Law, the latest amendment of Trademark Law additionally provides that, among other things, (i) an application for registration of a malicious trademark not for use shall be rejected and (ii) those who apply for trademark registration maliciously shall be given administrative penalties of warning or fines according to the circumstances; those who file trademark lawsuits maliciously shall be punished by the people's court according to applicable laws.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227" w:right="379" w:bottom="1440" w:gutter="0" w:footer="0" w:header="0"/>
        </w:sectPr>
      </w:pPr>
    </w:p>
    <w:bookmarkStart w:id="63" w:name="page64"/>
    <w:bookmarkEnd w:id="63"/>
    <w:p>
      <w:pPr>
        <w:ind w:right="440" w:firstLine="547"/>
        <w:spacing w:after="0" w:line="254" w:lineRule="auto"/>
        <w:rPr>
          <w:sz w:val="20"/>
          <w:szCs w:val="20"/>
          <w:color w:val="auto"/>
        </w:rPr>
      </w:pPr>
      <w:r>
        <w:rPr>
          <w:rFonts w:ascii="Arial" w:cs="Arial" w:eastAsia="Arial" w:hAnsi="Arial"/>
          <w:sz w:val="17"/>
          <w:szCs w:val="17"/>
          <w:color w:val="auto"/>
        </w:rPr>
        <w:t>On May 28, 2020, the National People’s Congress promulgated the Civil Code, which took effect on January 1, 2021. Under the Civil Code, if an offender intentionally infringes upon the intellectual property rights of others and the circumstance is severe, the infringed party shall have the right to request for the corresponding punitive compensation.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on Foreign Exchange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w:t>
      </w:r>
    </w:p>
    <w:p>
      <w:pPr>
        <w:spacing w:after="0" w:line="103" w:lineRule="exact"/>
        <w:rPr>
          <w:sz w:val="20"/>
          <w:szCs w:val="20"/>
          <w:color w:val="auto"/>
        </w:rPr>
      </w:pPr>
    </w:p>
    <w:p>
      <w:pPr>
        <w:ind w:right="140" w:firstLine="547"/>
        <w:spacing w:after="0" w:line="267" w:lineRule="auto"/>
        <w:rPr>
          <w:sz w:val="20"/>
          <w:szCs w:val="20"/>
          <w:color w:val="auto"/>
        </w:rPr>
      </w:pPr>
      <w:r>
        <w:rPr>
          <w:rFonts w:ascii="Arial" w:cs="Arial" w:eastAsia="Arial" w:hAnsi="Arial"/>
          <w:sz w:val="16"/>
          <w:szCs w:val="16"/>
          <w:color w:val="auto"/>
        </w:rPr>
        <w:t>Pursuant to the Foreign Currency Administration Rules, as amended, and various regulations issued by SAFE and other relevant PRC government authorities, RMB is freely convertible to the extent of current account items, such as trade related receipts and payments, interest and dividends. Capital account items, such as direct equity investments, loans and repatriation of investment, unless expressly exempted by laws and regulations, still require prior approval from SAFE or its local counterparts for conversion of RMB into a foreign currency, such as U.S. dollars, and remittance of the foreign currency outside of the PRC. Payments for transactions that take place within the PRC must be made in RMB. Foreign currency revenues received by PRC companies may be repatriated into China or retained outside of China in accordance with requirements and terms specified by SAFE.</w:t>
      </w:r>
    </w:p>
    <w:p>
      <w:pPr>
        <w:spacing w:after="0" w:line="167" w:lineRule="exact"/>
        <w:rPr>
          <w:sz w:val="20"/>
          <w:szCs w:val="20"/>
          <w:color w:val="auto"/>
        </w:rPr>
      </w:pPr>
    </w:p>
    <w:p>
      <w:pPr>
        <w:ind w:right="120" w:firstLine="547"/>
        <w:spacing w:after="0" w:line="304" w:lineRule="auto"/>
        <w:rPr>
          <w:sz w:val="20"/>
          <w:szCs w:val="20"/>
          <w:color w:val="auto"/>
        </w:rPr>
      </w:pPr>
      <w:r>
        <w:rPr>
          <w:rFonts w:ascii="Arial" w:cs="Arial" w:eastAsia="Arial" w:hAnsi="Arial"/>
          <w:sz w:val="15"/>
          <w:szCs w:val="15"/>
          <w:color w:val="auto"/>
        </w:rPr>
        <w:t>According to the Circular on Administration of Foreign Exchange on Further Promoting the Facilitation of Cross-border Trade and Investment promulgated by SAFE on October 23, 2019, non-investment FIEs are allowed to make domestic equity investment with their capital funds provided that the existing negative list for foreign investment are complied with and the projects invested thereby in China are true and comply with applicable laws and regulations.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Distribution</w:t>
      </w:r>
    </w:p>
    <w:p>
      <w:pPr>
        <w:spacing w:after="0" w:line="103" w:lineRule="exact"/>
        <w:rPr>
          <w:sz w:val="20"/>
          <w:szCs w:val="20"/>
          <w:color w:val="auto"/>
        </w:rPr>
      </w:pPr>
    </w:p>
    <w:p>
      <w:pPr>
        <w:ind w:right="20" w:firstLine="547"/>
        <w:spacing w:after="0" w:line="269" w:lineRule="auto"/>
        <w:rPr>
          <w:sz w:val="20"/>
          <w:szCs w:val="20"/>
          <w:color w:val="auto"/>
        </w:rPr>
      </w:pPr>
      <w:r>
        <w:rPr>
          <w:rFonts w:ascii="Arial" w:cs="Arial" w:eastAsia="Arial" w:hAnsi="Arial"/>
          <w:sz w:val="16"/>
          <w:szCs w:val="16"/>
          <w:color w:val="auto"/>
        </w:rPr>
        <w:t>Wholly foreign-owned enterprises and Sino-foreign equity joint ventures in the PRC may pay dividends only out of their accumulated profits, if any, as determined in accordance with PRC accounting standards and regulations. Additionally, these foreign-invested enterprises may not pay dividends unless they set aside at least 10% of their respective accumulated profits after tax each year, if any, to fund certain reserve funds, until such time as the accumulative amount of such fund reaches 50% of the enterprise’s registered capital. In addition, these companies also may allocate a portion of their after-tax profits based on PRC accounting standards to employee welfare and bonus funds at their discretion. These reserves are not distributable as cash dividends.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Relating to Foreign Exchange Registration of Overseas Investment by PRC Residents</w:t>
      </w:r>
    </w:p>
    <w:p>
      <w:pPr>
        <w:spacing w:after="0" w:line="103" w:lineRule="exact"/>
        <w:rPr>
          <w:sz w:val="20"/>
          <w:szCs w:val="20"/>
          <w:color w:val="auto"/>
        </w:rPr>
      </w:pPr>
    </w:p>
    <w:p>
      <w:pPr>
        <w:ind w:firstLine="547"/>
        <w:spacing w:after="0" w:line="264" w:lineRule="auto"/>
        <w:rPr>
          <w:sz w:val="20"/>
          <w:szCs w:val="20"/>
          <w:color w:val="auto"/>
        </w:rPr>
      </w:pPr>
      <w:r>
        <w:rPr>
          <w:rFonts w:ascii="Arial" w:cs="Arial" w:eastAsia="Arial" w:hAnsi="Arial"/>
          <w:sz w:val="16"/>
          <w:szCs w:val="16"/>
          <w:color w:val="auto"/>
        </w:rPr>
        <w:t>SAFE Circular on Relevant Issues Relating to Domestic Resident’s Investment and Financing and Roundtrip Investment through Special Purpose Vehicles, or Circular 37, issued by SAFE and effective in July 4, 2014, regulates foreign exchange matters in relation to the use of special purpose vehicles, or SPVs, by PRC residents or entities to seek offshore investment and financing and conduct round trip investment in China. Under Circular 37, a SPV refers to an offshore entity established or controlled, directly or indirectly, by PRC residents or entities for the purpose of seeking offshore financing or making offshore investment, using legitimate domestic or offshore assets or interests, while “round trip investment” refers to the direct investment in China by PRC residents or entities through SPVs, namely, establishing foreign-invested enterprises to obtain the ownership, control rights and management rights. Circular 37 requires that, before making contribution into an SPV, PRC residents or entities are required to complete foreign exchange registration with the SAFE or its local branch. SAFE Circular 37 further provides that option or share-based incentive tool holders of a non-listed SPV can exercise the options or share incentive tools to become a shareholder of such non-listed SPV, subject to registration with SAFE or its local branch.</w:t>
      </w:r>
    </w:p>
    <w:p>
      <w:pPr>
        <w:spacing w:after="0" w:line="172" w:lineRule="exact"/>
        <w:rPr>
          <w:sz w:val="20"/>
          <w:szCs w:val="20"/>
          <w:color w:val="auto"/>
        </w:rPr>
      </w:pPr>
    </w:p>
    <w:p>
      <w:pPr>
        <w:ind w:right="20" w:firstLine="547"/>
        <w:spacing w:after="0" w:line="284" w:lineRule="auto"/>
        <w:rPr>
          <w:sz w:val="20"/>
          <w:szCs w:val="20"/>
          <w:color w:val="auto"/>
        </w:rPr>
      </w:pPr>
      <w:r>
        <w:rPr>
          <w:rFonts w:ascii="Arial" w:cs="Arial" w:eastAsia="Arial" w:hAnsi="Arial"/>
          <w:sz w:val="15"/>
          <w:szCs w:val="15"/>
          <w:color w:val="auto"/>
        </w:rPr>
        <w:t>PRC residents or entities who have contributed legitimate domestic or offshore interests or assets to SPVs but have yet to obtain SAFE registration before the implementation of Circular 37 shall register their ownership interests or control in such SPVs with SAFE or its local branch. An amendment to the registration is required if there is a material change in the SPV registered, such as any change of basic information (including change of such PRC residents, name and operation term), increases or decreases in investment amount, transfers or exchanges of shares, or mergers or divisions. Failure to comply with the registration procedures set forth in Circular 37, or making misrepresentation on or failure to disclose controllers of foreign-invested enterprise that is established through round-trip investment, may result in restrictions on the foreign exchange activities of the relevant foreign-invested enterprises,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 On February 13, 2015, SAFE further promulgated the Circular on Further Simplifying and Improving the Administration of the Foreign Exchange Concerning Direct Investment, or SAFE Circular 13, which took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4" w:name="page65"/>
    <w:bookmarkEnd w:id="64"/>
    <w:p>
      <w:pPr>
        <w:ind w:right="60"/>
        <w:spacing w:after="0" w:line="249" w:lineRule="auto"/>
        <w:rPr>
          <w:sz w:val="20"/>
          <w:szCs w:val="20"/>
          <w:color w:val="auto"/>
        </w:rPr>
      </w:pPr>
      <w:r>
        <w:rPr>
          <w:rFonts w:ascii="Arial" w:cs="Arial" w:eastAsia="Arial" w:hAnsi="Arial"/>
          <w:sz w:val="17"/>
          <w:szCs w:val="17"/>
          <w:color w:val="auto"/>
        </w:rPr>
        <w:t>effect on June 1, 2015. This SAFE Circular 13 has amended SAFE Circular 37 by requiring PRC residents or entities to register with qualified banks rather than SAFE or its local branch in connection with their establishment or control of an offshore entity established for the purpose of overseas investment or financing. SAFE Circular 13 further provides that annual inspection of inbound foreign direct investments and outbound overseas direct investments is canceled. Instead, relevant entities or individuals, as the case may be, shall register data and information with respect to their inbound foreign direct investments and outbound overseas direct investment interests with SAFE.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Stock Incentive Plans</w:t>
      </w:r>
    </w:p>
    <w:p>
      <w:pPr>
        <w:spacing w:after="0" w:line="103" w:lineRule="exact"/>
        <w:rPr>
          <w:sz w:val="20"/>
          <w:szCs w:val="20"/>
          <w:color w:val="auto"/>
        </w:rPr>
      </w:pPr>
    </w:p>
    <w:p>
      <w:pPr>
        <w:ind w:right="120" w:firstLine="547"/>
        <w:spacing w:after="0" w:line="288" w:lineRule="auto"/>
        <w:rPr>
          <w:sz w:val="20"/>
          <w:szCs w:val="20"/>
          <w:color w:val="auto"/>
        </w:rPr>
      </w:pPr>
      <w:r>
        <w:rPr>
          <w:rFonts w:ascii="Arial" w:cs="Arial" w:eastAsia="Arial" w:hAnsi="Arial"/>
          <w:sz w:val="15"/>
          <w:szCs w:val="15"/>
          <w:color w:val="auto"/>
        </w:rPr>
        <w:t>Pursuant to the Notice on Issues Concerning the Foreign Exchange Administration for Domestic Individuals Participating in Stock Incentive Plan of Overseas Publicly Listed Company, or Circular 7,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subject to a few exceptions, are required to register with SAFE through a domestic qualified agent, which could be a PRC subsidiary of such overseas listed company, and complete certain other procedures. If we fail to complete the SAFE registrations, such failure may subject us to fines and legal sanctions and may also limit our ability to contribute additional capital into our wholly foreign-owned subsidiary in China and limit such subsidiary’s ability to distribute dividends to us.</w:t>
      </w:r>
    </w:p>
    <w:p>
      <w:pPr>
        <w:spacing w:after="0" w:line="153" w:lineRule="exact"/>
        <w:rPr>
          <w:sz w:val="20"/>
          <w:szCs w:val="20"/>
          <w:color w:val="auto"/>
        </w:rPr>
      </w:pPr>
    </w:p>
    <w:p>
      <w:pPr>
        <w:ind w:firstLine="547"/>
        <w:spacing w:after="0" w:line="291" w:lineRule="auto"/>
        <w:rPr>
          <w:sz w:val="20"/>
          <w:szCs w:val="20"/>
          <w:color w:val="auto"/>
        </w:rPr>
      </w:pPr>
      <w:r>
        <w:rPr>
          <w:rFonts w:ascii="Arial" w:cs="Arial" w:eastAsia="Arial" w:hAnsi="Arial"/>
          <w:sz w:val="15"/>
          <w:szCs w:val="15"/>
          <w:color w:val="auto"/>
        </w:rPr>
        <w:t>In addition, the State Administration for Taxation has issued certain circulars concerning employee share options or restricted shares. Under these circulars, the employees working in the PRC who exercise share options or are granted restricted shares will be subject to PRC individual income tax. The PRC subsidiaries of such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according to relevant laws and regulations, the PRC subsidiaries may face sanctions imposed by the tax authorities or other PRC government authorities.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Foreign Debt</w:t>
      </w:r>
    </w:p>
    <w:p>
      <w:pPr>
        <w:spacing w:after="0" w:line="103" w:lineRule="exact"/>
        <w:rPr>
          <w:sz w:val="20"/>
          <w:szCs w:val="20"/>
          <w:color w:val="auto"/>
        </w:rPr>
      </w:pPr>
    </w:p>
    <w:p>
      <w:pPr>
        <w:ind w:right="40" w:firstLine="547"/>
        <w:spacing w:after="0" w:line="248" w:lineRule="auto"/>
        <w:rPr>
          <w:sz w:val="20"/>
          <w:szCs w:val="20"/>
          <w:color w:val="auto"/>
        </w:rPr>
      </w:pPr>
      <w:r>
        <w:rPr>
          <w:rFonts w:ascii="Arial" w:cs="Arial" w:eastAsia="Arial" w:hAnsi="Arial"/>
          <w:sz w:val="17"/>
          <w:szCs w:val="17"/>
          <w:color w:val="auto"/>
        </w:rPr>
        <w:t>According to the Implementation Rules for the Provisional Regulations on Statistics and Supervision of Foreign Debt promulgated by SAFE on September 24, 1997 and the Interim Provisions on the Management of Foreign Debts promulgated by SAFE, the NDRC and the Ministry of Finance and effective from March 1, 2003, loans by foreign companies to their subsidiaries in China, which accordingly are foreign-invested enterprises, are considered foreign debt, and such loans must be registered with the local branches of the SAFE. Under the provisions, the total amount of accumulated medium-term and long-term foreign debt and the balance of short-term debt borrowed by a foreign-invested enterprise is limited to the difference between the total investment and the registered capital of the foreign-invested enterprise.</w:t>
      </w:r>
    </w:p>
    <w:p>
      <w:pPr>
        <w:spacing w:after="0" w:line="183" w:lineRule="exact"/>
        <w:rPr>
          <w:sz w:val="20"/>
          <w:szCs w:val="20"/>
          <w:color w:val="auto"/>
        </w:rPr>
      </w:pPr>
    </w:p>
    <w:p>
      <w:pPr>
        <w:ind w:firstLine="547"/>
        <w:spacing w:after="0" w:line="282" w:lineRule="auto"/>
        <w:rPr>
          <w:sz w:val="20"/>
          <w:szCs w:val="20"/>
          <w:color w:val="auto"/>
        </w:rPr>
      </w:pPr>
      <w:r>
        <w:rPr>
          <w:rFonts w:ascii="Arial" w:cs="Arial" w:eastAsia="Arial" w:hAnsi="Arial"/>
          <w:sz w:val="15"/>
          <w:szCs w:val="15"/>
          <w:color w:val="auto"/>
        </w:rPr>
        <w:t>On January 12, 2017, PBOC promulgated Notice of the People’s Bank of China on Issues Concerning Macro Prudential Management of Full Scale Cross-border Financing or PBOC Circular 9. According to PBOC Circular 9, PBOC established a cross-broader financing regulation system based on the capital or net assets of the micro main body under macro prudential rules, and the legal entities and financial institutions established in PRC including the branches of foreign banks registered in China but excluding government financing vehicles and real estate enterprise, may carry out cross-border financing of foreign currency in accordance with relevant regulations of such system. PBOC Circular 9 provides that, among other things, the outstanding amount of the foreign currency for the entities in cross-border financing shall be limited to the Upper Limit of the Risk Weighted Balance of such entity, which shall be calculated according to the formula provided in PBOC Circular 9; the enterprise shall, after signing the contract for cross-border financing, but not later than three business days before the withdrawal of the borrowing funds, file with the local branches of SAFE for the cross-border financing through SAFE’s capital project information system. PBOC Circular 9 also provides that during the one-year period started from January 11, 2017, foreign-invested enterprises may choose one method to carry out cross-broader financing in foreign currency either according to PBOC Circular 9 or according to the Interim Provisions on the Management of Foreign Debts. After the end of such one-year period, the method of foreign-invested enterprises to carry out cross-broader financing in foreign currency will be determined by PBOC and SAFE. To date, though the one-year period has expired, no further regulations or guidance promulgated by PBOC and SAFE in this regard.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Regulations on Tax</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PRC Enterprise Income Tax Law</w:t>
      </w:r>
    </w:p>
    <w:p>
      <w:pPr>
        <w:spacing w:after="0" w:line="103" w:lineRule="exact"/>
        <w:rPr>
          <w:sz w:val="20"/>
          <w:szCs w:val="20"/>
          <w:color w:val="auto"/>
        </w:rPr>
      </w:pPr>
    </w:p>
    <w:p>
      <w:pPr>
        <w:ind w:firstLine="547"/>
        <w:spacing w:after="0" w:line="285" w:lineRule="auto"/>
        <w:rPr>
          <w:sz w:val="20"/>
          <w:szCs w:val="20"/>
          <w:color w:val="auto"/>
        </w:rPr>
      </w:pPr>
      <w:r>
        <w:rPr>
          <w:rFonts w:ascii="Arial" w:cs="Arial" w:eastAsia="Arial" w:hAnsi="Arial"/>
          <w:sz w:val="15"/>
          <w:szCs w:val="15"/>
          <w:color w:val="auto"/>
        </w:rPr>
        <w:t>The Enterprise Income Tax Law enacted by the National People’s Congress and the Implementing Rules of the Enterprise Income Tax Law promulgated by the State Council, or collectively, the PRC EIT Law, apply a uniform 25% enterprise income tax rate to both foreign-invested enterprises and domestic enterprises, except where tax incentives are granted to special industries and projects. Enterprises qualified as “High and New Technology Enterprises” are entitled to a 15% enterprise income tax rate rather than the 25% uniform statutory tax rate. The preferential tax treatment continues as long as an enterprise can retain its “High and New Technology Enterprise” status. Enterprise income tax for qualified small profit enterprises shall be at a reduced tax rate of 20%. Under the PRC EIT Law and its implementation regulations, dividends generated from the business of a PRC subsidiary after January 1, 2008 and payable to its foreign investor may be subject to a withholding tax rate of 10% if the PRC tax authorities determine that the foreign investor is a non-resident enterprise, unless there is a tax treaty with China that provides for a preferential withholding tax rate. Distributions of earnings generated before January 1, 2008 are exempt from PRC withholding tax.</w:t>
      </w:r>
    </w:p>
    <w:p>
      <w:pPr>
        <w:spacing w:after="0" w:line="155" w:lineRule="exact"/>
        <w:rPr>
          <w:sz w:val="20"/>
          <w:szCs w:val="20"/>
          <w:color w:val="auto"/>
        </w:rPr>
      </w:pPr>
    </w:p>
    <w:p>
      <w:pPr>
        <w:ind w:firstLine="547"/>
        <w:spacing w:after="0" w:line="282" w:lineRule="auto"/>
        <w:rPr>
          <w:sz w:val="20"/>
          <w:szCs w:val="20"/>
          <w:color w:val="auto"/>
        </w:rPr>
      </w:pPr>
      <w:r>
        <w:rPr>
          <w:rFonts w:ascii="Arial" w:cs="Arial" w:eastAsia="Arial" w:hAnsi="Arial"/>
          <w:sz w:val="15"/>
          <w:szCs w:val="15"/>
          <w:color w:val="auto"/>
        </w:rPr>
        <w:t>Under the PRC EIT Law, an enterprise established outside China with “de facto management bodies” within China is considered a “resident enterprise” for PRC enterprise income tax purposes and is generally subject to a uniform 25% enterprise income tax rate on its worldwide income. A circular issued by the State Administration of Taxation, or SAT, in April 2009 regarding the standards used to classify certain Chinese-invested enterprises controlled by Chinese enterprises or Chinese enterprise groups and established outside of China as “resident enterprises,” or the SAT Circular 82, clarified that dividends and other income paid by such PRC “resident enterprises” will be considered PRC-source income and subject to PRC withholding tax, currently at a rate of 10%, when paid to non-PRC enterprise shareholders. The SAT Circular 82 also subjects such PRC “resident enterprises” to various reporting requirements with the PRC tax authorities. Under the implementation regulations to the PRC EIT Law, a “de facto management body” is defined as a body that has material and overall management and control over the manufacturing and business operations, personnel and human resources, finances and properties of an enterprise. In addition, the SAT Circular 82 specifies that certain PRC-invested overseas enterprises controlled by a Chinese enterprise or a Chinese enterprise group in the PRC will be classified as PRC resident enterprises if the following are located or resided in the PRC: (i) senior management personnel and departments that are responsible for daily production, operation and management; (ii) financial and personnel decision making bodies; (iii) key properties, accounting books, the company seal, and minutes of board meetings and shareholders’ meetings; and (iv) half or more of the senior management or directors who have the voting rights.</w:t>
      </w:r>
    </w:p>
    <w:p>
      <w:pPr>
        <w:spacing w:after="0" w:line="159" w:lineRule="exact"/>
        <w:rPr>
          <w:sz w:val="20"/>
          <w:szCs w:val="20"/>
          <w:color w:val="auto"/>
        </w:rPr>
      </w:pPr>
    </w:p>
    <w:p>
      <w:pPr>
        <w:ind w:right="100" w:firstLine="547"/>
        <w:spacing w:after="0" w:line="281" w:lineRule="auto"/>
        <w:rPr>
          <w:sz w:val="20"/>
          <w:szCs w:val="20"/>
          <w:color w:val="auto"/>
        </w:rPr>
      </w:pPr>
      <w:r>
        <w:rPr>
          <w:rFonts w:ascii="Arial" w:cs="Arial" w:eastAsia="Arial" w:hAnsi="Arial"/>
          <w:sz w:val="15"/>
          <w:szCs w:val="15"/>
          <w:color w:val="auto"/>
        </w:rPr>
        <w:t>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and certain other conditions are satisfied.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The SAT promulgated the Administrative Measures for Non-resident Taxpayers to Enjoy Treatment under Treaties,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Sunlands HK may be able to benefit from the 5% withholding tax rate for the dividends it receives from Wuhan Zhibo and Tianjin Sunlands, if it satisfies the conditions prescribed under SAT Circular 81 and other relevant tax rules and regulations. However, according to SAT Circular 81 and SAT Circular 35, if the relevant tax authorities consider the transactions or arrangements we have are for the primary purpose of enjoying a favorable tax treatment, the relevant tax authorities may adjust the favorable withholding tax in the future.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66" w:name="page67"/>
    <w:bookmarkEnd w:id="66"/>
    <w:p>
      <w:pPr>
        <w:ind w:right="60" w:firstLine="547"/>
        <w:spacing w:after="0" w:line="265" w:lineRule="auto"/>
        <w:rPr>
          <w:sz w:val="20"/>
          <w:szCs w:val="20"/>
          <w:color w:val="auto"/>
        </w:rPr>
      </w:pPr>
      <w:r>
        <w:rPr>
          <w:rFonts w:ascii="Arial" w:cs="Arial" w:eastAsia="Arial" w:hAnsi="Arial"/>
          <w:sz w:val="16"/>
          <w:szCs w:val="16"/>
          <w:color w:val="auto"/>
        </w:rPr>
        <w:t>On February 3, 2015, the SAT issued the Announcement of the State Administration of Taxation on Several Issues Concerning the Enterprise Income Tax on Indirect Property Transfer by Non-resident Enterprises, or SAT Bulletin 7, extends its tax jurisdiction to transactions involving the transfer of taxable assets through offshore transfer of a foreign intermediate holding company. Pursuant to SAT Bulletin 7, where a non-resident enterprise indirectly transfers properties such as equity in PRC resident enterprises without any justifiable business purposes and aiming to avoid the payment of enterprise income tax, such indirect transfer must be reclassified as a direct transfer of equity in PRC resident enterprise. To assess whether an indirect transfer of PRC taxable properties has reasonable commercial purposes, all arrangements related to the indirect transfer must be considered comprehensively and factors set forth in SAT Bulletin 7 must be comprehensively analyzed in light of the actual circumstances. In addition, SAT Bulletin 7 has introduced safe harbors for internal group restructurings and the purchase and sale of equity through a public securities market.</w:t>
      </w:r>
    </w:p>
    <w:p>
      <w:pPr>
        <w:spacing w:after="0" w:line="169" w:lineRule="exact"/>
        <w:rPr>
          <w:sz w:val="20"/>
          <w:szCs w:val="20"/>
          <w:color w:val="auto"/>
        </w:rPr>
      </w:pPr>
    </w:p>
    <w:p>
      <w:pPr>
        <w:ind w:right="120" w:firstLine="547"/>
        <w:spacing w:after="0" w:line="254" w:lineRule="auto"/>
        <w:rPr>
          <w:sz w:val="20"/>
          <w:szCs w:val="20"/>
          <w:color w:val="auto"/>
        </w:rPr>
      </w:pPr>
      <w:r>
        <w:rPr>
          <w:rFonts w:ascii="Arial" w:cs="Arial" w:eastAsia="Arial" w:hAnsi="Arial"/>
          <w:sz w:val="17"/>
          <w:szCs w:val="17"/>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77" w:lineRule="exact"/>
        <w:rPr>
          <w:sz w:val="20"/>
          <w:szCs w:val="20"/>
          <w:color w:val="auto"/>
        </w:rPr>
      </w:pPr>
    </w:p>
    <w:p>
      <w:pPr>
        <w:ind w:right="20" w:firstLine="547"/>
        <w:spacing w:after="0" w:line="251" w:lineRule="auto"/>
        <w:rPr>
          <w:sz w:val="20"/>
          <w:szCs w:val="20"/>
          <w:color w:val="auto"/>
        </w:rPr>
      </w:pPr>
      <w:r>
        <w:rPr>
          <w:rFonts w:ascii="Arial" w:cs="Arial" w:eastAsia="Arial" w:hAnsi="Arial"/>
          <w:sz w:val="17"/>
          <w:szCs w:val="17"/>
          <w:color w:val="auto"/>
        </w:rPr>
        <w:t>Where non-resident investors were involved in our private equity financing, if such transactions were determined by the tax authorities to lack reasonable commercial purpose, we and our non-resident investors may become at risk of being required to file a return and taxed under SAT Bulletin 7 and/or SAT Bulletin 37 and we may be required to expend valuable resources to comply with SAT Bulletin 7 and/or SAT Bulletin 37 or to establish that we should not be held liable for any obligations under SAT Bulletin 7 and/or SAT Bulletin 37.</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PRC Value-added Tax (“VAT”) in lieu of Business Tax (the “VAT Pilot Program”)</w:t>
      </w:r>
    </w:p>
    <w:p>
      <w:pPr>
        <w:spacing w:after="0" w:line="103" w:lineRule="exact"/>
        <w:rPr>
          <w:sz w:val="20"/>
          <w:szCs w:val="20"/>
          <w:color w:val="auto"/>
        </w:rPr>
      </w:pPr>
    </w:p>
    <w:p>
      <w:pPr>
        <w:ind w:firstLine="547"/>
        <w:spacing w:after="0" w:line="248" w:lineRule="auto"/>
        <w:rPr>
          <w:sz w:val="20"/>
          <w:szCs w:val="20"/>
          <w:color w:val="auto"/>
        </w:rPr>
      </w:pPr>
      <w:r>
        <w:rPr>
          <w:rFonts w:ascii="Arial" w:cs="Arial" w:eastAsia="Arial" w:hAnsi="Arial"/>
          <w:sz w:val="17"/>
          <w:szCs w:val="17"/>
          <w:color w:val="auto"/>
        </w:rPr>
        <w:t>On March 23, 2016, the Ministry of Finance and the SAT issued the Circular on Comprehensively Promoting the Pilot Program of the Collection of Value-added Tax in Lieu of Business Tax. Effective from May 1, 2016, the PRC tax authorities collect VAT in lieu of Business Tax on a trial basis within the territory of China, and in industries such as construction industries, real estate industries, financial industries, and living service industries. On April 4, 2018, the Ministry of Finance and the SAT issued the Notice on the Adjustment of the Value Added Tax Rate, pursuant to which the Value Added Tax Rate of part of the taxable action is adjusted to decline. On March 20, 2019, the Ministry of Finance, the SAT and the General Administration of Customs jointly issued the Notice on the Policy Concerning Deepening the Reform of Value Added Tax, or Notice 39, which became effective on April 1, 2019. The Notice 39 further changed the Value Added Tax rate of 16% and 10% into 13% and 9%.</w:t>
      </w:r>
    </w:p>
    <w:p>
      <w:pPr>
        <w:spacing w:after="0" w:line="181" w:lineRule="exact"/>
        <w:rPr>
          <w:sz w:val="20"/>
          <w:szCs w:val="20"/>
          <w:color w:val="auto"/>
        </w:rPr>
      </w:pPr>
    </w:p>
    <w:p>
      <w:pPr>
        <w:ind w:right="80" w:firstLine="547"/>
        <w:spacing w:after="0" w:line="286" w:lineRule="auto"/>
        <w:rPr>
          <w:sz w:val="20"/>
          <w:szCs w:val="20"/>
          <w:color w:val="auto"/>
        </w:rPr>
      </w:pPr>
      <w:r>
        <w:rPr>
          <w:rFonts w:ascii="Arial" w:cs="Arial" w:eastAsia="Arial" w:hAnsi="Arial"/>
          <w:sz w:val="15"/>
          <w:szCs w:val="15"/>
          <w:color w:val="auto"/>
        </w:rPr>
        <w:t>Pursuant to Notice 39, from April 1, 2019 to December 31, 2021, for taxpayers providing production and living services, the deductible input VAT amount for the current period shall be added additional 10% based on the actual input VAT amount. On September 30, 2019, the Ministry of Finance and the SAT jointly issued the Announcement on Clarifying the VAT Weighted Deduction Policy for the Living Services, or Bulletin 87, pursuant to which, from October 1, 2019 to December 31, 2021, the taxpayers engaging in providing living services are allowed to deduct additional 15% of the deductible input VAT amount for the current period from the payable tax. The taxpayers providing production and living services refer to the taxpayers whose sales generated from the postal service, telecommunication service, modern service, living service account for more than 50% of the total sales. On March 21, 2019, the SAT issued the Notice on the Matters Concerning Deepening the Reform of Value Added Tax, or SAT Bulletin 14, which further clarifies the methods of declaring the aforesaid additional deductible input VAT amount.</w:t>
      </w:r>
    </w:p>
    <w:p>
      <w:pPr>
        <w:spacing w:after="0" w:line="156" w:lineRule="exact"/>
        <w:rPr>
          <w:sz w:val="20"/>
          <w:szCs w:val="20"/>
          <w:color w:val="auto"/>
        </w:rPr>
      </w:pPr>
    </w:p>
    <w:p>
      <w:pPr>
        <w:ind w:right="80" w:firstLine="547"/>
        <w:spacing w:after="0" w:line="332" w:lineRule="auto"/>
        <w:rPr>
          <w:sz w:val="20"/>
          <w:szCs w:val="20"/>
          <w:color w:val="auto"/>
        </w:rPr>
      </w:pPr>
      <w:r>
        <w:rPr>
          <w:rFonts w:ascii="Arial" w:cs="Arial" w:eastAsia="Arial" w:hAnsi="Arial"/>
          <w:sz w:val="15"/>
          <w:szCs w:val="15"/>
          <w:color w:val="auto"/>
        </w:rPr>
        <w:t>Since January 2020, in accordance with Announcement of the Ministry of Finance and the SAT [2020] No.8 and Announcement of the Ministry of Finance and the SAT [2021] No.7, due to the Novel coronavirus (“COVID-19”) pandemic, the VAT on certain services was temporarily exempted until March 31, 2021.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Relating to Employment and Social Insurance</w:t>
      </w:r>
    </w:p>
    <w:p>
      <w:pPr>
        <w:spacing w:after="0" w:line="107" w:lineRule="exact"/>
        <w:rPr>
          <w:sz w:val="20"/>
          <w:szCs w:val="20"/>
          <w:color w:val="auto"/>
        </w:rPr>
      </w:pPr>
    </w:p>
    <w:p>
      <w:pPr>
        <w:ind w:right="200" w:firstLine="547"/>
        <w:spacing w:after="0" w:line="296" w:lineRule="auto"/>
        <w:rPr>
          <w:sz w:val="20"/>
          <w:szCs w:val="20"/>
          <w:color w:val="auto"/>
        </w:rPr>
      </w:pPr>
      <w:r>
        <w:rPr>
          <w:rFonts w:ascii="Arial" w:cs="Arial" w:eastAsia="Arial" w:hAnsi="Arial"/>
          <w:sz w:val="16"/>
          <w:szCs w:val="16"/>
          <w:color w:val="auto"/>
        </w:rPr>
        <w:t>We are subject to laws and regulations governing our relationship with our employees, including wage and hour requirements, working and safety conditions, and social insurance, housing funds and other welfare. The compliance with these laws and regulations may require substantial resources.</w:t>
      </w:r>
    </w:p>
    <w:p>
      <w:pPr>
        <w:spacing w:after="0" w:line="144" w:lineRule="exact"/>
        <w:rPr>
          <w:sz w:val="20"/>
          <w:szCs w:val="20"/>
          <w:color w:val="auto"/>
        </w:rPr>
      </w:pPr>
    </w:p>
    <w:p>
      <w:pPr>
        <w:ind w:right="20" w:firstLine="547"/>
        <w:spacing w:after="0" w:line="304" w:lineRule="auto"/>
        <w:rPr>
          <w:sz w:val="20"/>
          <w:szCs w:val="20"/>
          <w:color w:val="auto"/>
        </w:rPr>
      </w:pPr>
      <w:r>
        <w:rPr>
          <w:rFonts w:ascii="Arial" w:cs="Arial" w:eastAsia="Arial" w:hAnsi="Arial"/>
          <w:sz w:val="15"/>
          <w:szCs w:val="15"/>
          <w:color w:val="auto"/>
        </w:rPr>
        <w:t>Pursuant to the PRC Labor Law effective as of January 1, 1995 (as amended on December 29, 2018) and the PRC Labor Contract Law effective as of January 1, 2008 (as amended on December 28, 2012), a written labor contract shall be executed by employer and an employee when the employment relationship is established, and an employer is under an obligation to sign an unlimited-term labor contract with any employee who has worked for the employer for ten consecutive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67" w:name="page68"/>
    <w:bookmarkEnd w:id="67"/>
    <w:p>
      <w:pPr>
        <w:spacing w:after="0" w:line="283" w:lineRule="auto"/>
        <w:rPr>
          <w:sz w:val="20"/>
          <w:szCs w:val="20"/>
          <w:color w:val="auto"/>
        </w:rPr>
      </w:pPr>
      <w:r>
        <w:rPr>
          <w:rFonts w:ascii="Arial" w:cs="Arial" w:eastAsia="Arial" w:hAnsi="Arial"/>
          <w:sz w:val="15"/>
          <w:szCs w:val="15"/>
          <w:color w:val="auto"/>
        </w:rPr>
        <w:t>years. Further, if an employee requests or agrees to renew a fixed-term labor contract that has already been entered into twice consecutively, the resulting contract must have an unlimited term, with certain exceptions. The employer must also pay severance to an employee in nearly all instances where a labor contract, including a contract with an unlimited term, is terminated or expires. All employers must compensate their employees equal to at least the local minimum wage standards. All employers are required to establish a system for labor safety and sanitation, strictly abide by state rules and standards and provide employees with appropriate workplace safety training. In addition, the government has continued to introduce various new labor-related regulations after the Labor Contract Law. Among other things, new annual leave requirements mandate that annual leave ranging from 5 to 15 days is available to nearly all employees and further require that the employer compensate an employee for any annual leave days the employee is unable to take in the amount of three times his daily salary, subject to certain exceptions. Moreover, all PRC enterprises are generally required to implement a standard working time system of eight hours a day and forty hours a week, and if the implementation of such standard working time system is not appropriate due to the nature of the job or the characteristics of business operation, the enterprise may implement a flexible working time system or comprehensive working time system after obtaining approvals from the relevant authorities.</w:t>
      </w:r>
    </w:p>
    <w:p>
      <w:pPr>
        <w:spacing w:after="0" w:line="159" w:lineRule="exact"/>
        <w:rPr>
          <w:sz w:val="20"/>
          <w:szCs w:val="20"/>
          <w:color w:val="auto"/>
        </w:rPr>
      </w:pPr>
    </w:p>
    <w:p>
      <w:pPr>
        <w:ind w:right="20" w:firstLine="547"/>
        <w:spacing w:after="0" w:line="264" w:lineRule="auto"/>
        <w:rPr>
          <w:sz w:val="20"/>
          <w:szCs w:val="20"/>
          <w:color w:val="auto"/>
        </w:rPr>
      </w:pPr>
      <w:r>
        <w:rPr>
          <w:rFonts w:ascii="Arial" w:cs="Arial" w:eastAsia="Arial" w:hAnsi="Arial"/>
          <w:sz w:val="16"/>
          <w:szCs w:val="16"/>
          <w:color w:val="auto"/>
        </w:rPr>
        <w:t>In addition, employers in China are obliged to pay contributions to the social insurance plan and the housing fund plan for their employees, and such contribution amount payable shall be calculated based on the employee actual salary in accordance with the relevant regulations. According to the Notice on the Reduction or Exemption of Enterprises’ Social Security Contributions in Phases jointly promulgated by the Ministry of Human Resources and Social Security, the Ministry of Finance and the SAT on February 20, 2020, with effect from February 2020, with certain exceptions, based on the epidemic impact and the fund threshold, small, medium and micro enterprises and the enterprises in Hubei may be exempted from contributions to the basic pension insurance, unemployment insurance, and work injury insurance, with the exemption period not exceed five months; and contributions to such three social security contribution items by other social security participating organizations (excluding State agencies and institutions) such as large enterprises may be reduced by 50% by, with the reduction period not exceed three months. According to the relevant implementation policies in Beijing, the contributions to the basic pension insurance, unemployment insurance, and work injury insurance of large enterprise shall be reduced by 50% from February 2020 to April 2020, and the contributions of small, medium and micro enterprises will be exempted from February 2020 to June 2020.</w:t>
      </w:r>
    </w:p>
    <w:p>
      <w:pPr>
        <w:spacing w:after="0" w:line="169" w:lineRule="exact"/>
        <w:rPr>
          <w:sz w:val="20"/>
          <w:szCs w:val="20"/>
          <w:color w:val="auto"/>
        </w:rPr>
      </w:pPr>
    </w:p>
    <w:p>
      <w:pPr>
        <w:ind w:right="60" w:firstLine="547"/>
        <w:spacing w:after="0" w:line="265" w:lineRule="auto"/>
        <w:rPr>
          <w:sz w:val="20"/>
          <w:szCs w:val="20"/>
          <w:color w:val="auto"/>
        </w:rPr>
      </w:pPr>
      <w:r>
        <w:rPr>
          <w:rFonts w:ascii="Arial" w:cs="Arial" w:eastAsia="Arial" w:hAnsi="Arial"/>
          <w:sz w:val="16"/>
          <w:szCs w:val="16"/>
          <w:color w:val="auto"/>
        </w:rPr>
        <w:t>On June 22, 2020, the Ministry of Human Resources and Social Security, the Ministry of Finance and the SAT jointly promulgated a follow-up notice regarding the reduction or exemption of enterprises’ social security contributions. This notice provides that, among other things, the exemption period for small, medium and micro enterprises to contribute to the basic pension insurance, unemployment insurance, and work injury insurance shall last till the end of December 2020 and the reduction period for the large enterprises (excluding State agencies and institutions) to contribute to the basic pension insurance, unemployment insurance, and work injury insurance outside Hubei shall last till the end of June 2020 while the exemption period for the large enterprises within Hubei to contribute to the basic pension insurance, unemployment insurance, and work injury insurance shall last till the end of June 2020. The enterprises with serious difficulties in production and operation due to COVID-19 may continue to postpone the payment of social insurance premiums until the end of December 2020, and there will be no overdue fine during the period of suspension.</w:t>
      </w:r>
    </w:p>
    <w:p>
      <w:pPr>
        <w:spacing w:after="0" w:line="169" w:lineRule="exact"/>
        <w:rPr>
          <w:sz w:val="20"/>
          <w:szCs w:val="20"/>
          <w:color w:val="auto"/>
        </w:rPr>
      </w:pPr>
    </w:p>
    <w:p>
      <w:pPr>
        <w:ind w:right="20" w:firstLine="547"/>
        <w:spacing w:after="0" w:line="295" w:lineRule="auto"/>
        <w:rPr>
          <w:sz w:val="20"/>
          <w:szCs w:val="20"/>
          <w:color w:val="auto"/>
        </w:rPr>
      </w:pPr>
      <w:r>
        <w:rPr>
          <w:rFonts w:ascii="Arial" w:cs="Arial" w:eastAsia="Arial" w:hAnsi="Arial"/>
          <w:sz w:val="15"/>
          <w:szCs w:val="15"/>
          <w:color w:val="auto"/>
        </w:rPr>
        <w:t>On February 21, 2020, the Ministry of Housing and Urban-Rural Development, the Ministry of Finance and PBOC jointly promulgated Notice on Implementing the Phased Support Policies Involving Housing Fund to Properly Cope with the COVID-19, which provides that, among other things, an enterprise affected by COVID-19 may apply for postponing contribution to the housing fund by June 30, 2020 in accordance with the relevant provisions, and in regions with identified serious COVID-19, enterprises may voluntarily contribute to the housing provident fund by June 30, 2020 on the premise of full consultation with their employees.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8" w:name="page69"/>
    <w:bookmarkEnd w:id="68"/>
    <w:p>
      <w:pPr>
        <w:spacing w:after="0"/>
        <w:tabs>
          <w:tab w:leader="none" w:pos="520" w:val="left"/>
        </w:tabs>
        <w:rPr>
          <w:sz w:val="20"/>
          <w:szCs w:val="20"/>
          <w:color w:val="auto"/>
        </w:rPr>
      </w:pPr>
      <w:r>
        <w:rPr>
          <w:rFonts w:ascii="Arial" w:cs="Arial" w:eastAsia="Arial" w:hAnsi="Arial"/>
          <w:sz w:val="17"/>
          <w:szCs w:val="17"/>
          <w:b w:val="1"/>
          <w:bCs w:val="1"/>
          <w:color w:val="auto"/>
        </w:rPr>
        <w:t>4.C.</w:t>
      </w:r>
      <w:r>
        <w:rPr>
          <w:sz w:val="20"/>
          <w:szCs w:val="20"/>
          <w:color w:val="auto"/>
        </w:rPr>
        <w:tab/>
      </w:r>
      <w:r>
        <w:rPr>
          <w:rFonts w:ascii="Arial" w:cs="Arial" w:eastAsia="Arial" w:hAnsi="Arial"/>
          <w:sz w:val="15"/>
          <w:szCs w:val="15"/>
          <w:b w:val="1"/>
          <w:bCs w:val="1"/>
          <w:color w:val="auto"/>
        </w:rPr>
        <w:t>Organizational Structure</w:t>
      </w:r>
    </w:p>
    <w:p>
      <w:pPr>
        <w:spacing w:after="0" w:line="107" w:lineRule="exact"/>
        <w:rPr>
          <w:sz w:val="20"/>
          <w:szCs w:val="20"/>
          <w:color w:val="auto"/>
        </w:rPr>
      </w:pPr>
    </w:p>
    <w:p>
      <w:pPr>
        <w:ind w:right="200" w:firstLine="547"/>
        <w:spacing w:after="0" w:line="264" w:lineRule="auto"/>
        <w:rPr>
          <w:sz w:val="20"/>
          <w:szCs w:val="20"/>
          <w:color w:val="auto"/>
        </w:rPr>
      </w:pPr>
      <w:r>
        <w:rPr>
          <w:rFonts w:ascii="Arial" w:cs="Arial" w:eastAsia="Arial" w:hAnsi="Arial"/>
          <w:sz w:val="17"/>
          <w:szCs w:val="17"/>
          <w:color w:val="auto"/>
        </w:rPr>
        <w:t>The following chart illustrates our organizational structure, including our significant subsidiaries as that term is defined under Section 1-02 of Regulation S-X under the Secuities Act, our VIEs and certain other subsidiaires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2400300</wp:posOffset>
            </wp:positionV>
            <wp:extent cx="25336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3365" cy="7620"/>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177800</wp:posOffset>
            </wp:positionV>
            <wp:extent cx="5299710" cy="2009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99710" cy="200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right="240" w:hanging="540"/>
        <w:spacing w:after="0" w:line="228" w:lineRule="auto"/>
        <w:tabs>
          <w:tab w:leader="none" w:pos="540" w:val="left"/>
        </w:tabs>
        <w:numPr>
          <w:ilvl w:val="0"/>
          <w:numId w:val="22"/>
        </w:numPr>
        <w:rPr>
          <w:rFonts w:ascii="Arial" w:cs="Arial" w:eastAsia="Arial" w:hAnsi="Arial"/>
          <w:sz w:val="13"/>
          <w:szCs w:val="13"/>
          <w:color w:val="181717"/>
        </w:rPr>
      </w:pPr>
      <w:r>
        <w:rPr>
          <w:rFonts w:ascii="Arial" w:cs="Arial" w:eastAsia="Arial" w:hAnsi="Arial"/>
          <w:sz w:val="13"/>
          <w:szCs w:val="13"/>
          <w:color w:val="181717"/>
        </w:rPr>
        <w:t>The Founder Holding Platform refers to Pingxiang Miniewa Asset Management Consultancy Center (Limited Partnership), whose general manager is Mr. Jianhong Yin, also known as Peng Ou, our founder and chairman of our Board of Directors.</w:t>
      </w:r>
    </w:p>
    <w:p>
      <w:pPr>
        <w:ind w:left="540" w:right="160" w:hanging="540"/>
        <w:spacing w:after="0" w:line="231" w:lineRule="auto"/>
        <w:tabs>
          <w:tab w:leader="none" w:pos="540" w:val="left"/>
        </w:tabs>
        <w:numPr>
          <w:ilvl w:val="0"/>
          <w:numId w:val="22"/>
        </w:numPr>
        <w:rPr>
          <w:rFonts w:ascii="Arial" w:cs="Arial" w:eastAsia="Arial" w:hAnsi="Arial"/>
          <w:sz w:val="13"/>
          <w:szCs w:val="13"/>
          <w:color w:val="181717"/>
        </w:rPr>
      </w:pPr>
      <w:r>
        <w:rPr>
          <w:rFonts w:ascii="Arial" w:cs="Arial" w:eastAsia="Arial" w:hAnsi="Arial"/>
          <w:sz w:val="13"/>
          <w:szCs w:val="13"/>
          <w:color w:val="181717"/>
        </w:rPr>
        <w:t>The Senior Management Holding Platforms consist of Pingxiang Wuerken Asset Management Consultancy Center (Limited Partnership), Pingxiang Saiersi Asset Management Consultancy Center (Limited Partnership), Pingxiang Xisailuo Asset Management Consultancy Center (Limited Partnership) and Pingxiang Bosaidong Asset Management Consultancy Center (Limited Partnership). The general partner of each of these entities is Mr. Tongbo Liu, our chief executive officer and director.</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Arrangements with Consolidated VIEs and Their Shareholders</w:t>
      </w:r>
    </w:p>
    <w:p>
      <w:pPr>
        <w:spacing w:after="0" w:line="107" w:lineRule="exact"/>
        <w:rPr>
          <w:sz w:val="20"/>
          <w:szCs w:val="20"/>
          <w:color w:val="auto"/>
        </w:rPr>
      </w:pPr>
    </w:p>
    <w:p>
      <w:pPr>
        <w:ind w:right="40" w:firstLine="547"/>
        <w:spacing w:after="0" w:line="254" w:lineRule="auto"/>
        <w:rPr>
          <w:sz w:val="20"/>
          <w:szCs w:val="20"/>
          <w:color w:val="auto"/>
        </w:rPr>
      </w:pPr>
      <w:r>
        <w:rPr>
          <w:rFonts w:ascii="Arial" w:cs="Arial" w:eastAsia="Arial" w:hAnsi="Arial"/>
          <w:sz w:val="17"/>
          <w:szCs w:val="17"/>
          <w:color w:val="auto"/>
        </w:rPr>
        <w:t>Currently, our online education service business in China is operated partially through our VIEs and their subsidiaries due to PRC legal restrictions on foreign ownership in value-added telecommunication services and other internet related business, and we have effective control over, and are the primary beneficiary of, each of our VIEs through a series of contractual arrangements.</w:t>
      </w:r>
    </w:p>
    <w:p>
      <w:pPr>
        <w:spacing w:after="0" w:line="77" w:lineRule="exact"/>
        <w:rPr>
          <w:sz w:val="20"/>
          <w:szCs w:val="20"/>
          <w:color w:val="auto"/>
        </w:rPr>
      </w:pPr>
    </w:p>
    <w:p>
      <w:pPr>
        <w:ind w:right="160" w:firstLine="547"/>
        <w:spacing w:after="0" w:line="296" w:lineRule="auto"/>
        <w:rPr>
          <w:sz w:val="20"/>
          <w:szCs w:val="20"/>
          <w:color w:val="auto"/>
        </w:rPr>
      </w:pPr>
      <w:r>
        <w:rPr>
          <w:rFonts w:ascii="Arial" w:cs="Arial" w:eastAsia="Arial" w:hAnsi="Arial"/>
          <w:sz w:val="16"/>
          <w:szCs w:val="16"/>
          <w:color w:val="auto"/>
        </w:rPr>
        <w:t>In August 2017, Wuhan Zhibo, a wholly-owned subsidiary of us, entered into a series of contractual arrangements with Beijing Sunlands, and the shareholders of Beijing Sunlands, through which we obtained effective control over, and became the primary beneficiary of Beijing Sunlands.</w:t>
      </w:r>
    </w:p>
    <w:p>
      <w:pPr>
        <w:spacing w:after="0" w:line="44" w:lineRule="exact"/>
        <w:rPr>
          <w:sz w:val="20"/>
          <w:szCs w:val="20"/>
          <w:color w:val="auto"/>
        </w:rPr>
      </w:pPr>
    </w:p>
    <w:p>
      <w:pPr>
        <w:ind w:right="80" w:firstLine="547"/>
        <w:spacing w:after="0" w:line="288" w:lineRule="auto"/>
        <w:rPr>
          <w:sz w:val="20"/>
          <w:szCs w:val="20"/>
          <w:color w:val="auto"/>
        </w:rPr>
      </w:pPr>
      <w:r>
        <w:rPr>
          <w:rFonts w:ascii="Arial" w:cs="Arial" w:eastAsia="Arial" w:hAnsi="Arial"/>
          <w:sz w:val="15"/>
          <w:szCs w:val="15"/>
          <w:color w:val="auto"/>
        </w:rPr>
        <w:t>From September 2019 to December 2020, Wuhan Zhibo entered into a series of contractual arrangements with Wuhan Xiaoyan, Wuhan Jiayan, Beijing Odysseus, Guangzhou Wudawei, Guangzhou Tianyong, Wuhan Hadeliang and Tianjin Shangde, as well as their shareholders and, where applicable, operating subsidiaries of them, through which we obtained effective control over, and became the primary beneficiary of these VIEs. In addition, from December 2020 to Febuarary 2021, Tianjin Sunlands, a wholly-owned subsidiary of us, entered into a series of contractual arrangements with Wuhan Fangtang, Beijing Zhiziyuanshui and Beijing Feibian, as well as their shareholders and, where applicable, operating subsidiaries of them, through which we obtained effective control over, and became the primary beneficiary of these VIEs. The terms of these contractual agreements are substantially similar to the agreements of Beijing Sunlands.</w:t>
      </w:r>
    </w:p>
    <w:p>
      <w:pPr>
        <w:spacing w:after="0" w:line="153" w:lineRule="exact"/>
        <w:rPr>
          <w:sz w:val="20"/>
          <w:szCs w:val="20"/>
          <w:color w:val="auto"/>
        </w:rPr>
      </w:pPr>
    </w:p>
    <w:p>
      <w:pPr>
        <w:ind w:firstLine="547"/>
        <w:spacing w:after="0" w:line="267" w:lineRule="auto"/>
        <w:rPr>
          <w:sz w:val="20"/>
          <w:szCs w:val="20"/>
          <w:color w:val="auto"/>
        </w:rPr>
      </w:pPr>
      <w:r>
        <w:rPr>
          <w:rFonts w:ascii="Arial" w:cs="Arial" w:eastAsia="Arial" w:hAnsi="Arial"/>
          <w:sz w:val="16"/>
          <w:szCs w:val="16"/>
          <w:color w:val="auto"/>
        </w:rPr>
        <w:t>Through the below contractual agreements, Wuhan Zhibo has (1) the power to direct the activities of Beijing Sunlands, Wuhan Xiaoyan, Wuhan Jiayan, Beijing Odysseus, Guangzhou Wudawei, Guangzhou Tianyong, Wuhan Hadeliang and Tianjin Shangde and their subsidiaries that most significantly affect their economic performance and (2) the right to receive substantially all the benefits from these VIEs and their subsidiaries. Similarly, Tianjin Sunlands has (1) the power to direct the activities of Wuhan Fangtang, Beijing Zhiziyuanshui and Beijing Feibian, and (2) the right to receive substantially all the benefits from these VIEs and their subsidiaries. They are therefore considered the primary beneficiaries of our VIEs and their subsidiaries, and accordingly, the results of operations, assets and liabilities of our VIEs and their subsidiaries are consolidated in our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ind w:firstLine="547"/>
        <w:spacing w:after="0" w:line="281" w:lineRule="auto"/>
        <w:rPr>
          <w:sz w:val="20"/>
          <w:szCs w:val="20"/>
          <w:color w:val="auto"/>
        </w:rPr>
      </w:pPr>
      <w:r>
        <w:rPr>
          <w:rFonts w:ascii="Arial" w:cs="Arial" w:eastAsia="Arial" w:hAnsi="Arial"/>
          <w:sz w:val="15"/>
          <w:szCs w:val="15"/>
          <w:b w:val="1"/>
          <w:bCs w:val="1"/>
          <w:i w:val="1"/>
          <w:iCs w:val="1"/>
          <w:color w:val="auto"/>
        </w:rPr>
        <w:t xml:space="preserve">Exclusive Technical Consultation and Service Agreement. </w:t>
      </w:r>
      <w:r>
        <w:rPr>
          <w:rFonts w:ascii="Arial" w:cs="Arial" w:eastAsia="Arial" w:hAnsi="Arial"/>
          <w:sz w:val="15"/>
          <w:szCs w:val="15"/>
          <w:color w:val="auto"/>
        </w:rPr>
        <w:t>Under the exclusive technical consultation and service agreement among Wuhan Zhibo, Beijing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Sunlands and the subsidiaries of Beijing Sunlands, Wuhan Zhibo has the exclusive right to provide, among other things, technical consultation and services to Beijing Sunlands and the subsidiaries of Beijing Sunlands, and Beijing Sunlands and the subsidiaries of Beijing Sunlands agree to accept all the consultation and services provided by Wuhan Zhibo. Without Wuhan Zhibo’s prior written consent, Beijing Sunlands and the subsidiaries of Beijing Sunlands are prohibited from engaging any third party to provide any services contemplated by this agreement. In addition, Wuhan Zhibo has exclusive and proprietary ownership, rights and interests in any and all intellectual properties arising out of or created during the performance of this agreement. Beijing Sunlands and the subsidiaries of Beijing Sunlands agree to pay a quarterly service fee to Wuhan Zhibo at an aggregate amount of a certain percentage ranging from 10% to 100% of Beijing Sunlands and the subsidiaries of Beijing Sunlands monthly revenue. Unless terminated by Wuhan Zhibo, this agreement will remain effective until the dissolution of Beijing Sunlands and the subsidiaries of Beijing Sunlands. Without Wuhan Zhibo’s prior written consent, Beijing Sunlands and the subsidiaries of Beijing Sunlands do not have the right to terminate this exclusive technical consultation and service agreement. Wuhan Zhibo has entered into exclusive technical consultation and service agreements with Wuhan Xiaoyan, Wuhan Jiayan, Beijing Odysseus, Guangzhou Wudawei, Guangzhou Tianyong, Wuhan Hadeliang and Tianjin Shangde and their subsidiaries, and Tianjin Sunlands has entered into exclusive technical consultation and service agreements with Wuhan Fangtang, Beijing Zhiziyuanshui and Beijing Feibian and their subsidiaries, the terms of which are substantially the same as the agreement of Beijing Sunlands summarized above.</w:t>
      </w:r>
    </w:p>
    <w:p>
      <w:pPr>
        <w:spacing w:after="0" w:line="165" w:lineRule="exact"/>
        <w:rPr>
          <w:sz w:val="20"/>
          <w:szCs w:val="20"/>
          <w:color w:val="auto"/>
        </w:rPr>
      </w:pPr>
    </w:p>
    <w:p>
      <w:pPr>
        <w:ind w:firstLine="547"/>
        <w:spacing w:after="0" w:line="281" w:lineRule="auto"/>
        <w:rPr>
          <w:sz w:val="20"/>
          <w:szCs w:val="20"/>
          <w:color w:val="auto"/>
        </w:rPr>
      </w:pPr>
      <w:r>
        <w:rPr>
          <w:rFonts w:ascii="Arial" w:cs="Arial" w:eastAsia="Arial" w:hAnsi="Arial"/>
          <w:sz w:val="15"/>
          <w:szCs w:val="15"/>
          <w:b w:val="1"/>
          <w:bCs w:val="1"/>
          <w:i w:val="1"/>
          <w:iCs w:val="1"/>
          <w:color w:val="auto"/>
        </w:rPr>
        <w:t xml:space="preserve">Business Operation Agreement. </w:t>
      </w:r>
      <w:r>
        <w:rPr>
          <w:rFonts w:ascii="Arial" w:cs="Arial" w:eastAsia="Arial" w:hAnsi="Arial"/>
          <w:sz w:val="15"/>
          <w:szCs w:val="15"/>
          <w:color w:val="auto"/>
        </w:rPr>
        <w:t>Under the business operation agreement, each of Beijing Sunlands, the subsidiaries of Beijing Sunlands and the shareholders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Beijing Sunlands confirmed and agreed that, without Wuhan Zhibo’s prior written consent, it shall not make any transaction that has a material adverse effect on the assets, business, personnel, obligations, rights or operations of Beijing Sunlands and the subsidiaries of Beijing Sunlands, including but not limited to sale or purchase of any assets or rights exceeding RMB50,000, incurrence of any encumbrance on any of its assets, including intellectual property rights, in favor of a third party, amendment of its articles of association or business scope, or change of its normal operation procedures. Beijing Sunlands, the subsidiaries of Beijing Sunlands and the shareholders of Beijing Sunlands shall accept and execute opinions and instructions of Wuhan Zhibo in connection with the employee engagement and dismissal, daily operations and financial management systems. The shareholders of Beijing Sunlands shall elect or appoint the candidates recommended by Wuhan Zhibo as Beijing Sunlands’ directors and supervisors, and procure the appointment of Beijing Sunlands’ chairman of the board and senior management pursuant to Wuhan Zhibo’s designation. The agreement also provides that if any of the agreements among Wuhan Zhibo, Beijing Sunlands and the subsidiaries of Beijing Sunlands is terminated, Wuhan Zhibo is entitled to terminate all of the other agreements among itself, Beijing Sunlands and the subsidiaries of Beijing Sunlands. This agreement will remain binding until dissolution of Beijing Sunlands and all the subsidiaries of Beijing Sunlands. Wuhan Zhibo has entered into business operation agreements with Wuhan Xiaoyan, Wuhan Jiayan, Beijing Odysseus, Guangzhou Wudawei, Guangzhou Tianyong, Wuhan Hadeliang and Tianjin Shangde and their subsidiaries and shareholders, and Tianjin Sunlands has entered into business operation agreements with Wuhan Fangtang, Beijing Zhiziyuanshui and Beijing Feibian and their subsidiaries and shareholders, the terms of which are substantially the same as the agreement of Beijing Sunlands summarized above.</w:t>
      </w:r>
    </w:p>
    <w:p>
      <w:pPr>
        <w:spacing w:after="0" w:line="162" w:lineRule="exact"/>
        <w:rPr>
          <w:sz w:val="20"/>
          <w:szCs w:val="20"/>
          <w:color w:val="auto"/>
        </w:rPr>
      </w:pPr>
    </w:p>
    <w:p>
      <w:pPr>
        <w:ind w:right="40" w:firstLine="547"/>
        <w:spacing w:after="0" w:line="283" w:lineRule="auto"/>
        <w:rPr>
          <w:sz w:val="20"/>
          <w:szCs w:val="20"/>
          <w:color w:val="auto"/>
        </w:rPr>
      </w:pPr>
      <w:r>
        <w:rPr>
          <w:rFonts w:ascii="Arial" w:cs="Arial" w:eastAsia="Arial" w:hAnsi="Arial"/>
          <w:sz w:val="15"/>
          <w:szCs w:val="15"/>
          <w:b w:val="1"/>
          <w:bCs w:val="1"/>
          <w:i w:val="1"/>
          <w:iCs w:val="1"/>
          <w:color w:val="auto"/>
        </w:rPr>
        <w:t xml:space="preserve">Equity Interest Pledge Agreement. </w:t>
      </w:r>
      <w:r>
        <w:rPr>
          <w:rFonts w:ascii="Arial" w:cs="Arial" w:eastAsia="Arial" w:hAnsi="Arial"/>
          <w:sz w:val="15"/>
          <w:szCs w:val="15"/>
          <w:color w:val="auto"/>
        </w:rPr>
        <w:t>Under the equity interest pledge agreement among Wuhan Zhibo, the shareholders of Beijing Sunlands and Beijing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Sunlands, the shareholders of Beijing Sunlands pledged all of their equity interests in Beijing Sunlands to Wuhan Zhibo as security for performance of the obligations of Beijing Sunlands and its shareholders under the exclusive technical consultation and service agreement, the option agreement and the business operation agreement. The shareholders of Beijing Sunlands shall instruct Beijing Sunlands not to distribute any dividends and shall not approve any profit distribution plan. If any of the specified events of default occurs, Wuhan Zhibo may exercise the right to enforce the pledges after giving a notice of default to the shareholders of Beijing Sunlands. Wuhan Zhibo may assign any and all of its rights and obligations under the equity interest pledge agreement to its designee(s) at any time. The equity interest pledge agreement is binding on the shareholders of Beijing Sunlands and their successors. Wuhan Zhibo has entered into equity interest pledge agreements with Wuhan Xiaoyan, Wuhan Jiayan, Beijing Odysseus, Guangzhou Wudawei, Guangzhou Tianyong, Wuhan Hadeliang and Tianjin Shangde and their shareholders, and Tianjin Sunlands has entered into business operation agreements with Wuhan Fangtang, Beijing Zhiziyuanshui and Beijing Feibian and their shareholders, the terms of which are substantially the same as the agreement of Beijing Sunlands summarized above.</w:t>
      </w:r>
    </w:p>
    <w:p>
      <w:pPr>
        <w:spacing w:after="0" w:line="159" w:lineRule="exact"/>
        <w:rPr>
          <w:sz w:val="20"/>
          <w:szCs w:val="20"/>
          <w:color w:val="auto"/>
        </w:rPr>
      </w:pPr>
    </w:p>
    <w:p>
      <w:pPr>
        <w:ind w:right="20" w:firstLine="547"/>
        <w:spacing w:after="0" w:line="248" w:lineRule="auto"/>
        <w:rPr>
          <w:sz w:val="20"/>
          <w:szCs w:val="20"/>
          <w:color w:val="auto"/>
        </w:rPr>
      </w:pPr>
      <w:r>
        <w:rPr>
          <w:rFonts w:ascii="Arial" w:cs="Arial" w:eastAsia="Arial" w:hAnsi="Arial"/>
          <w:sz w:val="17"/>
          <w:szCs w:val="17"/>
          <w:b w:val="1"/>
          <w:bCs w:val="1"/>
          <w:i w:val="1"/>
          <w:iCs w:val="1"/>
          <w:color w:val="auto"/>
        </w:rPr>
        <w:t xml:space="preserve">Option Agreement. </w:t>
      </w:r>
      <w:r>
        <w:rPr>
          <w:rFonts w:ascii="Arial" w:cs="Arial" w:eastAsia="Arial" w:hAnsi="Arial"/>
          <w:sz w:val="17"/>
          <w:szCs w:val="17"/>
          <w:color w:val="auto"/>
        </w:rPr>
        <w:t>Pursuant to the option agreement among Wuhan Zhibo, the shareholders of Beijing Sunlands and Beijing Sunlands, each of the shareholders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irrevocably granted Wuhan Zhibo a right to purchase, or designate a third party to purchase, equity interests in Beijing Sunlands then held by each shareholder at once or at multiple times at any time in part or in whole at Wuhan Zhibo’s sole and absolute discretion to the extent permitted by PRC law. The shareholders of Beijing Sunlands shall promptly surrender all considerations they received from the exercise of the options to Wuhan Zhibo or the designated third party free of charge. Without Wuhan Zhibo’s prior written consent, the shareholders of Beijing Sunlands shall not, individually or collectively, make or procure Beijing Sunlands to make in any transaction or conduct that has 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70" w:name="page71"/>
    <w:bookmarkEnd w:id="70"/>
    <w:p>
      <w:pPr>
        <w:spacing w:after="0" w:line="266" w:lineRule="auto"/>
        <w:rPr>
          <w:sz w:val="20"/>
          <w:szCs w:val="20"/>
          <w:color w:val="auto"/>
        </w:rPr>
      </w:pPr>
      <w:r>
        <w:rPr>
          <w:rFonts w:ascii="Arial" w:cs="Arial" w:eastAsia="Arial" w:hAnsi="Arial"/>
          <w:sz w:val="16"/>
          <w:szCs w:val="16"/>
          <w:color w:val="auto"/>
        </w:rPr>
        <w:t>material adverse effect on the assets, liabilities, operations, equity and other legal rights of Beijing Sunlands. Without Wuhan Zhibo’s prior written consent, Beijing Sunlands shall not enter into any contract exceeding RMB50,000, except the contracts in the ordinary course of the business. Beijing Sunlands shall not be dissolved or liquidated without prior written consent by Wuhan Zhibo. The shareholders of Beijing Sunlands waive their rights of pre-emption in regard to the transfer of equity interest by any other shareholder of Beijing Sunlands to Wuhan Zhibo as instructed. Wuhan Zhibo has entered into option agreements with Wuhan Xiaoyan, Wuhan Jiayan, Beijing Odysseus, Guangzhou Wudawei, Guangzhou Tianyong, Wuhan Hadeliang and Tianjin Shangde and their shareholders, and Tianjin Sunlands has entered into option agreements with Wuhan Fangtang, Beijing Zhiziyuanshui and Beijing Feibian and their shareholders, the terms of which are substantially the same as the agreement of Beijing Sunlands summarized above.</w:t>
      </w:r>
    </w:p>
    <w:p>
      <w:pPr>
        <w:spacing w:after="0" w:line="167" w:lineRule="exact"/>
        <w:rPr>
          <w:sz w:val="20"/>
          <w:szCs w:val="20"/>
          <w:color w:val="auto"/>
        </w:rPr>
      </w:pPr>
    </w:p>
    <w:p>
      <w:pPr>
        <w:ind w:firstLine="547"/>
        <w:spacing w:after="0" w:line="283" w:lineRule="auto"/>
        <w:rPr>
          <w:sz w:val="20"/>
          <w:szCs w:val="20"/>
          <w:color w:val="auto"/>
        </w:rPr>
      </w:pPr>
      <w:r>
        <w:rPr>
          <w:rFonts w:ascii="Arial" w:cs="Arial" w:eastAsia="Arial" w:hAnsi="Arial"/>
          <w:sz w:val="15"/>
          <w:szCs w:val="15"/>
          <w:b w:val="1"/>
          <w:bCs w:val="1"/>
          <w:i w:val="1"/>
          <w:iCs w:val="1"/>
          <w:color w:val="auto"/>
        </w:rPr>
        <w:t xml:space="preserve">Powers of Attorney. </w:t>
      </w:r>
      <w:r>
        <w:rPr>
          <w:rFonts w:ascii="Arial" w:cs="Arial" w:eastAsia="Arial" w:hAnsi="Arial"/>
          <w:sz w:val="15"/>
          <w:szCs w:val="15"/>
          <w:color w:val="auto"/>
        </w:rPr>
        <w:t>Pursuant to the powers of attorney executed by the shareholders of Beijing Sunlands, the shareholders of Beijing Sunlands each irrevocably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authorized Wuhan Zhibo to act on their respective behalf as exclusive agent and attorney with respect to all rights of shareholders concerning all equity interests held by each of them in Beijing Sunlands, including but not limited to propose to convene shareholder meetings, accept any notice with respect to the convening and proceeding of the shareholder meeting, attend shareholder meetings, sign the shareholders resolutions on their behalf, exercise all the shareholder’s rights and Beijing Sunlands’ articles of association (including but not limited to voting rights and the sale transfer, pledge or dispose of all equity interests held in part or in whole) and designate and appoint on their respective behalf the president, directors, supervisors, CEO, chief financial officer and other senior management members of Beijing Sunlands. The shareholders of Wuhan Xiaoyan, Wuhan Jiayan, Beijing Odysseus, Guangzhou Wudawei, Guangzhou Tianyong, Wuhan Hadeliang and Tianjin Shangde each irrevocably authorize Wuhan Zhibo, and the shareholders of Wuhan Fangtang, Beijing Zhiziyuanshui and Beijing Feibian each irrevocably authorize Tianjin Sunlands, to act on their respective behalf as executive agent and attorney with respect to all rights of shareholders pursuant the power of attorney executed by them, the terms of which are substantially the same as the agreement of Beijing Sunlands summarized above.</w:t>
      </w:r>
    </w:p>
    <w:p>
      <w:pPr>
        <w:spacing w:after="0" w:line="159" w:lineRule="exact"/>
        <w:rPr>
          <w:sz w:val="20"/>
          <w:szCs w:val="20"/>
          <w:color w:val="auto"/>
        </w:rPr>
      </w:pPr>
    </w:p>
    <w:p>
      <w:pPr>
        <w:ind w:right="40" w:firstLine="547"/>
        <w:spacing w:after="0" w:line="288" w:lineRule="auto"/>
        <w:rPr>
          <w:sz w:val="20"/>
          <w:szCs w:val="20"/>
          <w:color w:val="auto"/>
        </w:rPr>
      </w:pPr>
      <w:r>
        <w:rPr>
          <w:rFonts w:ascii="Arial" w:cs="Arial" w:eastAsia="Arial" w:hAnsi="Arial"/>
          <w:sz w:val="15"/>
          <w:szCs w:val="15"/>
          <w:b w:val="1"/>
          <w:bCs w:val="1"/>
          <w:i w:val="1"/>
          <w:iCs w:val="1"/>
          <w:color w:val="auto"/>
        </w:rPr>
        <w:t xml:space="preserve">Spousal Consent Letters. </w:t>
      </w:r>
      <w:r>
        <w:rPr>
          <w:rFonts w:ascii="Arial" w:cs="Arial" w:eastAsia="Arial" w:hAnsi="Arial"/>
          <w:sz w:val="15"/>
          <w:szCs w:val="15"/>
          <w:color w:val="auto"/>
        </w:rPr>
        <w:t>Pursuant to the spousal consent letters executed by the spouses of the general partners of entities as the shareholders of Beijing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Sunlands, the signing spouse confirmed and agreed that the equity interests of Beijing Sunlands are the own property of their spouses and shall not constitute the jointly possessed property of the couples. The spouses also irrevocably waived any potential right or interest that may be granted by operation of applicable law in connection with the equity interests of Beijing Sunlands held by their spouses. The spouses of the shareholders of Wuhan Xiaoyan, Wuhan Jiayan, Beijing Odysseus, Guangzhou Wudawei, Guangzhou Tianyong, Wuhan Hadeliang, Tianjin Shangde, Wuhan Fangtang, Beijing Zhiziyuanshui and Beijing Feibian, as applicable, also signed the spousal consent letters, the terms of which are substantially the same as the spousal consent letter of Beijing Sunlands summarized above.</w:t>
      </w:r>
    </w:p>
    <w:p>
      <w:pPr>
        <w:spacing w:after="0" w:line="153" w:lineRule="exact"/>
        <w:rPr>
          <w:sz w:val="20"/>
          <w:szCs w:val="20"/>
          <w:color w:val="auto"/>
        </w:rPr>
      </w:pPr>
    </w:p>
    <w:p>
      <w:pPr>
        <w:jc w:val="both"/>
        <w:ind w:right="140" w:firstLine="547"/>
        <w:spacing w:after="0" w:line="254" w:lineRule="auto"/>
        <w:rPr>
          <w:sz w:val="20"/>
          <w:szCs w:val="20"/>
          <w:color w:val="auto"/>
        </w:rPr>
      </w:pPr>
      <w:r>
        <w:rPr>
          <w:rFonts w:ascii="Arial" w:cs="Arial" w:eastAsia="Arial" w:hAnsi="Arial"/>
          <w:sz w:val="17"/>
          <w:szCs w:val="17"/>
          <w:color w:val="auto"/>
        </w:rPr>
        <w:t>As a result of the contractual arrangements above, Wuhan Zhibo and Tianjin Sunlands bear the economic risks and receive the economic benefits of our VIEs, hold the power in directing the significant activities of our VIEs, and are the primary beneficiary of our VIEs. Therefore, we have consolidated the financial results of our VIEs and their subsidiaries in our consolidated financial statements.</w:t>
      </w:r>
    </w:p>
    <w:p>
      <w:pPr>
        <w:spacing w:after="0" w:line="177" w:lineRule="exact"/>
        <w:rPr>
          <w:sz w:val="20"/>
          <w:szCs w:val="20"/>
          <w:color w:val="auto"/>
        </w:rPr>
      </w:pPr>
    </w:p>
    <w:p>
      <w:pPr>
        <w:ind w:right="180" w:firstLine="547"/>
        <w:spacing w:after="0" w:line="264" w:lineRule="auto"/>
        <w:rPr>
          <w:sz w:val="20"/>
          <w:szCs w:val="20"/>
          <w:color w:val="auto"/>
        </w:rPr>
      </w:pPr>
      <w:r>
        <w:rPr>
          <w:rFonts w:ascii="Arial" w:cs="Arial" w:eastAsia="Arial" w:hAnsi="Arial"/>
          <w:sz w:val="17"/>
          <w:szCs w:val="17"/>
          <w:color w:val="auto"/>
        </w:rPr>
        <w:t>In the opinion of Tian Yuan Law Firm, our PRC legal counsel, the contractual arrangements among our wholly-owned PRC subsidiaries, our VIEs, our VIEs’ respective shareholders and our VIEs’ respective subsidiaries are valid, binding and enforceable under current PRC law.</w:t>
      </w:r>
    </w:p>
    <w:p>
      <w:pPr>
        <w:spacing w:after="0" w:line="168" w:lineRule="exact"/>
        <w:rPr>
          <w:sz w:val="20"/>
          <w:szCs w:val="20"/>
          <w:color w:val="auto"/>
        </w:rPr>
      </w:pPr>
    </w:p>
    <w:p>
      <w:pPr>
        <w:jc w:val="both"/>
        <w:ind w:right="320" w:firstLine="547"/>
        <w:spacing w:after="0" w:line="254" w:lineRule="auto"/>
        <w:rPr>
          <w:sz w:val="20"/>
          <w:szCs w:val="20"/>
          <w:color w:val="auto"/>
        </w:rPr>
      </w:pPr>
      <w:r>
        <w:rPr>
          <w:rFonts w:ascii="Arial" w:cs="Arial" w:eastAsia="Arial" w:hAnsi="Arial"/>
          <w:sz w:val="17"/>
          <w:szCs w:val="17"/>
          <w:color w:val="auto"/>
        </w:rPr>
        <w:t>However, these contractual arrangements may not be as effective in providing control as direct ownership. There are substantial uncertainties regarding the interpretation and application of current or future PRC laws and regulations. For a description of the risks related to our corporate structure, please see “Item 3. Key Information—3.D. Risk Factors—Risk Factors—Risks Related to Our Corporate Structure.”</w:t>
      </w:r>
    </w:p>
    <w:p>
      <w:pPr>
        <w:spacing w:after="0" w:line="27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4.D.</w:t>
      </w:r>
      <w:r>
        <w:rPr>
          <w:sz w:val="20"/>
          <w:szCs w:val="20"/>
          <w:color w:val="auto"/>
        </w:rPr>
        <w:tab/>
      </w:r>
      <w:r>
        <w:rPr>
          <w:rFonts w:ascii="Arial" w:cs="Arial" w:eastAsia="Arial" w:hAnsi="Arial"/>
          <w:sz w:val="15"/>
          <w:szCs w:val="15"/>
          <w:b w:val="1"/>
          <w:bCs w:val="1"/>
          <w:color w:val="auto"/>
        </w:rPr>
        <w:t>Property, Plants and Equipment</w:t>
      </w:r>
    </w:p>
    <w:p>
      <w:pPr>
        <w:spacing w:after="0" w:line="107" w:lineRule="exact"/>
        <w:rPr>
          <w:sz w:val="20"/>
          <w:szCs w:val="20"/>
          <w:color w:val="auto"/>
        </w:rPr>
      </w:pPr>
    </w:p>
    <w:p>
      <w:pPr>
        <w:ind w:firstLine="547"/>
        <w:spacing w:after="0" w:line="248" w:lineRule="auto"/>
        <w:rPr>
          <w:sz w:val="20"/>
          <w:szCs w:val="20"/>
          <w:color w:val="auto"/>
        </w:rPr>
      </w:pPr>
      <w:r>
        <w:rPr>
          <w:rFonts w:ascii="Arial" w:cs="Arial" w:eastAsia="Arial" w:hAnsi="Arial"/>
          <w:sz w:val="17"/>
          <w:szCs w:val="17"/>
          <w:color w:val="auto"/>
        </w:rPr>
        <w:t>Our current principal executive offices are located at Building 4-6, Chaolai Science Park, No. 36 Chuangyuan Road, Chaoyang District, Beijing, the People’s Republic of China. We maintain offices in Beijing, China, with an aggregate of approximately 24,436 square meters. These facilities currently accommodate our management headquarters, as well as our sales and marketing, course and educational content development, and general and administrative activities. We also maintain offices in Wuhan, China, with an aggregate of approximately 26,208 square meters, to support part of our sales and marketing activities. In addition, we maintain offices in Guangzhou, China, with an aggregate of approximately 11,448 square meters, to support our sales and marketing activities as well as general and administrative activities.</w:t>
      </w:r>
    </w:p>
    <w:p>
      <w:pPr>
        <w:spacing w:after="0" w:line="183" w:lineRule="exact"/>
        <w:rPr>
          <w:sz w:val="20"/>
          <w:szCs w:val="20"/>
          <w:color w:val="auto"/>
        </w:rPr>
      </w:pPr>
    </w:p>
    <w:p>
      <w:pPr>
        <w:ind w:right="160" w:firstLine="547"/>
        <w:spacing w:after="0" w:line="264" w:lineRule="auto"/>
        <w:rPr>
          <w:sz w:val="20"/>
          <w:szCs w:val="20"/>
          <w:color w:val="auto"/>
        </w:rPr>
      </w:pPr>
      <w:r>
        <w:rPr>
          <w:rFonts w:ascii="Arial" w:cs="Arial" w:eastAsia="Arial" w:hAnsi="Arial"/>
          <w:sz w:val="17"/>
          <w:szCs w:val="17"/>
          <w:color w:val="auto"/>
        </w:rPr>
        <w:t>We lease all of the facilities that we currently occupy from independent third parties. We believe that the facilities that we currently lease are adequate to meet our needs for the foreseeable future.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326" w:right="379" w:bottom="1440" w:gutter="0" w:footer="0" w:header="0"/>
        </w:sectPr>
      </w:pPr>
    </w:p>
    <w:bookmarkStart w:id="71" w:name="page72"/>
    <w:bookmarkEnd w:id="71"/>
    <w:p>
      <w:pPr>
        <w:spacing w:after="0"/>
        <w:tabs>
          <w:tab w:leader="none" w:pos="1060" w:val="left"/>
        </w:tabs>
        <w:rPr>
          <w:sz w:val="20"/>
          <w:szCs w:val="20"/>
          <w:color w:val="auto"/>
        </w:rPr>
      </w:pPr>
      <w:r>
        <w:rPr>
          <w:rFonts w:ascii="Arial" w:cs="Arial" w:eastAsia="Arial" w:hAnsi="Arial"/>
          <w:sz w:val="17"/>
          <w:szCs w:val="17"/>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29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07" w:lineRule="exact"/>
        <w:rPr>
          <w:sz w:val="20"/>
          <w:szCs w:val="20"/>
          <w:color w:val="auto"/>
        </w:rPr>
      </w:pPr>
    </w:p>
    <w:p>
      <w:pPr>
        <w:ind w:right="120" w:firstLine="547"/>
        <w:spacing w:after="0" w:line="251" w:lineRule="auto"/>
        <w:rPr>
          <w:sz w:val="20"/>
          <w:szCs w:val="20"/>
          <w:color w:val="auto"/>
        </w:rPr>
      </w:pPr>
      <w:r>
        <w:rPr>
          <w:rFonts w:ascii="Arial" w:cs="Arial" w:eastAsia="Arial" w:hAnsi="Arial"/>
          <w:sz w:val="17"/>
          <w:szCs w:val="17"/>
          <w:color w:val="auto"/>
        </w:rPr>
        <w:t>You should read the following discussion together with our consolidated financial statements and the related notes included elsewhere in this annual report on Form 20-F. This discussion may contain forward-looking statements about our business and operations based upon current expectations that involve risks and uncertainties. Our actual results may differ materially from those we currently anticipate as a result of many factors, including those we describe under “Item 3.D. Risk Factors” and elsewhere in this annual report on Form 20-F.</w:t>
      </w:r>
    </w:p>
    <w:p>
      <w:pPr>
        <w:spacing w:after="0" w:line="274"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5.A.</w:t>
      </w:r>
      <w:r>
        <w:rPr>
          <w:sz w:val="20"/>
          <w:szCs w:val="20"/>
          <w:color w:val="auto"/>
        </w:rPr>
        <w:tab/>
      </w:r>
      <w:r>
        <w:rPr>
          <w:rFonts w:ascii="Arial" w:cs="Arial" w:eastAsia="Arial" w:hAnsi="Arial"/>
          <w:sz w:val="13"/>
          <w:szCs w:val="13"/>
          <w:b w:val="1"/>
          <w:bCs w:val="1"/>
          <w:color w:val="auto"/>
        </w:rPr>
        <w:t>Operating Results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Factors Affecting Our Results of Operations</w:t>
      </w:r>
    </w:p>
    <w:p>
      <w:pPr>
        <w:spacing w:after="0" w:line="107" w:lineRule="exact"/>
        <w:rPr>
          <w:sz w:val="20"/>
          <w:szCs w:val="20"/>
          <w:color w:val="auto"/>
        </w:rPr>
      </w:pPr>
    </w:p>
    <w:p>
      <w:pPr>
        <w:ind w:right="20" w:firstLine="547"/>
        <w:spacing w:after="0" w:line="249" w:lineRule="auto"/>
        <w:rPr>
          <w:sz w:val="20"/>
          <w:szCs w:val="20"/>
          <w:color w:val="auto"/>
        </w:rPr>
      </w:pPr>
      <w:r>
        <w:rPr>
          <w:rFonts w:ascii="Arial" w:cs="Arial" w:eastAsia="Arial" w:hAnsi="Arial"/>
          <w:sz w:val="17"/>
          <w:szCs w:val="17"/>
          <w:color w:val="auto"/>
        </w:rPr>
        <w:t>We operate in China’s online post-secondary and professional education market, and our results of operations and financial condition are significantly affected by general factors affecting this market. Drivers for our growth include China’s rapid economic growth, continued urbanization, and rising per capita disposable income, all of which have allowed Chinese households, particularly working adults, to spend more disposable income on education. In addition, driven by a strong desire for employment, career promotion, salary increases and local residence qualification, post-secondary and professional education in China has grown rapidly in the past several years and is expected to continue to grow in the future.</w:t>
      </w:r>
    </w:p>
    <w:p>
      <w:pPr>
        <w:spacing w:after="0" w:line="182" w:lineRule="exact"/>
        <w:rPr>
          <w:sz w:val="20"/>
          <w:szCs w:val="20"/>
          <w:color w:val="auto"/>
        </w:rPr>
      </w:pPr>
    </w:p>
    <w:p>
      <w:pPr>
        <w:ind w:right="60" w:firstLine="547"/>
        <w:spacing w:after="0" w:line="249" w:lineRule="auto"/>
        <w:rPr>
          <w:sz w:val="20"/>
          <w:szCs w:val="20"/>
          <w:color w:val="auto"/>
        </w:rPr>
      </w:pPr>
      <w:r>
        <w:rPr>
          <w:rFonts w:ascii="Arial" w:cs="Arial" w:eastAsia="Arial" w:hAnsi="Arial"/>
          <w:sz w:val="17"/>
          <w:szCs w:val="17"/>
          <w:color w:val="auto"/>
        </w:rPr>
        <w:t>Changes to China’s economy and GDP growth also have a material impact on the online post-secondary and professional education market. In addition, the industry we operate in is fragmented, and we face competition from traditional offline players. At the same time, our results are subject to changes in the regulatory regime governing China’s education industry, particularly uncertainties relating to online education services. The PRC government regulates various aspects of our business and operations, including the qualification and licensing requirements for entities that provide online education services and limitations on foreign investments in the online education industry.</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Additionally, we believe that our results of operations and financial condition are also affected by company-specific factors, including the factors discussed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respond to the evolving industry landscape and drive student acceptance of online education format</w:t>
      </w:r>
    </w:p>
    <w:p>
      <w:pPr>
        <w:spacing w:after="0" w:line="103" w:lineRule="exact"/>
        <w:rPr>
          <w:sz w:val="20"/>
          <w:szCs w:val="20"/>
          <w:color w:val="auto"/>
        </w:rPr>
      </w:pPr>
    </w:p>
    <w:p>
      <w:pPr>
        <w:ind w:right="100" w:firstLine="547"/>
        <w:spacing w:after="0" w:line="254" w:lineRule="auto"/>
        <w:rPr>
          <w:sz w:val="20"/>
          <w:szCs w:val="20"/>
          <w:color w:val="auto"/>
        </w:rPr>
      </w:pPr>
      <w:r>
        <w:rPr>
          <w:rFonts w:ascii="Arial" w:cs="Arial" w:eastAsia="Arial" w:hAnsi="Arial"/>
          <w:sz w:val="17"/>
          <w:szCs w:val="17"/>
          <w:color w:val="auto"/>
        </w:rPr>
        <w:t>As an online service provider, we benefited significantly from the increasing proliferation of the internet, in particular the mobile internet, in China. In recent years, driven by the increasing number of internet users and mobile penetration rates, China’s online education industry has experienced an annual growth of more than 20%.</w:t>
      </w:r>
    </w:p>
    <w:p>
      <w:pPr>
        <w:spacing w:after="0" w:line="177" w:lineRule="exact"/>
        <w:rPr>
          <w:sz w:val="20"/>
          <w:szCs w:val="20"/>
          <w:color w:val="auto"/>
        </w:rPr>
      </w:pPr>
    </w:p>
    <w:p>
      <w:pPr>
        <w:ind w:firstLine="547"/>
        <w:spacing w:after="0" w:line="295" w:lineRule="auto"/>
        <w:rPr>
          <w:sz w:val="20"/>
          <w:szCs w:val="20"/>
          <w:color w:val="auto"/>
        </w:rPr>
      </w:pPr>
      <w:r>
        <w:rPr>
          <w:rFonts w:ascii="Arial" w:cs="Arial" w:eastAsia="Arial" w:hAnsi="Arial"/>
          <w:sz w:val="15"/>
          <w:szCs w:val="15"/>
          <w:color w:val="auto"/>
        </w:rPr>
        <w:t>We believe that the online education format, as compared to traditional in-person classroom teaching, is superior as it breaks down the time and location barriers of offline education format and offers students more a flexible, convenient and cost-effective alternative. As a result, online education format has become increasingly popular among students, taking away market share from traditional offline players. For this reason, we believe our ability to continue to grow our net revenues and gross billings significantly depends on our ability to continue to convert students to embrace online education formats over traditional offline education format.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increase the number of our students and new student enrollments at optimal pricing</w:t>
      </w:r>
    </w:p>
    <w:p>
      <w:pPr>
        <w:spacing w:after="0" w:line="103" w:lineRule="exact"/>
        <w:rPr>
          <w:sz w:val="20"/>
          <w:szCs w:val="20"/>
          <w:color w:val="auto"/>
        </w:rPr>
      </w:pPr>
    </w:p>
    <w:p>
      <w:pPr>
        <w:ind w:right="260" w:firstLine="547"/>
        <w:spacing w:after="0" w:line="264" w:lineRule="auto"/>
        <w:rPr>
          <w:sz w:val="20"/>
          <w:szCs w:val="20"/>
          <w:color w:val="auto"/>
        </w:rPr>
      </w:pPr>
      <w:r>
        <w:rPr>
          <w:rFonts w:ascii="Arial" w:cs="Arial" w:eastAsia="Arial" w:hAnsi="Arial"/>
          <w:sz w:val="17"/>
          <w:szCs w:val="17"/>
          <w:color w:val="auto"/>
        </w:rPr>
        <w:t>Our net revenues and gross billings primarily consist of tuition payments from our students and are therefore affected by the number of our students and new student enrollments and the pricing of our educational services.</w:t>
      </w:r>
    </w:p>
    <w:p>
      <w:pPr>
        <w:spacing w:after="0" w:line="168" w:lineRule="exact"/>
        <w:rPr>
          <w:sz w:val="20"/>
          <w:szCs w:val="20"/>
          <w:color w:val="auto"/>
        </w:rPr>
      </w:pPr>
    </w:p>
    <w:p>
      <w:pPr>
        <w:ind w:right="260" w:firstLine="547"/>
        <w:spacing w:after="0" w:line="267" w:lineRule="auto"/>
        <w:rPr>
          <w:sz w:val="20"/>
          <w:szCs w:val="20"/>
          <w:color w:val="auto"/>
        </w:rPr>
      </w:pPr>
      <w:r>
        <w:rPr>
          <w:rFonts w:ascii="Arial" w:cs="Arial" w:eastAsia="Arial" w:hAnsi="Arial"/>
          <w:sz w:val="16"/>
          <w:szCs w:val="16"/>
          <w:color w:val="auto"/>
        </w:rPr>
        <w:t>In 2018, 2019 and 2020, our new student enrollments were 526,014, 363,013 and 434,240, respectively, and the numbers of our students were 1,025,959, 1,039,733 and 1,130,650, respectively. Our new student enrollments increased in 2020 as compared to 2019, primarily due to the increase in professional skills and general interest courses catering to growing demands for diverse personal education. We are seeking to offer a broader range of courses, foster a more a social and entertaining learning experience, and use cutting-edge technologies, particularly AI, to improve students’ learning experience and outcomes which we believe would help to achieve positive results in our new student enrollments in the long run. See “3.D. Risk Factors - Risks Related to Our Business - If we fail to manage our business growth effectively, the success of our business model will be compromised.”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2" w:name="page73"/>
    <w:bookmarkEnd w:id="72"/>
    <w:p>
      <w:pPr>
        <w:ind w:right="100" w:firstLine="547"/>
        <w:spacing w:after="0" w:line="266" w:lineRule="auto"/>
        <w:rPr>
          <w:sz w:val="20"/>
          <w:szCs w:val="20"/>
          <w:color w:val="auto"/>
        </w:rPr>
      </w:pPr>
      <w:r>
        <w:rPr>
          <w:rFonts w:ascii="Arial" w:cs="Arial" w:eastAsia="Arial" w:hAnsi="Arial"/>
          <w:sz w:val="16"/>
          <w:szCs w:val="16"/>
          <w:color w:val="auto"/>
        </w:rPr>
        <w:t>Our ability to continue to increase the number of our students and new student enrollments is primarily driven by factors including the quality of our education services, the range and attractiveness of our course offerings, our brand reputation, our ability to convert leads into student enrollments cost-effectively, and the availability of loans from third-party credit providers to our students. See “Item 3. Key Information—3.D.Risk Factors—Risks Related to Our Business—We may face risks associated with the installment tuition payment plan we offer to our students.” Our ability to attract prospective students in target markets and expand our course offerings has a direct impact on maintaining growths in the number of our students and new student enrollments, which in turn is subject to several other factors largely beyond our control, including the perception of the effectiveness of online education as compared to offline, classroom-based courses and the popularity of the degrees, diplomas and professional certifications our students are pursuing.</w:t>
      </w:r>
    </w:p>
    <w:p>
      <w:pPr>
        <w:spacing w:after="0" w:line="167" w:lineRule="exact"/>
        <w:rPr>
          <w:sz w:val="20"/>
          <w:szCs w:val="20"/>
          <w:color w:val="auto"/>
        </w:rPr>
      </w:pPr>
    </w:p>
    <w:p>
      <w:pPr>
        <w:ind w:right="600" w:firstLine="547"/>
        <w:spacing w:after="0" w:line="332" w:lineRule="auto"/>
        <w:rPr>
          <w:sz w:val="20"/>
          <w:szCs w:val="20"/>
          <w:color w:val="auto"/>
        </w:rPr>
      </w:pPr>
      <w:r>
        <w:rPr>
          <w:rFonts w:ascii="Arial" w:cs="Arial" w:eastAsia="Arial" w:hAnsi="Arial"/>
          <w:sz w:val="15"/>
          <w:szCs w:val="15"/>
          <w:color w:val="auto"/>
        </w:rPr>
        <w:t>Our pricing is affected by the overall demand, the prices and availability of competing courses, perception of the quality and effectiveness of our course offerings, and the income levels that our students expect to achieve upon passing the exams that they are pursuing through taking our courses.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maintain an optimal mix of course length</w:t>
      </w:r>
    </w:p>
    <w:p>
      <w:pPr>
        <w:spacing w:after="0" w:line="103" w:lineRule="exact"/>
        <w:rPr>
          <w:sz w:val="20"/>
          <w:szCs w:val="20"/>
          <w:color w:val="auto"/>
        </w:rPr>
      </w:pPr>
    </w:p>
    <w:p>
      <w:pPr>
        <w:ind w:right="20" w:firstLine="547"/>
        <w:spacing w:after="0" w:line="248" w:lineRule="auto"/>
        <w:rPr>
          <w:sz w:val="20"/>
          <w:szCs w:val="20"/>
          <w:color w:val="auto"/>
        </w:rPr>
      </w:pPr>
      <w:r>
        <w:rPr>
          <w:rFonts w:ascii="Arial" w:cs="Arial" w:eastAsia="Arial" w:hAnsi="Arial"/>
          <w:sz w:val="17"/>
          <w:szCs w:val="17"/>
          <w:color w:val="auto"/>
        </w:rPr>
        <w:t>We typically receive tuition from our students (or third-party credit providers in the case of students taking loans for their tuition) upfront at the time of sale of our course packages. The tuition we collect from a student is initially recorded as deferred revenue and is generally recognized proportionally throughout the duration of the programs that student has enrolled in. For the year ended December 31, 2020, the weighted average length of our degree-or diploma-oriented post-secondary courses was approximately 30 months, and the weighted average length of our professional certification preparation and professional skills courses was approximately 9 months. As of December 31, 2018, 2019 and 2020, our deferred revenues were RMB3,286.0 million, RMB3,228.8 million and RMB3,024.4 million (US$463.5 million), respectively.</w:t>
      </w:r>
    </w:p>
    <w:p>
      <w:pPr>
        <w:spacing w:after="0" w:line="183" w:lineRule="exact"/>
        <w:rPr>
          <w:sz w:val="20"/>
          <w:szCs w:val="20"/>
          <w:color w:val="auto"/>
        </w:rPr>
      </w:pPr>
    </w:p>
    <w:p>
      <w:pPr>
        <w:ind w:right="140" w:firstLine="547"/>
        <w:spacing w:after="0" w:line="269" w:lineRule="auto"/>
        <w:rPr>
          <w:sz w:val="20"/>
          <w:szCs w:val="20"/>
          <w:color w:val="auto"/>
        </w:rPr>
      </w:pPr>
      <w:r>
        <w:rPr>
          <w:rFonts w:ascii="Arial" w:cs="Arial" w:eastAsia="Arial" w:hAnsi="Arial"/>
          <w:sz w:val="16"/>
          <w:szCs w:val="16"/>
          <w:color w:val="auto"/>
        </w:rPr>
        <w:t>We continually evaluate our mix of course length. As we make these evaluations, we may market and sell courses with shorter or longer durations in order to balance among various goals, including satisfying student needs, driving revenue growth, and improving visibility of future earnings, which may affect our ability to increase our net revenues on a continuous basis. For example, if we increase the percentage of courses with longer durations in our total course offerings, our net revenues for a given period may reduce as an increasing part of our revenues may be deferred and recognized across longer periods. Any material change in our mix of course length could have a significant impact on our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and market our services cost-effectively</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depend on our ability to sell and market our services in a cost-effective manner to maintain and improve our operating margins.</w:t>
      </w:r>
    </w:p>
    <w:p>
      <w:pPr>
        <w:spacing w:after="0" w:line="203" w:lineRule="exact"/>
        <w:rPr>
          <w:sz w:val="20"/>
          <w:szCs w:val="20"/>
          <w:color w:val="auto"/>
        </w:rPr>
      </w:pPr>
    </w:p>
    <w:p>
      <w:pPr>
        <w:ind w:firstLine="547"/>
        <w:spacing w:after="0" w:line="265" w:lineRule="auto"/>
        <w:rPr>
          <w:sz w:val="20"/>
          <w:szCs w:val="20"/>
          <w:color w:val="auto"/>
        </w:rPr>
      </w:pPr>
      <w:r>
        <w:rPr>
          <w:rFonts w:ascii="Arial" w:cs="Arial" w:eastAsia="Arial" w:hAnsi="Arial"/>
          <w:sz w:val="16"/>
          <w:szCs w:val="16"/>
          <w:color w:val="auto"/>
        </w:rPr>
        <w:t>Sales and marketing expenses have historically represented a substantial portion of our total operating expenses. In 2018, 2019 and 2020, our sales and marketing expenses were RMB2,152.8 million, RMB1,792.3 million and RMB2,123.6 million (US$325.5 million), respectively. The increase in our sales and marketing expenses from 2019 to 2020 was mainly due to increases in (i) compensation expenses related to our sales and marketing personnel; and (ii) spending on branding and marketing activities, including more marketing promotion activities to diversify student acquisition channels. Our sales and marketing expenses are primarily composed of marketing spending and expenses incurred in relation to sales and marketing personnel. Our ability to lower our sales and marketing expenses as a percentage of gross billings depends on our ability to improve sales and marketing efficiency and leverage our existing brand value and word-of-mouth referrals in our sales and marketing efforts. In 2018, 2019 and 2020, our marketing effectiveness ratio, as measured by dividing our marketing spending by our gross billings, was 29.1%, 40.2% and 46.9%, respectively.</w:t>
      </w:r>
    </w:p>
    <w:p>
      <w:pPr>
        <w:spacing w:after="0" w:line="169" w:lineRule="exact"/>
        <w:rPr>
          <w:sz w:val="20"/>
          <w:szCs w:val="20"/>
          <w:color w:val="auto"/>
        </w:rPr>
      </w:pPr>
    </w:p>
    <w:p>
      <w:pPr>
        <w:ind w:right="20" w:firstLine="547"/>
        <w:spacing w:after="0" w:line="288" w:lineRule="auto"/>
        <w:rPr>
          <w:sz w:val="20"/>
          <w:szCs w:val="20"/>
          <w:color w:val="auto"/>
        </w:rPr>
      </w:pPr>
      <w:r>
        <w:rPr>
          <w:rFonts w:ascii="Arial" w:cs="Arial" w:eastAsia="Arial" w:hAnsi="Arial"/>
          <w:sz w:val="15"/>
          <w:szCs w:val="15"/>
          <w:color w:val="auto"/>
        </w:rPr>
        <w:t>We have acquired many of our existing students through search engine marketing channels, mobile marketing channels and, to a lesser extent, offline channels. Further, we rely on a large sales force to provide counseling-oriented sales services to convert sales leads into enrollments. As such, the cost-effectiveness of our sales and marketing depends heavily on our ability to enhance returns from different marketing channels, as well as to improve the efficiency of our counseling-oriented sales activities. We also plan to further strengthen our mobile marketing endeavors, which we believe are particularly critical to attracting prospective students who are not yet aware of solutions available to satisfy their desire to pursue post-secondary and professional education. These initiatives have placed, and will continue to place, significant strains on our ability to sell and market our course offerings in an efficient and cost-effective manner.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73" w:name="page74"/>
    <w:bookmarkEnd w:id="73"/>
    <w:p>
      <w:pPr>
        <w:ind w:left="20"/>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Net revenues</w:t>
      </w:r>
    </w:p>
    <w:p>
      <w:pPr>
        <w:spacing w:after="0" w:line="103" w:lineRule="exact"/>
        <w:rPr>
          <w:sz w:val="20"/>
          <w:szCs w:val="20"/>
          <w:color w:val="auto"/>
        </w:rPr>
      </w:pPr>
    </w:p>
    <w:p>
      <w:pPr>
        <w:ind w:left="20" w:right="220" w:firstLine="547"/>
        <w:spacing w:after="0" w:line="296" w:lineRule="auto"/>
        <w:rPr>
          <w:sz w:val="20"/>
          <w:szCs w:val="20"/>
          <w:color w:val="auto"/>
        </w:rPr>
      </w:pPr>
      <w:r>
        <w:rPr>
          <w:rFonts w:ascii="Arial" w:cs="Arial" w:eastAsia="Arial" w:hAnsi="Arial"/>
          <w:sz w:val="16"/>
          <w:szCs w:val="16"/>
          <w:color w:val="auto"/>
        </w:rPr>
        <w:t>We derive substantially all of our net revenues from tuition that we charge our students for the course packages that they purchase from us. In 2018, 2019 and 2020, we generated net revenues of RMB1,974.0 million, RMB2,193.9 million and RMB2,203.8 million (US$337.7 million), respectively.</w:t>
      </w:r>
    </w:p>
    <w:p>
      <w:pPr>
        <w:spacing w:after="0" w:line="144" w:lineRule="exact"/>
        <w:rPr>
          <w:sz w:val="20"/>
          <w:szCs w:val="20"/>
          <w:color w:val="auto"/>
        </w:rPr>
      </w:pPr>
    </w:p>
    <w:p>
      <w:pPr>
        <w:ind w:left="20" w:right="20" w:firstLine="547"/>
        <w:spacing w:after="0" w:line="269" w:lineRule="auto"/>
        <w:rPr>
          <w:sz w:val="20"/>
          <w:szCs w:val="20"/>
          <w:color w:val="auto"/>
        </w:rPr>
      </w:pPr>
      <w:r>
        <w:rPr>
          <w:rFonts w:ascii="Arial" w:cs="Arial" w:eastAsia="Arial" w:hAnsi="Arial"/>
          <w:sz w:val="16"/>
          <w:szCs w:val="16"/>
          <w:color w:val="auto"/>
        </w:rPr>
        <w:t>We generally bill our students for the entire course tuition upfront at the time of sale of our course packages. The tuition we collect from a student is initially recorded as deferred revenue and is generally recognized proportionally over a weighted average period of 30 months for our degree-or diploma-oriented post-secondary courses and a weighted average period of 9 months for our professional certification preparation and professional skills courses for the year ended December 31, 2020. As of December 31, 2018, 2019 and 2020, we had deferred revenue of RMB3,286.0 million, RMB3,228.8 million and RMB3,024.4 million (US$463.5 million), respectively. For a reconciliation of our gross billings and net revenues, see “—Non-GAAP Financial Measures.”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a breakdown of our total net revenues for the years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3"/>
                <w:szCs w:val="13"/>
                <w:b w:val="1"/>
                <w:bCs w:val="1"/>
                <w:color w:val="auto"/>
                <w:w w:val="92"/>
              </w:rPr>
              <w:t>For the Year Ended December 31,</w:t>
            </w: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rPr>
              <w:t>RMB</w:t>
            </w:r>
          </w:p>
        </w:tc>
        <w:tc>
          <w:tcPr>
            <w:tcW w:w="6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40"/>
              <w:spacing w:after="0" w:line="142" w:lineRule="exact"/>
              <w:rPr>
                <w:sz w:val="20"/>
                <w:szCs w:val="20"/>
                <w:color w:val="auto"/>
              </w:rPr>
            </w:pPr>
            <w:r>
              <w:rPr>
                <w:rFonts w:ascii="Arial" w:cs="Arial" w:eastAsia="Arial" w:hAnsi="Arial"/>
                <w:sz w:val="13"/>
                <w:szCs w:val="13"/>
                <w:b w:val="1"/>
                <w:bCs w:val="1"/>
                <w:color w:val="auto"/>
              </w:rPr>
              <w:t>RMB</w:t>
            </w:r>
          </w:p>
        </w:tc>
        <w:tc>
          <w:tcPr>
            <w:tcW w:w="640" w:type="dxa"/>
            <w:vAlign w:val="bottom"/>
            <w:tcBorders>
              <w:bottom w:val="single" w:sz="8" w:color="auto"/>
            </w:tcBorders>
          </w:tcPr>
          <w:p>
            <w:pPr>
              <w:jc w:val="center"/>
              <w:ind w:right="119"/>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3"/>
                <w:szCs w:val="13"/>
                <w:b w:val="1"/>
                <w:bCs w:val="1"/>
                <w:color w:val="auto"/>
              </w:rPr>
              <w:t>RMB</w:t>
            </w:r>
          </w:p>
        </w:tc>
        <w:tc>
          <w:tcPr>
            <w:tcW w:w="102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3"/>
                <w:szCs w:val="13"/>
                <w:b w:val="1"/>
                <w:bCs w:val="1"/>
                <w:color w:val="auto"/>
              </w:rPr>
              <w:t>US$</w:t>
            </w:r>
          </w:p>
        </w:tc>
        <w:tc>
          <w:tcPr>
            <w:tcW w:w="80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60" w:type="dxa"/>
            <w:vAlign w:val="bottom"/>
            <w:gridSpan w:val="7"/>
          </w:tcPr>
          <w:p>
            <w:pPr>
              <w:jc w:val="center"/>
              <w:ind w:right="280"/>
              <w:spacing w:after="0" w:line="142" w:lineRule="exact"/>
              <w:rPr>
                <w:sz w:val="20"/>
                <w:szCs w:val="20"/>
                <w:color w:val="auto"/>
              </w:rPr>
            </w:pPr>
            <w:r>
              <w:rPr>
                <w:rFonts w:ascii="Arial" w:cs="Arial" w:eastAsia="Arial" w:hAnsi="Arial"/>
                <w:sz w:val="13"/>
                <w:szCs w:val="13"/>
                <w:b w:val="1"/>
                <w:bCs w:val="1"/>
                <w:color w:val="auto"/>
                <w:w w:val="89"/>
              </w:rPr>
              <w:t>(in thousands, except for percentages)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Degree-or diploma-oriented post-secondary courses</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1,806,382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2,015,615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1,904,477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291,874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86.4</w:t>
            </w:r>
          </w:p>
        </w:tc>
        <w:tc>
          <w:tcPr>
            <w:tcW w:w="4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260" w:type="dxa"/>
            <w:vAlign w:val="bottom"/>
            <w:gridSpan w:val="2"/>
          </w:tcPr>
          <w:p>
            <w:pPr>
              <w:ind w:left="220"/>
              <w:spacing w:after="0"/>
              <w:rPr>
                <w:sz w:val="20"/>
                <w:szCs w:val="20"/>
                <w:color w:val="auto"/>
              </w:rPr>
            </w:pPr>
            <w:r>
              <w:rPr>
                <w:rFonts w:ascii="Arial" w:cs="Arial" w:eastAsia="Arial" w:hAnsi="Arial"/>
                <w:sz w:val="17"/>
                <w:szCs w:val="17"/>
                <w:color w:val="auto"/>
              </w:rPr>
              <w:t>STE courses</w:t>
            </w:r>
          </w:p>
        </w:tc>
        <w:tc>
          <w:tcPr>
            <w:tcW w:w="800" w:type="dxa"/>
            <w:vAlign w:val="bottom"/>
          </w:tcPr>
          <w:p>
            <w:pPr>
              <w:jc w:val="right"/>
              <w:spacing w:after="0"/>
              <w:rPr>
                <w:sz w:val="20"/>
                <w:szCs w:val="20"/>
                <w:color w:val="auto"/>
              </w:rPr>
            </w:pPr>
            <w:r>
              <w:rPr>
                <w:rFonts w:ascii="Arial" w:cs="Arial" w:eastAsia="Arial" w:hAnsi="Arial"/>
                <w:sz w:val="17"/>
                <w:szCs w:val="17"/>
                <w:color w:val="auto"/>
              </w:rPr>
              <w:t>1,692,803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85.8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1,766,943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80.5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1,471,745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225,555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66.8</w:t>
            </w:r>
          </w:p>
        </w:tc>
        <w:tc>
          <w:tcPr>
            <w:tcW w:w="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26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w w:val="92"/>
              </w:rPr>
              <w:t>Other degree- or diploma-oriented post-secondary course</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113,579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248,672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432,732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66,319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40" w:type="dxa"/>
            <w:vAlign w:val="bottom"/>
            <w:shd w:val="clear" w:color="auto" w:fill="CFF0F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w w:val="95"/>
              </w:rPr>
              <w:t>Professional certification preparation and professional skills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4280" w:type="dxa"/>
            <w:vAlign w:val="bottom"/>
            <w:gridSpan w:val="3"/>
          </w:tcPr>
          <w:p>
            <w:pPr>
              <w:ind w:left="20"/>
              <w:spacing w:after="0"/>
              <w:rPr>
                <w:sz w:val="20"/>
                <w:szCs w:val="20"/>
                <w:color w:val="auto"/>
              </w:rPr>
            </w:pPr>
            <w:r>
              <w:rPr>
                <w:rFonts w:ascii="Arial" w:cs="Arial" w:eastAsia="Arial" w:hAnsi="Arial"/>
                <w:sz w:val="17"/>
                <w:szCs w:val="17"/>
                <w:color w:val="auto"/>
              </w:rPr>
              <w:t>courses</w:t>
            </w:r>
          </w:p>
        </w:tc>
        <w:tc>
          <w:tcPr>
            <w:tcW w:w="800" w:type="dxa"/>
            <w:vAlign w:val="bottom"/>
          </w:tcPr>
          <w:p>
            <w:pPr>
              <w:jc w:val="right"/>
              <w:spacing w:after="0"/>
              <w:rPr>
                <w:sz w:val="20"/>
                <w:szCs w:val="20"/>
                <w:color w:val="auto"/>
              </w:rPr>
            </w:pPr>
            <w:r>
              <w:rPr>
                <w:rFonts w:ascii="Arial" w:cs="Arial" w:eastAsia="Arial" w:hAnsi="Arial"/>
                <w:sz w:val="17"/>
                <w:szCs w:val="17"/>
                <w:color w:val="auto"/>
              </w:rPr>
              <w:t>160,672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154,880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268,051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41,081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12.2</w:t>
            </w:r>
          </w:p>
        </w:tc>
        <w:tc>
          <w:tcPr>
            <w:tcW w:w="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Others</w:t>
            </w:r>
            <w:r>
              <w:rPr>
                <w:rFonts w:ascii="Arial" w:cs="Arial" w:eastAsia="Arial" w:hAnsi="Arial"/>
                <w:sz w:val="14"/>
                <w:szCs w:val="14"/>
                <w:color w:val="auto"/>
              </w:rPr>
              <w:t>(1)</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6,931</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0.3</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23,407</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31,263</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4,791</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40" w:type="dxa"/>
            <w:vAlign w:val="bottom"/>
            <w:shd w:val="clear" w:color="auto" w:fill="CFF0FC"/>
          </w:tcPr>
          <w:p>
            <w:pPr>
              <w:spacing w:after="0"/>
              <w:rPr>
                <w:sz w:val="18"/>
                <w:szCs w:val="18"/>
                <w:color w:val="auto"/>
              </w:rPr>
            </w:pPr>
          </w:p>
        </w:tc>
      </w:tr>
      <w:tr>
        <w:trPr>
          <w:trHeight w:val="204"/>
        </w:trPr>
        <w:tc>
          <w:tcPr>
            <w:tcW w:w="4280" w:type="dxa"/>
            <w:vAlign w:val="bottom"/>
            <w:gridSpan w:val="3"/>
          </w:tcPr>
          <w:p>
            <w:pPr>
              <w:spacing w:after="0"/>
              <w:rPr>
                <w:sz w:val="20"/>
                <w:szCs w:val="20"/>
                <w:color w:val="auto"/>
              </w:rPr>
            </w:pPr>
            <w:r>
              <w:rPr>
                <w:rFonts w:ascii="Arial" w:cs="Arial" w:eastAsia="Arial" w:hAnsi="Arial"/>
                <w:sz w:val="17"/>
                <w:szCs w:val="17"/>
                <w:b w:val="1"/>
                <w:bCs w:val="1"/>
                <w:color w:val="auto"/>
              </w:rPr>
              <w:t>Total net revenues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1,973,985</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2,193,902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2,203,791</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337,746</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Note: (1)Includes commissions received for providing referral services to third-party education institutions.</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03" w:lineRule="exact"/>
        <w:rPr>
          <w:sz w:val="20"/>
          <w:szCs w:val="20"/>
          <w:color w:val="auto"/>
        </w:rPr>
      </w:pPr>
    </w:p>
    <w:p>
      <w:pPr>
        <w:ind w:left="20" w:firstLine="547"/>
        <w:spacing w:after="0" w:line="267" w:lineRule="auto"/>
        <w:rPr>
          <w:sz w:val="20"/>
          <w:szCs w:val="20"/>
          <w:color w:val="auto"/>
        </w:rPr>
      </w:pPr>
      <w:r>
        <w:rPr>
          <w:rFonts w:ascii="Arial" w:cs="Arial" w:eastAsia="Arial" w:hAnsi="Arial"/>
          <w:sz w:val="16"/>
          <w:szCs w:val="16"/>
          <w:color w:val="auto"/>
        </w:rPr>
        <w:t>We recorded cost of revenues of RMB330.4 million, RMB396.3 million and RMB387.3 million (US$59.4 million) in 2018, 2019 and 2020, respectively. Compensation for teachers and mentors accounted for a significant portion of our cost of revenues. In 2018, 2019 and 2020, the labor costs that we recorded as cost of revenues were RMB239.8 million, RMB234.4 million and RMB220.2 million (US$33.8 million), respectively, accounting for 72.6%, 59.1% and 56.9%, respectively, of our cost of revenues for the same periods. Our cost of revenues also included exams and services expenses, teaching materials costs, insurance costs and live streaming and related equipment costs. See “Item 4. Information on the Company—4.B. Business Overview—Business—Our Tuition and Fees.” We expect our cost of revenues to increase in an absolute amount in line with our expansion of business and student base growth.</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operating expenses consist of sales and marketing expenses and, to a lesser extent, general and administrative expenses and product development expenses.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sets forth our operating expenses, in absolute amounts and as percentages of total operating expenses, for the years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3"/>
                <w:szCs w:val="13"/>
                <w:b w:val="1"/>
                <w:bCs w:val="1"/>
                <w:color w:val="auto"/>
                <w:w w:val="92"/>
              </w:rPr>
              <w:t>For the Year Ended December 31,</w:t>
            </w: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3"/>
                <w:szCs w:val="13"/>
                <w:b w:val="1"/>
                <w:bCs w:val="1"/>
                <w:color w:val="auto"/>
              </w:rPr>
              <w:t>2018</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3"/>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6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rPr>
              <w:t>RMB</w:t>
            </w:r>
          </w:p>
        </w:tc>
        <w:tc>
          <w:tcPr>
            <w:tcW w:w="68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40"/>
              <w:spacing w:after="0" w:line="142" w:lineRule="exact"/>
              <w:rPr>
                <w:sz w:val="20"/>
                <w:szCs w:val="20"/>
                <w:color w:val="auto"/>
              </w:rPr>
            </w:pPr>
            <w:r>
              <w:rPr>
                <w:rFonts w:ascii="Arial" w:cs="Arial" w:eastAsia="Arial" w:hAnsi="Arial"/>
                <w:sz w:val="13"/>
                <w:szCs w:val="13"/>
                <w:b w:val="1"/>
                <w:bCs w:val="1"/>
                <w:color w:val="auto"/>
              </w:rPr>
              <w:t>RMB</w:t>
            </w:r>
          </w:p>
        </w:tc>
        <w:tc>
          <w:tcPr>
            <w:tcW w:w="640" w:type="dxa"/>
            <w:vAlign w:val="bottom"/>
            <w:tcBorders>
              <w:bottom w:val="single" w:sz="8" w:color="auto"/>
            </w:tcBorders>
          </w:tcPr>
          <w:p>
            <w:pPr>
              <w:jc w:val="center"/>
              <w:ind w:right="120"/>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3"/>
                <w:szCs w:val="13"/>
                <w:b w:val="1"/>
                <w:bCs w:val="1"/>
                <w:color w:val="auto"/>
              </w:rPr>
              <w:t>RMB</w:t>
            </w:r>
          </w:p>
        </w:tc>
        <w:tc>
          <w:tcPr>
            <w:tcW w:w="102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3"/>
                <w:szCs w:val="13"/>
                <w:b w:val="1"/>
                <w:bCs w:val="1"/>
                <w:color w:val="auto"/>
              </w:rPr>
              <w:t>US$</w:t>
            </w:r>
          </w:p>
        </w:tc>
        <w:tc>
          <w:tcPr>
            <w:tcW w:w="80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60" w:type="dxa"/>
            <w:vAlign w:val="bottom"/>
            <w:gridSpan w:val="7"/>
          </w:tcPr>
          <w:p>
            <w:pPr>
              <w:jc w:val="center"/>
              <w:ind w:right="280"/>
              <w:spacing w:after="0" w:line="142" w:lineRule="exact"/>
              <w:rPr>
                <w:sz w:val="20"/>
                <w:szCs w:val="20"/>
                <w:color w:val="auto"/>
              </w:rPr>
            </w:pPr>
            <w:r>
              <w:rPr>
                <w:rFonts w:ascii="Arial" w:cs="Arial" w:eastAsia="Arial" w:hAnsi="Arial"/>
                <w:sz w:val="13"/>
                <w:szCs w:val="13"/>
                <w:b w:val="1"/>
                <w:bCs w:val="1"/>
                <w:color w:val="auto"/>
                <w:w w:val="89"/>
              </w:rPr>
              <w:t>(in thousands, except for percentages)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2,152,830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1,792,285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2,123,618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325,459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86.1</w:t>
            </w:r>
          </w:p>
        </w:tc>
        <w:tc>
          <w:tcPr>
            <w:tcW w:w="4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800" w:type="dxa"/>
            <w:vAlign w:val="bottom"/>
          </w:tcPr>
          <w:p>
            <w:pPr>
              <w:jc w:val="right"/>
              <w:spacing w:after="0"/>
              <w:rPr>
                <w:sz w:val="20"/>
                <w:szCs w:val="20"/>
                <w:color w:val="auto"/>
              </w:rPr>
            </w:pPr>
            <w:r>
              <w:rPr>
                <w:rFonts w:ascii="Arial" w:cs="Arial" w:eastAsia="Arial" w:hAnsi="Arial"/>
                <w:sz w:val="17"/>
                <w:szCs w:val="17"/>
                <w:color w:val="auto"/>
              </w:rPr>
              <w:t>443,691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363,307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275,391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42,206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11.2</w:t>
            </w:r>
          </w:p>
        </w:tc>
        <w:tc>
          <w:tcPr>
            <w:tcW w:w="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Product development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76,022</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101,717</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66,528</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10,196</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40" w:type="dxa"/>
            <w:vAlign w:val="bottom"/>
            <w:shd w:val="clear" w:color="auto" w:fill="CFF0FC"/>
          </w:tcPr>
          <w:p>
            <w:pPr>
              <w:spacing w:after="0"/>
              <w:rPr>
                <w:sz w:val="18"/>
                <w:szCs w:val="18"/>
                <w:color w:val="auto"/>
              </w:rPr>
            </w:pPr>
          </w:p>
        </w:tc>
      </w:tr>
      <w:tr>
        <w:trPr>
          <w:trHeight w:val="204"/>
        </w:trPr>
        <w:tc>
          <w:tcPr>
            <w:tcW w:w="428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2,672,543</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2,257,309</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2,465,537</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377,861</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320"/>
              <w:spacing w:after="0"/>
              <w:rPr>
                <w:sz w:val="20"/>
                <w:szCs w:val="20"/>
                <w:color w:val="auto"/>
              </w:rPr>
            </w:pPr>
            <w:r>
              <w:rPr>
                <w:rFonts w:ascii="Arial" w:cs="Arial" w:eastAsia="Arial" w:hAnsi="Arial"/>
                <w:sz w:val="17"/>
                <w:szCs w:val="17"/>
                <w:color w:val="181717"/>
              </w:rPr>
              <w:t>70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426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-27940</wp:posOffset>
            </wp:positionV>
            <wp:extent cx="3302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3302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60"/>
          </w:cols>
          <w:pgMar w:left="300" w:top="422" w:right="339" w:bottom="1440" w:gutter="0" w:footer="0" w:header="0"/>
        </w:sectPr>
      </w:pPr>
    </w:p>
    <w:bookmarkStart w:id="74" w:name="page75"/>
    <w:bookmarkEnd w:id="74"/>
    <w:p>
      <w:pPr>
        <w:ind w:left="20"/>
        <w:spacing w:after="0"/>
        <w:rPr>
          <w:sz w:val="20"/>
          <w:szCs w:val="20"/>
          <w:color w:val="auto"/>
        </w:rPr>
      </w:pPr>
      <w:r>
        <w:rPr>
          <w:rFonts w:ascii="Arial" w:cs="Arial" w:eastAsia="Arial" w:hAnsi="Arial"/>
          <w:sz w:val="17"/>
          <w:szCs w:val="17"/>
          <w:i w:val="1"/>
          <w:iCs w:val="1"/>
          <w:color w:val="auto"/>
        </w:rPr>
        <w:t>Sales and marketing expenses</w:t>
      </w:r>
    </w:p>
    <w:p>
      <w:pPr>
        <w:spacing w:after="0" w:line="203" w:lineRule="exact"/>
        <w:rPr>
          <w:sz w:val="20"/>
          <w:szCs w:val="20"/>
          <w:color w:val="auto"/>
        </w:rPr>
      </w:pPr>
    </w:p>
    <w:p>
      <w:pPr>
        <w:ind w:left="20" w:right="140" w:firstLine="547"/>
        <w:spacing w:after="0" w:line="264" w:lineRule="auto"/>
        <w:rPr>
          <w:sz w:val="20"/>
          <w:szCs w:val="20"/>
          <w:color w:val="auto"/>
        </w:rPr>
      </w:pPr>
      <w:r>
        <w:rPr>
          <w:rFonts w:ascii="Arial" w:cs="Arial" w:eastAsia="Arial" w:hAnsi="Arial"/>
          <w:sz w:val="17"/>
          <w:szCs w:val="17"/>
          <w:color w:val="auto"/>
        </w:rPr>
        <w:t>The following table sets forth a breakdown of our sales and marketing expenses, in absolute amounts and as percentages of total sales and marketing expenses, for the years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3"/>
                <w:szCs w:val="13"/>
                <w:b w:val="1"/>
                <w:bCs w:val="1"/>
                <w:color w:val="auto"/>
                <w:w w:val="92"/>
              </w:rPr>
              <w:t>For the 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3"/>
                <w:szCs w:val="13"/>
                <w:b w:val="1"/>
                <w:bCs w:val="1"/>
                <w:color w:val="auto"/>
              </w:rPr>
              <w:t>2018</w:t>
            </w: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3"/>
                <w:szCs w:val="13"/>
                <w:b w:val="1"/>
                <w:bCs w:val="1"/>
                <w:color w:val="auto"/>
              </w:rPr>
              <w:t>2019</w:t>
            </w: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3"/>
                <w:szCs w:val="13"/>
                <w:b w:val="1"/>
                <w:bCs w:val="1"/>
                <w:color w:val="auto"/>
              </w:rPr>
              <w:t>RMB</w:t>
            </w:r>
          </w:p>
        </w:tc>
        <w:tc>
          <w:tcPr>
            <w:tcW w:w="7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3"/>
                <w:szCs w:val="13"/>
                <w:b w:val="1"/>
                <w:bCs w:val="1"/>
                <w:color w:val="auto"/>
              </w:rPr>
              <w:t>RMB</w:t>
            </w:r>
          </w:p>
        </w:tc>
        <w:tc>
          <w:tcPr>
            <w:tcW w:w="7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320"/>
              <w:spacing w:after="0" w:line="142" w:lineRule="exact"/>
              <w:rPr>
                <w:sz w:val="20"/>
                <w:szCs w:val="20"/>
                <w:color w:val="auto"/>
              </w:rPr>
            </w:pPr>
            <w:r>
              <w:rPr>
                <w:rFonts w:ascii="Arial" w:cs="Arial" w:eastAsia="Arial" w:hAnsi="Arial"/>
                <w:sz w:val="13"/>
                <w:szCs w:val="13"/>
                <w:b w:val="1"/>
                <w:bCs w:val="1"/>
                <w:color w:val="auto"/>
              </w:rPr>
              <w:t>RMB</w:t>
            </w:r>
          </w:p>
        </w:tc>
        <w:tc>
          <w:tcPr>
            <w:tcW w:w="98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3"/>
                <w:szCs w:val="13"/>
                <w:b w:val="1"/>
                <w:bCs w:val="1"/>
                <w:color w:val="auto"/>
              </w:rPr>
              <w:t>US$</w:t>
            </w:r>
          </w:p>
        </w:tc>
        <w:tc>
          <w:tcPr>
            <w:tcW w:w="80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89"/>
              </w:rPr>
              <w:t>(in thousands, except for percentages)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4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w w:val="88"/>
              </w:rPr>
              <w:t>Expenses incurred in relation to sales and marketing personnel</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915,092</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669,325</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842,432</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129,108</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Marketing spending</w:t>
            </w:r>
          </w:p>
        </w:tc>
        <w:tc>
          <w:tcPr>
            <w:tcW w:w="1000" w:type="dxa"/>
            <w:vAlign w:val="bottom"/>
          </w:tcPr>
          <w:p>
            <w:pPr>
              <w:jc w:val="right"/>
              <w:spacing w:after="0"/>
              <w:rPr>
                <w:sz w:val="20"/>
                <w:szCs w:val="20"/>
                <w:color w:val="auto"/>
              </w:rPr>
            </w:pPr>
            <w:r>
              <w:rPr>
                <w:rFonts w:ascii="Arial" w:cs="Arial" w:eastAsia="Arial" w:hAnsi="Arial"/>
                <w:sz w:val="17"/>
                <w:szCs w:val="17"/>
                <w:color w:val="auto"/>
              </w:rPr>
              <w:t>934,175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43.4</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947,550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1,101,789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168,856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rPr>
              <w:t>Rentals and related expenses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97,252</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88,735</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86,579</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13,269</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Borders>
              <w:bottom w:val="single" w:sz="8" w:color="C5EFFF"/>
            </w:tcBorders>
          </w:tcPr>
          <w:p>
            <w:pPr>
              <w:spacing w:after="0"/>
              <w:rPr>
                <w:sz w:val="20"/>
                <w:szCs w:val="20"/>
                <w:color w:val="auto"/>
              </w:rPr>
            </w:pPr>
            <w:r>
              <w:rPr>
                <w:rFonts w:ascii="Arial" w:cs="Arial" w:eastAsia="Arial" w:hAnsi="Arial"/>
                <w:sz w:val="17"/>
                <w:szCs w:val="17"/>
                <w:color w:val="auto"/>
              </w:rPr>
              <w:t>Others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206,311</w:t>
            </w:r>
          </w:p>
        </w:tc>
        <w:tc>
          <w:tcPr>
            <w:tcW w:w="120" w:type="dxa"/>
            <w:vAlign w:val="bottom"/>
            <w:tcBorders>
              <w:bottom w:val="single" w:sz="8" w:color="C5EF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40" w:type="dxa"/>
            <w:vAlign w:val="bottom"/>
            <w:tcBorders>
              <w:bottom w:val="single" w:sz="8" w:color="C5EF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86,675</w:t>
            </w:r>
          </w:p>
        </w:tc>
        <w:tc>
          <w:tcPr>
            <w:tcW w:w="140" w:type="dxa"/>
            <w:vAlign w:val="bottom"/>
            <w:tcBorders>
              <w:bottom w:val="single" w:sz="8" w:color="C5EF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40" w:type="dxa"/>
            <w:vAlign w:val="bottom"/>
            <w:tcBorders>
              <w:bottom w:val="single" w:sz="8" w:color="C5EF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92,818</w:t>
            </w:r>
          </w:p>
        </w:tc>
        <w:tc>
          <w:tcPr>
            <w:tcW w:w="140" w:type="dxa"/>
            <w:vAlign w:val="bottom"/>
            <w:tcBorders>
              <w:bottom w:val="single" w:sz="8" w:color="C5EF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14,226</w:t>
            </w:r>
          </w:p>
        </w:tc>
        <w:tc>
          <w:tcPr>
            <w:tcW w:w="140" w:type="dxa"/>
            <w:vAlign w:val="bottom"/>
            <w:tcBorders>
              <w:bottom w:val="single" w:sz="8" w:color="C5EF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60" w:type="dxa"/>
            <w:vAlign w:val="bottom"/>
            <w:tcBorders>
              <w:bottom w:val="single" w:sz="8" w:color="C5EF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40" w:type="dxa"/>
            <w:vAlign w:val="bottom"/>
            <w:tcBorders>
              <w:bottom w:val="single" w:sz="8" w:color="C5EFFF"/>
            </w:tcBorders>
            <w:shd w:val="clear" w:color="auto" w:fill="C5EFFF"/>
          </w:tcPr>
          <w:p>
            <w:pPr>
              <w:spacing w:after="0"/>
              <w:rPr>
                <w:sz w:val="20"/>
                <w:szCs w:val="20"/>
                <w:color w:val="auto"/>
              </w:rPr>
            </w:pPr>
            <w:r>
              <w:rPr>
                <w:rFonts w:ascii="Arial" w:cs="Arial" w:eastAsia="Arial" w:hAnsi="Arial"/>
                <w:sz w:val="17"/>
                <w:szCs w:val="17"/>
                <w:b w:val="1"/>
                <w:bCs w:val="1"/>
                <w:color w:val="auto"/>
              </w:rPr>
              <w:t>Total sales and marketing expenses</w:t>
            </w:r>
          </w:p>
        </w:tc>
        <w:tc>
          <w:tcPr>
            <w:tcW w:w="1000" w:type="dxa"/>
            <w:vAlign w:val="bottom"/>
            <w:tcBorders>
              <w:bottom w:val="single" w:sz="8" w:color="auto"/>
            </w:tcBorders>
            <w:shd w:val="clear" w:color="auto" w:fill="C5EFFF"/>
          </w:tcPr>
          <w:p>
            <w:pPr>
              <w:jc w:val="right"/>
              <w:spacing w:after="0"/>
              <w:rPr>
                <w:sz w:val="20"/>
                <w:szCs w:val="20"/>
                <w:color w:val="auto"/>
              </w:rPr>
            </w:pPr>
            <w:r>
              <w:rPr>
                <w:rFonts w:ascii="Arial" w:cs="Arial" w:eastAsia="Arial" w:hAnsi="Arial"/>
                <w:sz w:val="17"/>
                <w:szCs w:val="17"/>
                <w:b w:val="1"/>
                <w:bCs w:val="1"/>
                <w:color w:val="auto"/>
              </w:rPr>
              <w:t>2,152,830</w:t>
            </w:r>
          </w:p>
        </w:tc>
        <w:tc>
          <w:tcPr>
            <w:tcW w:w="120" w:type="dxa"/>
            <w:vAlign w:val="bottom"/>
            <w:tcBorders>
              <w:bottom w:val="single" w:sz="8" w:color="C5EFFF"/>
            </w:tcBorders>
            <w:shd w:val="clear" w:color="auto" w:fill="C5EFFF"/>
          </w:tcPr>
          <w:p>
            <w:pPr>
              <w:spacing w:after="0"/>
              <w:rPr>
                <w:sz w:val="17"/>
                <w:szCs w:val="17"/>
                <w:color w:val="auto"/>
              </w:rPr>
            </w:pPr>
          </w:p>
        </w:tc>
        <w:tc>
          <w:tcPr>
            <w:tcW w:w="760" w:type="dxa"/>
            <w:vAlign w:val="bottom"/>
            <w:tcBorders>
              <w:bottom w:val="single" w:sz="8" w:color="auto"/>
            </w:tcBorders>
            <w:shd w:val="clear" w:color="auto" w:fill="C5EFFF"/>
          </w:tcPr>
          <w:p>
            <w:pPr>
              <w:jc w:val="right"/>
              <w:spacing w:after="0"/>
              <w:rPr>
                <w:sz w:val="20"/>
                <w:szCs w:val="20"/>
                <w:color w:val="auto"/>
              </w:rPr>
            </w:pPr>
            <w:r>
              <w:rPr>
                <w:rFonts w:ascii="Arial" w:cs="Arial" w:eastAsia="Arial" w:hAnsi="Arial"/>
                <w:sz w:val="17"/>
                <w:szCs w:val="17"/>
                <w:b w:val="1"/>
                <w:bCs w:val="1"/>
                <w:color w:val="auto"/>
              </w:rPr>
              <w:t>100.0</w:t>
            </w:r>
          </w:p>
        </w:tc>
        <w:tc>
          <w:tcPr>
            <w:tcW w:w="140" w:type="dxa"/>
            <w:vAlign w:val="bottom"/>
            <w:tcBorders>
              <w:bottom w:val="single" w:sz="8" w:color="C5EFFF"/>
            </w:tcBorders>
            <w:shd w:val="clear" w:color="auto" w:fill="C5EFFF"/>
          </w:tcPr>
          <w:p>
            <w:pPr>
              <w:spacing w:after="0"/>
              <w:rPr>
                <w:sz w:val="17"/>
                <w:szCs w:val="17"/>
                <w:color w:val="auto"/>
              </w:rPr>
            </w:pPr>
          </w:p>
        </w:tc>
        <w:tc>
          <w:tcPr>
            <w:tcW w:w="980" w:type="dxa"/>
            <w:vAlign w:val="bottom"/>
            <w:tcBorders>
              <w:bottom w:val="single" w:sz="8" w:color="auto"/>
            </w:tcBorders>
            <w:shd w:val="clear" w:color="auto" w:fill="C5EFFF"/>
          </w:tcPr>
          <w:p>
            <w:pPr>
              <w:jc w:val="right"/>
              <w:spacing w:after="0"/>
              <w:rPr>
                <w:sz w:val="20"/>
                <w:szCs w:val="20"/>
                <w:color w:val="auto"/>
              </w:rPr>
            </w:pPr>
            <w:r>
              <w:rPr>
                <w:rFonts w:ascii="Arial" w:cs="Arial" w:eastAsia="Arial" w:hAnsi="Arial"/>
                <w:sz w:val="17"/>
                <w:szCs w:val="17"/>
                <w:b w:val="1"/>
                <w:bCs w:val="1"/>
                <w:color w:val="auto"/>
              </w:rPr>
              <w:t>1,792,285</w:t>
            </w:r>
          </w:p>
        </w:tc>
        <w:tc>
          <w:tcPr>
            <w:tcW w:w="140" w:type="dxa"/>
            <w:vAlign w:val="bottom"/>
            <w:tcBorders>
              <w:bottom w:val="single" w:sz="8" w:color="C5EFFF"/>
            </w:tcBorders>
            <w:shd w:val="clear" w:color="auto" w:fill="C5EFFF"/>
          </w:tcPr>
          <w:p>
            <w:pPr>
              <w:spacing w:after="0"/>
              <w:rPr>
                <w:sz w:val="17"/>
                <w:szCs w:val="17"/>
                <w:color w:val="auto"/>
              </w:rPr>
            </w:pPr>
          </w:p>
        </w:tc>
        <w:tc>
          <w:tcPr>
            <w:tcW w:w="760" w:type="dxa"/>
            <w:vAlign w:val="bottom"/>
            <w:tcBorders>
              <w:bottom w:val="single" w:sz="8" w:color="auto"/>
            </w:tcBorders>
            <w:shd w:val="clear" w:color="auto" w:fill="C5EFFF"/>
          </w:tcPr>
          <w:p>
            <w:pPr>
              <w:jc w:val="right"/>
              <w:spacing w:after="0"/>
              <w:rPr>
                <w:sz w:val="20"/>
                <w:szCs w:val="20"/>
                <w:color w:val="auto"/>
              </w:rPr>
            </w:pPr>
            <w:r>
              <w:rPr>
                <w:rFonts w:ascii="Arial" w:cs="Arial" w:eastAsia="Arial" w:hAnsi="Arial"/>
                <w:sz w:val="17"/>
                <w:szCs w:val="17"/>
                <w:b w:val="1"/>
                <w:bCs w:val="1"/>
                <w:color w:val="auto"/>
              </w:rPr>
              <w:t>100.0</w:t>
            </w:r>
          </w:p>
        </w:tc>
        <w:tc>
          <w:tcPr>
            <w:tcW w:w="140" w:type="dxa"/>
            <w:vAlign w:val="bottom"/>
            <w:tcBorders>
              <w:bottom w:val="single" w:sz="8" w:color="C5EFFF"/>
            </w:tcBorders>
            <w:shd w:val="clear" w:color="auto" w:fill="C5EFFF"/>
          </w:tcPr>
          <w:p>
            <w:pPr>
              <w:spacing w:after="0"/>
              <w:rPr>
                <w:sz w:val="17"/>
                <w:szCs w:val="17"/>
                <w:color w:val="auto"/>
              </w:rPr>
            </w:pPr>
          </w:p>
        </w:tc>
        <w:tc>
          <w:tcPr>
            <w:tcW w:w="980" w:type="dxa"/>
            <w:vAlign w:val="bottom"/>
            <w:tcBorders>
              <w:bottom w:val="single" w:sz="8" w:color="auto"/>
            </w:tcBorders>
            <w:shd w:val="clear" w:color="auto" w:fill="C5EFFF"/>
          </w:tcPr>
          <w:p>
            <w:pPr>
              <w:jc w:val="right"/>
              <w:spacing w:after="0"/>
              <w:rPr>
                <w:sz w:val="20"/>
                <w:szCs w:val="20"/>
                <w:color w:val="auto"/>
              </w:rPr>
            </w:pPr>
            <w:r>
              <w:rPr>
                <w:rFonts w:ascii="Arial" w:cs="Arial" w:eastAsia="Arial" w:hAnsi="Arial"/>
                <w:sz w:val="17"/>
                <w:szCs w:val="17"/>
                <w:b w:val="1"/>
                <w:bCs w:val="1"/>
                <w:color w:val="auto"/>
              </w:rPr>
              <w:t>2,123,618</w:t>
            </w:r>
          </w:p>
        </w:tc>
        <w:tc>
          <w:tcPr>
            <w:tcW w:w="140" w:type="dxa"/>
            <w:vAlign w:val="bottom"/>
            <w:tcBorders>
              <w:bottom w:val="single" w:sz="8" w:color="C5EFFF"/>
            </w:tcBorders>
            <w:shd w:val="clear" w:color="auto" w:fill="C5EFFF"/>
          </w:tcPr>
          <w:p>
            <w:pPr>
              <w:spacing w:after="0"/>
              <w:rPr>
                <w:sz w:val="17"/>
                <w:szCs w:val="17"/>
                <w:color w:val="auto"/>
              </w:rPr>
            </w:pPr>
          </w:p>
        </w:tc>
        <w:tc>
          <w:tcPr>
            <w:tcW w:w="840" w:type="dxa"/>
            <w:vAlign w:val="bottom"/>
            <w:tcBorders>
              <w:bottom w:val="single" w:sz="8" w:color="auto"/>
            </w:tcBorders>
            <w:shd w:val="clear" w:color="auto" w:fill="C5EFFF"/>
          </w:tcPr>
          <w:p>
            <w:pPr>
              <w:jc w:val="right"/>
              <w:spacing w:after="0"/>
              <w:rPr>
                <w:sz w:val="20"/>
                <w:szCs w:val="20"/>
                <w:color w:val="auto"/>
              </w:rPr>
            </w:pPr>
            <w:r>
              <w:rPr>
                <w:rFonts w:ascii="Arial" w:cs="Arial" w:eastAsia="Arial" w:hAnsi="Arial"/>
                <w:sz w:val="17"/>
                <w:szCs w:val="17"/>
                <w:b w:val="1"/>
                <w:bCs w:val="1"/>
                <w:color w:val="auto"/>
              </w:rPr>
              <w:t>325,459</w:t>
            </w:r>
          </w:p>
        </w:tc>
        <w:tc>
          <w:tcPr>
            <w:tcW w:w="140" w:type="dxa"/>
            <w:vAlign w:val="bottom"/>
            <w:tcBorders>
              <w:bottom w:val="single" w:sz="8" w:color="C5EFFF"/>
            </w:tcBorders>
            <w:shd w:val="clear" w:color="auto" w:fill="C5EFFF"/>
          </w:tcPr>
          <w:p>
            <w:pPr>
              <w:spacing w:after="0"/>
              <w:rPr>
                <w:sz w:val="17"/>
                <w:szCs w:val="17"/>
                <w:color w:val="auto"/>
              </w:rPr>
            </w:pPr>
          </w:p>
        </w:tc>
        <w:tc>
          <w:tcPr>
            <w:tcW w:w="800" w:type="dxa"/>
            <w:vAlign w:val="bottom"/>
            <w:tcBorders>
              <w:bottom w:val="single" w:sz="8" w:color="auto"/>
            </w:tcBorders>
            <w:shd w:val="clear" w:color="auto" w:fill="C5EFFF"/>
          </w:tcPr>
          <w:p>
            <w:pPr>
              <w:jc w:val="right"/>
              <w:spacing w:after="0"/>
              <w:rPr>
                <w:sz w:val="20"/>
                <w:szCs w:val="20"/>
                <w:color w:val="auto"/>
              </w:rPr>
            </w:pPr>
            <w:r>
              <w:rPr>
                <w:rFonts w:ascii="Arial" w:cs="Arial" w:eastAsia="Arial" w:hAnsi="Arial"/>
                <w:sz w:val="17"/>
                <w:szCs w:val="17"/>
                <w:b w:val="1"/>
                <w:bCs w:val="1"/>
                <w:color w:val="auto"/>
              </w:rPr>
              <w:t>100.0</w:t>
            </w:r>
          </w:p>
        </w:tc>
        <w:tc>
          <w:tcPr>
            <w:tcW w:w="60" w:type="dxa"/>
            <w:vAlign w:val="bottom"/>
            <w:tcBorders>
              <w:bottom w:val="single" w:sz="8" w:color="C5EFFF"/>
            </w:tcBorders>
            <w:shd w:val="clear" w:color="auto" w:fill="C5E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20" w:right="460" w:firstLine="547"/>
        <w:spacing w:after="0" w:line="278" w:lineRule="auto"/>
        <w:rPr>
          <w:sz w:val="20"/>
          <w:szCs w:val="20"/>
          <w:color w:val="auto"/>
        </w:rPr>
      </w:pPr>
      <w:r>
        <w:rPr>
          <w:rFonts w:ascii="Arial" w:cs="Arial" w:eastAsia="Arial" w:hAnsi="Arial"/>
          <w:sz w:val="16"/>
          <w:szCs w:val="16"/>
          <w:color w:val="auto"/>
        </w:rPr>
        <w:t>Our expenses incurred in relation to sales and marketing personnel consist of (i) salaries paid to our sales and marketing personnel employed by us; (ii) commissions for the sales and marketing personnel employed by us; and (iii) business process outsourcing service fees and commissions. The marketing spending includes expenses relating to our search engine marketing channels and mobile marketing channels.</w:t>
      </w:r>
    </w:p>
    <w:p>
      <w:pPr>
        <w:spacing w:after="0" w:line="158" w:lineRule="exact"/>
        <w:rPr>
          <w:sz w:val="20"/>
          <w:szCs w:val="20"/>
          <w:color w:val="auto"/>
        </w:rPr>
      </w:pPr>
    </w:p>
    <w:p>
      <w:pPr>
        <w:ind w:left="20" w:right="60" w:firstLine="547"/>
        <w:spacing w:after="0" w:line="264" w:lineRule="auto"/>
        <w:rPr>
          <w:sz w:val="20"/>
          <w:szCs w:val="20"/>
          <w:color w:val="auto"/>
        </w:rPr>
      </w:pPr>
      <w:r>
        <w:rPr>
          <w:rFonts w:ascii="Arial" w:cs="Arial" w:eastAsia="Arial" w:hAnsi="Arial"/>
          <w:sz w:val="17"/>
          <w:szCs w:val="17"/>
          <w:color w:val="auto"/>
        </w:rPr>
        <w:t>We have historically incurred, and are expected to continue to incur, significant sales and marketing expenses as we invested substantially in our sales, branding and marketing efforts and expanding our sales and marketing team to increase student enrollments and gain market share.</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03" w:lineRule="exact"/>
        <w:rPr>
          <w:sz w:val="20"/>
          <w:szCs w:val="20"/>
          <w:color w:val="auto"/>
        </w:rPr>
      </w:pPr>
    </w:p>
    <w:p>
      <w:pPr>
        <w:ind w:left="20" w:right="260" w:firstLine="547"/>
        <w:spacing w:after="0" w:line="254" w:lineRule="auto"/>
        <w:rPr>
          <w:sz w:val="20"/>
          <w:szCs w:val="20"/>
          <w:color w:val="auto"/>
        </w:rPr>
      </w:pPr>
      <w:r>
        <w:rPr>
          <w:rFonts w:ascii="Arial" w:cs="Arial" w:eastAsia="Arial" w:hAnsi="Arial"/>
          <w:sz w:val="17"/>
          <w:szCs w:val="17"/>
          <w:color w:val="auto"/>
        </w:rPr>
        <w:t>Our general and administrative expenses primarily consist of (i) compensation for our senior executives and administrative personnel, (ii) rentals of premises occupied by our senior executives and administrative personnel, and (iii) administrative and other expenses. We expect our general and administrative expenses to remain stable in the foreseeable future.</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Product development expenses</w:t>
      </w:r>
    </w:p>
    <w:p>
      <w:pPr>
        <w:spacing w:after="0" w:line="103" w:lineRule="exact"/>
        <w:rPr>
          <w:sz w:val="20"/>
          <w:szCs w:val="20"/>
          <w:color w:val="auto"/>
        </w:rPr>
      </w:pPr>
    </w:p>
    <w:p>
      <w:pPr>
        <w:ind w:left="20" w:right="120" w:firstLine="547"/>
        <w:spacing w:after="0" w:line="254" w:lineRule="auto"/>
        <w:rPr>
          <w:sz w:val="20"/>
          <w:szCs w:val="20"/>
          <w:color w:val="auto"/>
        </w:rPr>
      </w:pPr>
      <w:r>
        <w:rPr>
          <w:rFonts w:ascii="Arial" w:cs="Arial" w:eastAsia="Arial" w:hAnsi="Arial"/>
          <w:sz w:val="17"/>
          <w:szCs w:val="17"/>
          <w:color w:val="auto"/>
        </w:rPr>
        <w:t>Our product development expenses primarily consist of (i) compensation for our course and educational content development professionals and technology development personnel, and (ii) rentals of premises occupied by our course and educational content development professionals and technology development personnel. We expect our product development expenses to remain stable in the foreseeable future.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6851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463" w:right="339" w:bottom="1440" w:gutter="0" w:footer="0" w:header="0"/>
        </w:sectPr>
      </w:pPr>
    </w:p>
    <w:bookmarkStart w:id="75" w:name="page76"/>
    <w:bookmarkEnd w:id="75"/>
    <w:p>
      <w:pPr>
        <w:ind w:left="20"/>
        <w:spacing w:after="0"/>
        <w:rPr>
          <w:sz w:val="20"/>
          <w:szCs w:val="20"/>
          <w:color w:val="auto"/>
        </w:rPr>
      </w:pPr>
      <w:r>
        <w:rPr>
          <w:rFonts w:ascii="Arial" w:cs="Arial" w:eastAsia="Arial" w:hAnsi="Arial"/>
          <w:sz w:val="17"/>
          <w:szCs w:val="17"/>
          <w:b w:val="1"/>
          <w:bCs w:val="1"/>
          <w:color w:val="auto"/>
        </w:rPr>
        <w:t>Results of Operations</w:t>
      </w:r>
    </w:p>
    <w:p>
      <w:pPr>
        <w:spacing w:after="0" w:line="107" w:lineRule="exact"/>
        <w:rPr>
          <w:sz w:val="20"/>
          <w:szCs w:val="20"/>
          <w:color w:val="auto"/>
        </w:rPr>
      </w:pPr>
    </w:p>
    <w:p>
      <w:pPr>
        <w:ind w:left="20" w:right="160" w:firstLine="547"/>
        <w:spacing w:after="0" w:line="254" w:lineRule="auto"/>
        <w:rPr>
          <w:sz w:val="20"/>
          <w:szCs w:val="20"/>
          <w:color w:val="auto"/>
        </w:rPr>
      </w:pPr>
      <w:r>
        <w:rPr>
          <w:rFonts w:ascii="Arial" w:cs="Arial" w:eastAsia="Arial" w:hAnsi="Arial"/>
          <w:sz w:val="17"/>
          <w:szCs w:val="17"/>
          <w:color w:val="auto"/>
        </w:rPr>
        <w:t>The following table sets forth our consolidated results of operations for the years indicated.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3"/>
              </w:rPr>
              <w:t>For the Year Ended December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2018</w:t>
            </w:r>
          </w:p>
        </w:tc>
        <w:tc>
          <w:tcPr>
            <w:tcW w:w="1320" w:type="dxa"/>
            <w:vAlign w:val="bottom"/>
            <w:gridSpan w:val="2"/>
          </w:tcPr>
          <w:p>
            <w:pPr>
              <w:jc w:val="center"/>
              <w:ind w:left="100"/>
              <w:spacing w:after="0" w:line="142" w:lineRule="exact"/>
              <w:rPr>
                <w:sz w:val="20"/>
                <w:szCs w:val="20"/>
                <w:color w:val="auto"/>
              </w:rPr>
            </w:pPr>
            <w:r>
              <w:rPr>
                <w:rFonts w:ascii="Arial" w:cs="Arial" w:eastAsia="Arial" w:hAnsi="Arial"/>
                <w:sz w:val="13"/>
                <w:szCs w:val="13"/>
                <w:b w:val="1"/>
                <w:bCs w:val="1"/>
                <w:color w:val="auto"/>
                <w:w w:val="89"/>
              </w:rPr>
              <w:t>2019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2020</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20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26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rPr>
              <w:t>RMB</w:t>
            </w:r>
          </w:p>
        </w:tc>
        <w:tc>
          <w:tcPr>
            <w:tcW w:w="114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980" w:type="dxa"/>
            <w:vAlign w:val="bottom"/>
            <w:gridSpan w:val="6"/>
          </w:tcPr>
          <w:p>
            <w:pPr>
              <w:jc w:val="center"/>
              <w:ind w:right="80"/>
              <w:spacing w:after="0" w:line="142" w:lineRule="exact"/>
              <w:rPr>
                <w:sz w:val="20"/>
                <w:szCs w:val="20"/>
                <w:color w:val="auto"/>
              </w:rPr>
            </w:pPr>
            <w:r>
              <w:rPr>
                <w:rFonts w:ascii="Arial" w:cs="Arial" w:eastAsia="Arial" w:hAnsi="Arial"/>
                <w:sz w:val="13"/>
                <w:szCs w:val="13"/>
                <w:b w:val="1"/>
                <w:bCs w:val="1"/>
                <w:color w:val="auto"/>
                <w:w w:val="90"/>
              </w:rPr>
              <w:t>(in thousands, except for share and per share data)</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shd w:val="clear" w:color="auto" w:fill="CFF0FC"/>
          </w:tcPr>
          <w:p>
            <w:pPr>
              <w:spacing w:after="0"/>
              <w:rPr>
                <w:sz w:val="20"/>
                <w:szCs w:val="20"/>
                <w:color w:val="auto"/>
              </w:rPr>
            </w:pPr>
            <w:r>
              <w:rPr>
                <w:rFonts w:ascii="Arial" w:cs="Arial" w:eastAsia="Arial" w:hAnsi="Arial"/>
                <w:sz w:val="17"/>
                <w:szCs w:val="17"/>
                <w:b w:val="1"/>
                <w:bCs w:val="1"/>
                <w:color w:val="auto"/>
              </w:rPr>
              <w:t>Net revenues</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1,973,985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2,193,902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2,203,791</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337,746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7"/>
                <w:szCs w:val="17"/>
                <w:color w:val="auto"/>
              </w:rPr>
              <w:t>Cost of revenues</w:t>
            </w:r>
            <w:r>
              <w:rPr>
                <w:rFonts w:ascii="Arial" w:cs="Arial" w:eastAsia="Arial" w:hAnsi="Arial"/>
                <w:sz w:val="14"/>
                <w:szCs w:val="14"/>
                <w:color w:val="auto"/>
              </w:rPr>
              <w:t>(1)</w:t>
            </w:r>
          </w:p>
        </w:tc>
        <w:tc>
          <w:tcPr>
            <w:tcW w:w="1200" w:type="dxa"/>
            <w:vAlign w:val="bottom"/>
          </w:tcPr>
          <w:p>
            <w:pPr>
              <w:jc w:val="right"/>
              <w:spacing w:after="0"/>
              <w:rPr>
                <w:sz w:val="20"/>
                <w:szCs w:val="20"/>
                <w:color w:val="auto"/>
              </w:rPr>
            </w:pPr>
            <w:r>
              <w:rPr>
                <w:rFonts w:ascii="Arial" w:cs="Arial" w:eastAsia="Arial" w:hAnsi="Arial"/>
                <w:sz w:val="17"/>
                <w:szCs w:val="17"/>
                <w:color w:val="auto"/>
              </w:rPr>
              <w:t>(330,376)</w:t>
            </w:r>
          </w:p>
        </w:tc>
        <w:tc>
          <w:tcPr>
            <w:tcW w:w="1580" w:type="dxa"/>
            <w:vAlign w:val="bottom"/>
            <w:gridSpan w:val="3"/>
          </w:tcPr>
          <w:p>
            <w:pPr>
              <w:jc w:val="right"/>
              <w:ind w:right="220"/>
              <w:spacing w:after="0"/>
              <w:rPr>
                <w:sz w:val="20"/>
                <w:szCs w:val="20"/>
                <w:color w:val="auto"/>
              </w:rPr>
            </w:pPr>
            <w:r>
              <w:rPr>
                <w:rFonts w:ascii="Arial" w:cs="Arial" w:eastAsia="Arial" w:hAnsi="Arial"/>
                <w:sz w:val="17"/>
                <w:szCs w:val="17"/>
                <w:color w:val="auto"/>
              </w:rPr>
              <w:t>(396,316)</w:t>
            </w: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(387,272)</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(59,352)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7"/>
                <w:szCs w:val="17"/>
                <w:b w:val="1"/>
                <w:bCs w:val="1"/>
                <w:color w:val="auto"/>
              </w:rPr>
              <w:t>Gross profit</w:t>
            </w: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1,643,609</w:t>
            </w:r>
          </w:p>
        </w:tc>
        <w:tc>
          <w:tcPr>
            <w:tcW w:w="20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1,797,586</w:t>
            </w: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1,816,519</w:t>
            </w:r>
          </w:p>
        </w:tc>
        <w:tc>
          <w:tcPr>
            <w:tcW w:w="26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278,394</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40" w:type="dxa"/>
            <w:vAlign w:val="bottom"/>
            <w:gridSpan w:val="4"/>
          </w:tcPr>
          <w:p>
            <w:pPr>
              <w:spacing w:after="0"/>
              <w:rPr>
                <w:sz w:val="20"/>
                <w:szCs w:val="20"/>
                <w:color w:val="auto"/>
              </w:rPr>
            </w:pPr>
            <w:r>
              <w:rPr>
                <w:rFonts w:ascii="Arial" w:cs="Arial" w:eastAsia="Arial" w:hAnsi="Arial"/>
                <w:sz w:val="17"/>
                <w:szCs w:val="17"/>
                <w:color w:val="auto"/>
              </w:rPr>
              <w:t>Operating expenses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Sales and marketing expenses</w:t>
            </w:r>
            <w:r>
              <w:rPr>
                <w:rFonts w:ascii="Arial" w:cs="Arial" w:eastAsia="Arial" w:hAnsi="Arial"/>
                <w:sz w:val="14"/>
                <w:szCs w:val="14"/>
                <w:color w:val="auto"/>
              </w:rPr>
              <w:t>(1)</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(2,152,830)</w:t>
            </w:r>
          </w:p>
        </w:tc>
        <w:tc>
          <w:tcPr>
            <w:tcW w:w="158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(1,792,285)</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4"/>
              </w:rPr>
              <w:t>(2,123,618)</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(325,459)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tcPr>
          <w:p>
            <w:pPr>
              <w:ind w:left="220"/>
              <w:spacing w:after="0"/>
              <w:rPr>
                <w:sz w:val="20"/>
                <w:szCs w:val="20"/>
                <w:color w:val="auto"/>
              </w:rPr>
            </w:pPr>
            <w:r>
              <w:rPr>
                <w:rFonts w:ascii="Arial" w:cs="Arial" w:eastAsia="Arial" w:hAnsi="Arial"/>
                <w:sz w:val="17"/>
                <w:szCs w:val="17"/>
                <w:color w:val="auto"/>
              </w:rPr>
              <w:t>Product development expenses</w:t>
            </w:r>
            <w:r>
              <w:rPr>
                <w:rFonts w:ascii="Arial" w:cs="Arial" w:eastAsia="Arial" w:hAnsi="Arial"/>
                <w:sz w:val="14"/>
                <w:szCs w:val="14"/>
                <w:color w:val="auto"/>
              </w:rPr>
              <w:t>(1)</w:t>
            </w:r>
          </w:p>
        </w:tc>
        <w:tc>
          <w:tcPr>
            <w:tcW w:w="1200" w:type="dxa"/>
            <w:vAlign w:val="bottom"/>
          </w:tcPr>
          <w:p>
            <w:pPr>
              <w:jc w:val="right"/>
              <w:spacing w:after="0"/>
              <w:rPr>
                <w:sz w:val="20"/>
                <w:szCs w:val="20"/>
                <w:color w:val="auto"/>
              </w:rPr>
            </w:pPr>
            <w:r>
              <w:rPr>
                <w:rFonts w:ascii="Arial" w:cs="Arial" w:eastAsia="Arial" w:hAnsi="Arial"/>
                <w:sz w:val="17"/>
                <w:szCs w:val="17"/>
                <w:color w:val="auto"/>
              </w:rPr>
              <w:t>(76,022)</w:t>
            </w:r>
          </w:p>
        </w:tc>
        <w:tc>
          <w:tcPr>
            <w:tcW w:w="1580" w:type="dxa"/>
            <w:vAlign w:val="bottom"/>
            <w:gridSpan w:val="3"/>
          </w:tcPr>
          <w:p>
            <w:pPr>
              <w:jc w:val="right"/>
              <w:ind w:right="220"/>
              <w:spacing w:after="0"/>
              <w:rPr>
                <w:sz w:val="20"/>
                <w:szCs w:val="20"/>
                <w:color w:val="auto"/>
              </w:rPr>
            </w:pPr>
            <w:r>
              <w:rPr>
                <w:rFonts w:ascii="Arial" w:cs="Arial" w:eastAsia="Arial" w:hAnsi="Arial"/>
                <w:sz w:val="17"/>
                <w:szCs w:val="17"/>
                <w:color w:val="auto"/>
              </w:rPr>
              <w:t>(101,717)</w:t>
            </w: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(66,528)</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(10,196)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General and administrative expenses</w:t>
            </w:r>
            <w:r>
              <w:rPr>
                <w:rFonts w:ascii="Arial" w:cs="Arial" w:eastAsia="Arial" w:hAnsi="Arial"/>
                <w:sz w:val="14"/>
                <w:szCs w:val="14"/>
                <w:color w:val="auto"/>
              </w:rPr>
              <w:t>(1)</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(443,691)</w:t>
            </w:r>
          </w:p>
        </w:tc>
        <w:tc>
          <w:tcPr>
            <w:tcW w:w="158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(363,307)</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(275,391)</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(42,206)</w:t>
            </w:r>
          </w:p>
        </w:tc>
        <w:tc>
          <w:tcPr>
            <w:tcW w:w="0" w:type="dxa"/>
            <w:vAlign w:val="bottom"/>
          </w:tcPr>
          <w:p>
            <w:pPr>
              <w:spacing w:after="0"/>
              <w:rPr>
                <w:sz w:val="1"/>
                <w:szCs w:val="1"/>
                <w:color w:val="auto"/>
              </w:rPr>
            </w:pPr>
          </w:p>
        </w:tc>
      </w:tr>
      <w:tr>
        <w:trPr>
          <w:trHeight w:val="204"/>
        </w:trPr>
        <w:tc>
          <w:tcPr>
            <w:tcW w:w="5840" w:type="dxa"/>
            <w:vAlign w:val="bottom"/>
            <w:gridSpan w:val="4"/>
          </w:tcPr>
          <w:p>
            <w:pPr>
              <w:spacing w:after="0"/>
              <w:rPr>
                <w:sz w:val="20"/>
                <w:szCs w:val="20"/>
                <w:color w:val="auto"/>
              </w:rPr>
            </w:pPr>
            <w:r>
              <w:rPr>
                <w:rFonts w:ascii="Arial" w:cs="Arial" w:eastAsia="Arial" w:hAnsi="Arial"/>
                <w:sz w:val="17"/>
                <w:szCs w:val="17"/>
                <w:color w:val="auto"/>
              </w:rPr>
              <w:t>Total operating expenses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(2,672,543)</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(2,257,309)</w:t>
            </w: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(2,465,537)</w:t>
            </w:r>
          </w:p>
        </w:tc>
        <w:tc>
          <w:tcPr>
            <w:tcW w:w="26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(377,861)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(1,028,934)</w:t>
            </w:r>
          </w:p>
        </w:tc>
        <w:tc>
          <w:tcPr>
            <w:tcW w:w="20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(459,723)</w:t>
            </w: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(649,018)</w:t>
            </w:r>
          </w:p>
        </w:tc>
        <w:tc>
          <w:tcPr>
            <w:tcW w:w="26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(99,467)</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40" w:type="dxa"/>
            <w:vAlign w:val="bottom"/>
            <w:gridSpan w:val="4"/>
          </w:tcPr>
          <w:p>
            <w:pPr>
              <w:spacing w:after="0"/>
              <w:rPr>
                <w:sz w:val="20"/>
                <w:szCs w:val="20"/>
                <w:color w:val="auto"/>
              </w:rPr>
            </w:pPr>
            <w:r>
              <w:rPr>
                <w:rFonts w:ascii="Arial" w:cs="Arial" w:eastAsia="Arial" w:hAnsi="Arial"/>
                <w:sz w:val="17"/>
                <w:szCs w:val="17"/>
                <w:color w:val="auto"/>
              </w:rPr>
              <w:t>Interest income</w:t>
            </w:r>
          </w:p>
        </w:tc>
        <w:tc>
          <w:tcPr>
            <w:tcW w:w="1200" w:type="dxa"/>
            <w:vAlign w:val="bottom"/>
          </w:tcPr>
          <w:p>
            <w:pPr>
              <w:jc w:val="right"/>
              <w:spacing w:after="0"/>
              <w:rPr>
                <w:sz w:val="20"/>
                <w:szCs w:val="20"/>
                <w:color w:val="auto"/>
              </w:rPr>
            </w:pPr>
            <w:r>
              <w:rPr>
                <w:rFonts w:ascii="Arial" w:cs="Arial" w:eastAsia="Arial" w:hAnsi="Arial"/>
                <w:sz w:val="17"/>
                <w:szCs w:val="17"/>
                <w:color w:val="auto"/>
              </w:rPr>
              <w:t>70,355</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60,166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25,809</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(2,171)</w:t>
            </w:r>
          </w:p>
        </w:tc>
        <w:tc>
          <w:tcPr>
            <w:tcW w:w="158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(14,312)</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(11,692)</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7"/>
                <w:szCs w:val="17"/>
                <w:color w:val="auto"/>
              </w:rPr>
              <w:t>Other income, net</w:t>
            </w:r>
          </w:p>
        </w:tc>
        <w:tc>
          <w:tcPr>
            <w:tcW w:w="1200" w:type="dxa"/>
            <w:vAlign w:val="bottom"/>
          </w:tcPr>
          <w:p>
            <w:pPr>
              <w:jc w:val="right"/>
              <w:spacing w:after="0"/>
              <w:rPr>
                <w:sz w:val="20"/>
                <w:szCs w:val="20"/>
                <w:color w:val="auto"/>
              </w:rPr>
            </w:pPr>
            <w:r>
              <w:rPr>
                <w:rFonts w:ascii="Arial" w:cs="Arial" w:eastAsia="Arial" w:hAnsi="Arial"/>
                <w:sz w:val="17"/>
                <w:szCs w:val="17"/>
                <w:color w:val="auto"/>
              </w:rPr>
              <w:t>32,090</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21,280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203,210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rPr>
              <w:t>Impairment loss on long-term investments</w:t>
            </w: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(882)</w:t>
            </w:r>
          </w:p>
        </w:tc>
        <w:tc>
          <w:tcPr>
            <w:tcW w:w="26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40" w:type="dxa"/>
            <w:vAlign w:val="bottom"/>
            <w:gridSpan w:val="4"/>
          </w:tcPr>
          <w:p>
            <w:pPr>
              <w:spacing w:after="0"/>
              <w:rPr>
                <w:sz w:val="20"/>
                <w:szCs w:val="20"/>
                <w:color w:val="auto"/>
              </w:rPr>
            </w:pPr>
            <w:r>
              <w:rPr>
                <w:rFonts w:ascii="Arial" w:cs="Arial" w:eastAsia="Arial" w:hAnsi="Arial"/>
                <w:sz w:val="17"/>
                <w:szCs w:val="17"/>
                <w:color w:val="auto"/>
              </w:rPr>
              <w:t>Loss before income tax expenses</w:t>
            </w:r>
          </w:p>
        </w:tc>
        <w:tc>
          <w:tcPr>
            <w:tcW w:w="1200" w:type="dxa"/>
            <w:vAlign w:val="bottom"/>
          </w:tcPr>
          <w:p>
            <w:pPr>
              <w:jc w:val="right"/>
              <w:spacing w:after="0"/>
              <w:rPr>
                <w:sz w:val="20"/>
                <w:szCs w:val="20"/>
                <w:color w:val="auto"/>
              </w:rPr>
            </w:pPr>
            <w:r>
              <w:rPr>
                <w:rFonts w:ascii="Arial" w:cs="Arial" w:eastAsia="Arial" w:hAnsi="Arial"/>
                <w:sz w:val="17"/>
                <w:szCs w:val="17"/>
                <w:color w:val="auto"/>
              </w:rPr>
              <w:t>(928,660)</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(392,589)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(432,573)</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(66,294)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rPr>
              <w:t>Income tax (expenses)/benefits</w:t>
            </w:r>
          </w:p>
        </w:tc>
        <w:tc>
          <w:tcPr>
            <w:tcW w:w="1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(2,440)</w:t>
            </w: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w:t>
            </w:r>
          </w:p>
        </w:tc>
        <w:tc>
          <w:tcPr>
            <w:tcW w:w="26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7"/>
                <w:szCs w:val="17"/>
                <w:color w:val="auto"/>
              </w:rPr>
              <w:t>Gain/(loss) from equity method investments</w:t>
            </w:r>
          </w:p>
        </w:tc>
        <w:tc>
          <w:tcPr>
            <w:tcW w:w="1200" w:type="dxa"/>
            <w:vAlign w:val="bottom"/>
          </w:tcPr>
          <w:p>
            <w:pPr>
              <w:jc w:val="right"/>
              <w:spacing w:after="0"/>
              <w:rPr>
                <w:sz w:val="20"/>
                <w:szCs w:val="20"/>
                <w:color w:val="auto"/>
              </w:rPr>
            </w:pPr>
            <w:r>
              <w:rPr>
                <w:rFonts w:ascii="Arial" w:cs="Arial" w:eastAsia="Arial" w:hAnsi="Arial"/>
                <w:sz w:val="17"/>
                <w:szCs w:val="17"/>
                <w:color w:val="auto"/>
              </w:rPr>
              <w:t>1,710</w:t>
            </w:r>
          </w:p>
        </w:tc>
        <w:tc>
          <w:tcPr>
            <w:tcW w:w="1580" w:type="dxa"/>
            <w:vAlign w:val="bottom"/>
            <w:gridSpan w:val="3"/>
          </w:tcPr>
          <w:p>
            <w:pPr>
              <w:jc w:val="right"/>
              <w:ind w:right="220"/>
              <w:spacing w:after="0"/>
              <w:rPr>
                <w:sz w:val="20"/>
                <w:szCs w:val="20"/>
                <w:color w:val="auto"/>
              </w:rPr>
            </w:pPr>
            <w:r>
              <w:rPr>
                <w:rFonts w:ascii="Arial" w:cs="Arial" w:eastAsia="Arial" w:hAnsi="Arial"/>
                <w:sz w:val="17"/>
                <w:szCs w:val="17"/>
                <w:color w:val="auto"/>
              </w:rPr>
              <w:t>(136)</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1,349</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84"/>
              </w:rPr>
              <w:t>Net loss</w:t>
            </w:r>
          </w:p>
        </w:tc>
        <w:tc>
          <w:tcPr>
            <w:tcW w:w="528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(926,950)</w:t>
            </w:r>
          </w:p>
        </w:tc>
        <w:tc>
          <w:tcPr>
            <w:tcW w:w="158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(395,165)</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(430,988)</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(66,051)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40" w:type="dxa"/>
            <w:vAlign w:val="bottom"/>
            <w:gridSpan w:val="4"/>
            <w:vMerge w:val="restart"/>
          </w:tcPr>
          <w:p>
            <w:pPr>
              <w:spacing w:after="0"/>
              <w:rPr>
                <w:sz w:val="20"/>
                <w:szCs w:val="20"/>
                <w:color w:val="auto"/>
              </w:rPr>
            </w:pPr>
            <w:r>
              <w:rPr>
                <w:rFonts w:ascii="Arial" w:cs="Arial" w:eastAsia="Arial" w:hAnsi="Arial"/>
                <w:sz w:val="17"/>
                <w:szCs w:val="17"/>
                <w:color w:val="auto"/>
              </w:rPr>
              <w:t>Less: Net gain/(loss) attributable to non-controlling interest</w:t>
            </w:r>
          </w:p>
        </w:tc>
        <w:tc>
          <w:tcPr>
            <w:tcW w:w="12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gridSpan w:val="4"/>
            <w:vMerge w:val="continue"/>
          </w:tcPr>
          <w:p>
            <w:pPr>
              <w:spacing w:after="0"/>
              <w:rPr>
                <w:sz w:val="16"/>
                <w:szCs w:val="16"/>
                <w:color w:val="auto"/>
              </w:rPr>
            </w:pPr>
          </w:p>
        </w:tc>
        <w:tc>
          <w:tcPr>
            <w:tcW w:w="12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72</w:t>
            </w:r>
          </w:p>
        </w:tc>
        <w:tc>
          <w:tcPr>
            <w:tcW w:w="200" w:type="dxa"/>
            <w:vAlign w:val="bottom"/>
          </w:tcPr>
          <w:p>
            <w:pPr>
              <w:spacing w:after="0"/>
              <w:rPr>
                <w:sz w:val="16"/>
                <w:szCs w:val="16"/>
                <w:color w:val="auto"/>
              </w:rPr>
            </w:pPr>
          </w:p>
        </w:tc>
        <w:tc>
          <w:tcPr>
            <w:tcW w:w="1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(348)</w:t>
            </w: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(446)</w:t>
            </w:r>
          </w:p>
        </w:tc>
        <w:tc>
          <w:tcPr>
            <w:tcW w:w="260" w:type="dxa"/>
            <w:vAlign w:val="bottom"/>
          </w:tcPr>
          <w:p>
            <w:pPr>
              <w:spacing w:after="0"/>
              <w:rPr>
                <w:sz w:val="16"/>
                <w:szCs w:val="16"/>
                <w:color w:val="auto"/>
              </w:rPr>
            </w:pPr>
          </w:p>
        </w:tc>
        <w:tc>
          <w:tcPr>
            <w:tcW w:w="11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rPr>
              <w:t>Net loss attributable to Sunlands Technology Group</w:t>
            </w: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(927,022)</w:t>
            </w:r>
          </w:p>
        </w:tc>
        <w:tc>
          <w:tcPr>
            <w:tcW w:w="20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(394,817)</w:t>
            </w: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(430,542)</w:t>
            </w:r>
          </w:p>
        </w:tc>
        <w:tc>
          <w:tcPr>
            <w:tcW w:w="26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(65,983)</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40" w:type="dxa"/>
            <w:vAlign w:val="bottom"/>
            <w:gridSpan w:val="4"/>
          </w:tcPr>
          <w:p>
            <w:pPr>
              <w:spacing w:after="0" w:line="192" w:lineRule="exact"/>
              <w:rPr>
                <w:sz w:val="20"/>
                <w:szCs w:val="20"/>
                <w:color w:val="auto"/>
              </w:rPr>
            </w:pPr>
            <w:r>
              <w:rPr>
                <w:rFonts w:ascii="Arial" w:cs="Arial" w:eastAsia="Arial" w:hAnsi="Arial"/>
                <w:sz w:val="17"/>
                <w:szCs w:val="17"/>
                <w:color w:val="auto"/>
                <w:w w:val="96"/>
              </w:rPr>
              <w:t>Net loss per share attributable to ordinary shareholders of Sunlands Technology</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40" w:type="dxa"/>
            <w:vAlign w:val="bottom"/>
            <w:gridSpan w:val="4"/>
          </w:tcPr>
          <w:p>
            <w:pPr>
              <w:ind w:left="20"/>
              <w:spacing w:after="0"/>
              <w:rPr>
                <w:sz w:val="20"/>
                <w:szCs w:val="20"/>
                <w:color w:val="auto"/>
              </w:rPr>
            </w:pPr>
            <w:r>
              <w:rPr>
                <w:rFonts w:ascii="Arial" w:cs="Arial" w:eastAsia="Arial" w:hAnsi="Arial"/>
                <w:sz w:val="17"/>
                <w:szCs w:val="17"/>
                <w:color w:val="auto"/>
              </w:rPr>
              <w:t>Group—basic and diluted</w:t>
            </w:r>
          </w:p>
        </w:tc>
        <w:tc>
          <w:tcPr>
            <w:tcW w:w="1200" w:type="dxa"/>
            <w:vAlign w:val="bottom"/>
          </w:tcPr>
          <w:p>
            <w:pPr>
              <w:jc w:val="right"/>
              <w:spacing w:after="0"/>
              <w:rPr>
                <w:sz w:val="20"/>
                <w:szCs w:val="20"/>
                <w:color w:val="auto"/>
              </w:rPr>
            </w:pPr>
            <w:r>
              <w:rPr>
                <w:rFonts w:ascii="Arial" w:cs="Arial" w:eastAsia="Arial" w:hAnsi="Arial"/>
                <w:sz w:val="17"/>
                <w:szCs w:val="17"/>
                <w:color w:val="auto"/>
              </w:rPr>
              <w:t>(147.27)</w:t>
            </w:r>
          </w:p>
        </w:tc>
        <w:tc>
          <w:tcPr>
            <w:tcW w:w="1580" w:type="dxa"/>
            <w:vAlign w:val="bottom"/>
            <w:gridSpan w:val="3"/>
          </w:tcPr>
          <w:p>
            <w:pPr>
              <w:jc w:val="right"/>
              <w:ind w:right="220"/>
              <w:spacing w:after="0"/>
              <w:rPr>
                <w:sz w:val="20"/>
                <w:szCs w:val="20"/>
                <w:color w:val="auto"/>
              </w:rPr>
            </w:pPr>
            <w:r>
              <w:rPr>
                <w:rFonts w:ascii="Arial" w:cs="Arial" w:eastAsia="Arial" w:hAnsi="Arial"/>
                <w:sz w:val="17"/>
                <w:szCs w:val="17"/>
                <w:color w:val="auto"/>
              </w:rPr>
              <w:t>(57.81)</w:t>
            </w: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(63.74)</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(9.77)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tcBorders>
              <w:top w:val="single" w:sz="8" w:color="CFF0FC"/>
            </w:tcBorders>
            <w:gridSpan w:val="3"/>
            <w:shd w:val="clear" w:color="auto" w:fill="CFF0FC"/>
          </w:tcPr>
          <w:p>
            <w:pPr>
              <w:spacing w:after="0" w:line="192" w:lineRule="exact"/>
              <w:rPr>
                <w:sz w:val="20"/>
                <w:szCs w:val="20"/>
                <w:color w:val="auto"/>
              </w:rPr>
            </w:pPr>
            <w:r>
              <w:rPr>
                <w:rFonts w:ascii="Arial" w:cs="Arial" w:eastAsia="Arial" w:hAnsi="Arial"/>
                <w:sz w:val="17"/>
                <w:szCs w:val="17"/>
                <w:color w:val="auto"/>
                <w:w w:val="91"/>
              </w:rPr>
              <w:t>Weighted average shares used in calculating net loss per ordinary share—basic and</w:t>
            </w:r>
          </w:p>
        </w:tc>
        <w:tc>
          <w:tcPr>
            <w:tcW w:w="1200" w:type="dxa"/>
            <w:vAlign w:val="bottom"/>
            <w:tcBorders>
              <w:top w:val="single" w:sz="8" w:color="auto"/>
              <w:right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diluted</w:t>
            </w:r>
          </w:p>
        </w:tc>
        <w:tc>
          <w:tcPr>
            <w:tcW w:w="528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6,294,870</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6,830,058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6,754,134</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6,754,134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560" w:type="dxa"/>
            <w:vAlign w:val="bottom"/>
            <w:gridSpan w:val="3"/>
          </w:tcPr>
          <w:p>
            <w:pPr>
              <w:ind w:left="20"/>
              <w:spacing w:after="0"/>
              <w:rPr>
                <w:sz w:val="20"/>
                <w:szCs w:val="20"/>
                <w:color w:val="auto"/>
              </w:rPr>
            </w:pPr>
            <w:r>
              <w:rPr>
                <w:rFonts w:ascii="Arial" w:cs="Arial" w:eastAsia="Arial" w:hAnsi="Arial"/>
                <w:sz w:val="17"/>
                <w:szCs w:val="17"/>
                <w:color w:val="181717"/>
              </w:rPr>
              <w:t>Note:</w:t>
            </w:r>
          </w:p>
        </w:tc>
        <w:tc>
          <w:tcPr>
            <w:tcW w:w="5280" w:type="dxa"/>
            <w:vAlign w:val="bottom"/>
            <w:vMerge w:val="restart"/>
          </w:tcPr>
          <w:p>
            <w:pPr>
              <w:spacing w:after="0"/>
              <w:rPr>
                <w:sz w:val="20"/>
                <w:szCs w:val="20"/>
                <w:color w:val="auto"/>
              </w:rPr>
            </w:pPr>
            <w:r>
              <w:rPr>
                <w:rFonts w:ascii="Arial" w:cs="Arial" w:eastAsia="Arial" w:hAnsi="Arial"/>
                <w:sz w:val="17"/>
                <w:szCs w:val="17"/>
                <w:color w:val="181717"/>
              </w:rPr>
              <w:t>Share-based compensation expenses included in:</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0" w:type="dxa"/>
            <w:vAlign w:val="bottom"/>
            <w:gridSpan w:val="2"/>
          </w:tcPr>
          <w:p>
            <w:pPr>
              <w:ind w:left="20"/>
              <w:spacing w:after="0"/>
              <w:rPr>
                <w:sz w:val="20"/>
                <w:szCs w:val="20"/>
                <w:color w:val="auto"/>
              </w:rPr>
            </w:pPr>
            <w:r>
              <w:rPr>
                <w:rFonts w:ascii="Arial" w:cs="Arial" w:eastAsia="Arial" w:hAnsi="Arial"/>
                <w:sz w:val="11"/>
                <w:szCs w:val="11"/>
                <w:color w:val="181717"/>
              </w:rPr>
              <w:t>(1)</w:t>
            </w:r>
          </w:p>
        </w:tc>
        <w:tc>
          <w:tcPr>
            <w:tcW w:w="140" w:type="dxa"/>
            <w:vAlign w:val="bottom"/>
          </w:tcPr>
          <w:p>
            <w:pPr>
              <w:spacing w:after="0"/>
              <w:rPr>
                <w:sz w:val="17"/>
                <w:szCs w:val="17"/>
                <w:color w:val="auto"/>
              </w:rPr>
            </w:pPr>
          </w:p>
        </w:tc>
        <w:tc>
          <w:tcPr>
            <w:tcW w:w="52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3"/>
              </w:rPr>
              <w:t>For the 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2018</w:t>
            </w:r>
          </w:p>
        </w:tc>
        <w:tc>
          <w:tcPr>
            <w:tcW w:w="1320" w:type="dxa"/>
            <w:vAlign w:val="bottom"/>
            <w:gridSpan w:val="2"/>
          </w:tcPr>
          <w:p>
            <w:pPr>
              <w:jc w:val="center"/>
              <w:ind w:left="100"/>
              <w:spacing w:after="0" w:line="142" w:lineRule="exact"/>
              <w:rPr>
                <w:sz w:val="20"/>
                <w:szCs w:val="20"/>
                <w:color w:val="auto"/>
              </w:rPr>
            </w:pPr>
            <w:r>
              <w:rPr>
                <w:rFonts w:ascii="Arial" w:cs="Arial" w:eastAsia="Arial" w:hAnsi="Arial"/>
                <w:sz w:val="13"/>
                <w:szCs w:val="13"/>
                <w:b w:val="1"/>
                <w:bCs w:val="1"/>
                <w:color w:val="auto"/>
                <w:w w:val="89"/>
              </w:rPr>
              <w:t>2019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2020</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20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RMB</w:t>
            </w:r>
          </w:p>
        </w:tc>
        <w:tc>
          <w:tcPr>
            <w:tcW w:w="26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rPr>
              <w:t>RMB</w:t>
            </w:r>
          </w:p>
        </w:tc>
        <w:tc>
          <w:tcPr>
            <w:tcW w:w="114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3"/>
          </w:tcPr>
          <w:p>
            <w:pPr>
              <w:jc w:val="center"/>
              <w:ind w:left="702"/>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314</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317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7"/>
                <w:szCs w:val="17"/>
                <w:color w:val="auto"/>
              </w:rPr>
              <w:t>Sales and marketing expenses</w:t>
            </w:r>
          </w:p>
        </w:tc>
        <w:tc>
          <w:tcPr>
            <w:tcW w:w="1200" w:type="dxa"/>
            <w:vAlign w:val="bottom"/>
          </w:tcPr>
          <w:p>
            <w:pPr>
              <w:jc w:val="right"/>
              <w:spacing w:after="0"/>
              <w:rPr>
                <w:sz w:val="20"/>
                <w:szCs w:val="20"/>
                <w:color w:val="auto"/>
              </w:rPr>
            </w:pPr>
            <w:r>
              <w:rPr>
                <w:rFonts w:ascii="Arial" w:cs="Arial" w:eastAsia="Arial" w:hAnsi="Arial"/>
                <w:sz w:val="17"/>
                <w:szCs w:val="17"/>
                <w:color w:val="auto"/>
              </w:rPr>
              <w:t>773</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674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14,278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Product development expenses</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7"/>
                <w:szCs w:val="17"/>
                <w:color w:val="auto"/>
              </w:rPr>
              <w:t>General and administrative expenses</w:t>
            </w:r>
          </w:p>
        </w:tc>
        <w:tc>
          <w:tcPr>
            <w:tcW w:w="1200" w:type="dxa"/>
            <w:vAlign w:val="bottom"/>
          </w:tcPr>
          <w:p>
            <w:pPr>
              <w:jc w:val="right"/>
              <w:spacing w:after="0"/>
              <w:rPr>
                <w:sz w:val="20"/>
                <w:szCs w:val="20"/>
                <w:color w:val="auto"/>
              </w:rPr>
            </w:pPr>
            <w:r>
              <w:rPr>
                <w:rFonts w:ascii="Arial" w:cs="Arial" w:eastAsia="Arial" w:hAnsi="Arial"/>
                <w:sz w:val="17"/>
                <w:szCs w:val="17"/>
                <w:color w:val="auto"/>
              </w:rPr>
              <w:t>2,764</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1,979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15,324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5280" w:type="dxa"/>
            <w:vAlign w:val="bottom"/>
            <w:tcBorders>
              <w:top w:val="single" w:sz="8" w:color="CFF0FC"/>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3,851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2,970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29,748</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4,559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Year Ended December 31, 2020 Compared to Year Ended December 31, 2019</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Net revenues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net revenues were RMB2,203.8 million (US$337.7 million) in 2020, remaining relatively stable compared with RMB2,193.9 million in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6851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422"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66" w:lineRule="exact"/>
        <w:rPr>
          <w:sz w:val="20"/>
          <w:szCs w:val="20"/>
          <w:color w:val="auto"/>
        </w:rPr>
      </w:pPr>
    </w:p>
    <w:p>
      <w:pPr>
        <w:ind w:right="60" w:firstLine="398"/>
        <w:spacing w:after="0" w:line="249" w:lineRule="auto"/>
        <w:rPr>
          <w:sz w:val="20"/>
          <w:szCs w:val="20"/>
          <w:color w:val="auto"/>
        </w:rPr>
      </w:pPr>
      <w:r>
        <w:rPr>
          <w:rFonts w:ascii="Arial" w:cs="Arial" w:eastAsia="Arial" w:hAnsi="Arial"/>
          <w:sz w:val="17"/>
          <w:szCs w:val="17"/>
          <w:color w:val="auto"/>
        </w:rPr>
        <w:t>Our cost of revenues decreased by 2.3% from RMB396.3 million in 2019 to RMB387.3 million (US$59.4 million) in 2020. The decrease was mainly due to a decrease in the compensation expenses for teachers and mentors from RMB234.4 million in 2019 to RMB220.2 million (US$33.8 million) in 2020, and a decrease in insurance-related costs incurred for our integrated online education service package purchased by students from RMB66.0 million in 2019 to RMB40.6 million (US$6.2 million) in 2020. The decrease in our cost of revenues was partially offset by an increase in expenses related to service fees to educational institutions from RMB52.5 million to RMB83.3 million (US$12.8 million) in 2020.</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w:t>
      </w:r>
    </w:p>
    <w:p>
      <w:pPr>
        <w:spacing w:after="0" w:line="166" w:lineRule="exact"/>
        <w:rPr>
          <w:sz w:val="20"/>
          <w:szCs w:val="20"/>
          <w:color w:val="auto"/>
        </w:rPr>
      </w:pPr>
    </w:p>
    <w:p>
      <w:pPr>
        <w:ind w:right="120" w:firstLine="398"/>
        <w:spacing w:after="0" w:line="264" w:lineRule="auto"/>
        <w:rPr>
          <w:sz w:val="20"/>
          <w:szCs w:val="20"/>
          <w:color w:val="auto"/>
        </w:rPr>
      </w:pPr>
      <w:r>
        <w:rPr>
          <w:rFonts w:ascii="Arial" w:cs="Arial" w:eastAsia="Arial" w:hAnsi="Arial"/>
          <w:sz w:val="17"/>
          <w:szCs w:val="17"/>
          <w:color w:val="auto"/>
        </w:rPr>
        <w:t>As a result of the foregoing, our gross profit increased by 1.1% from RMB1,797.6 million in 2019 to RMB1,816.5 million (US$278.4 million) in 2020, and gross margin increased from 81.9% in 2019 to 82.4% in 2020.</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78" w:lineRule="exact"/>
        <w:rPr>
          <w:sz w:val="20"/>
          <w:szCs w:val="20"/>
          <w:color w:val="auto"/>
        </w:rPr>
      </w:pPr>
    </w:p>
    <w:p>
      <w:pPr>
        <w:ind w:right="2140" w:firstLine="398"/>
        <w:spacing w:after="0" w:line="443" w:lineRule="auto"/>
        <w:rPr>
          <w:sz w:val="20"/>
          <w:szCs w:val="20"/>
          <w:color w:val="auto"/>
        </w:rPr>
      </w:pPr>
      <w:r>
        <w:rPr>
          <w:rFonts w:ascii="Arial" w:cs="Arial" w:eastAsia="Arial" w:hAnsi="Arial"/>
          <w:sz w:val="17"/>
          <w:szCs w:val="17"/>
          <w:color w:val="auto"/>
        </w:rPr>
        <w:t xml:space="preserve">Our operating expenses increased by 9.2% from RMB2,257.3 million in 2019 to RMB2,465.5 million (US$377.9 million) in 2020. </w:t>
      </w:r>
      <w:r>
        <w:rPr>
          <w:rFonts w:ascii="Arial" w:cs="Arial" w:eastAsia="Arial" w:hAnsi="Arial"/>
          <w:sz w:val="17"/>
          <w:szCs w:val="17"/>
          <w:i w:val="1"/>
          <w:iCs w:val="1"/>
          <w:color w:val="auto"/>
        </w:rPr>
        <w:t>Sales and marketing expenses</w:t>
      </w:r>
    </w:p>
    <w:p>
      <w:pPr>
        <w:spacing w:after="0" w:line="1" w:lineRule="exact"/>
        <w:rPr>
          <w:sz w:val="20"/>
          <w:szCs w:val="20"/>
          <w:color w:val="auto"/>
        </w:rPr>
      </w:pPr>
    </w:p>
    <w:p>
      <w:pPr>
        <w:ind w:right="120" w:firstLine="398"/>
        <w:spacing w:after="0" w:line="251" w:lineRule="auto"/>
        <w:rPr>
          <w:sz w:val="20"/>
          <w:szCs w:val="20"/>
          <w:color w:val="auto"/>
        </w:rPr>
      </w:pPr>
      <w:r>
        <w:rPr>
          <w:rFonts w:ascii="Arial" w:cs="Arial" w:eastAsia="Arial" w:hAnsi="Arial"/>
          <w:sz w:val="17"/>
          <w:szCs w:val="17"/>
          <w:color w:val="auto"/>
        </w:rPr>
        <w:t>Our sales and marketing expenses increased by 18.5% from RMB1,792.3 million in 2019 to RMB2,123.6 million (US$325.5 million) in 2020. The increase was mainly due to increases in (i) compensation expenses related to our sales and marketing personnel; (ii) spending on branding and marketing activities, including more marketing promotion activities to diversify student acquisition channels. As of December 31, 2020, we deployed approximately 5,700 sales and marketing personnel in conducting sales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66" w:lineRule="exact"/>
        <w:rPr>
          <w:sz w:val="20"/>
          <w:szCs w:val="20"/>
          <w:color w:val="auto"/>
        </w:rPr>
      </w:pPr>
    </w:p>
    <w:p>
      <w:pPr>
        <w:ind w:right="120" w:firstLine="398"/>
        <w:spacing w:after="0" w:line="264" w:lineRule="auto"/>
        <w:rPr>
          <w:sz w:val="20"/>
          <w:szCs w:val="20"/>
          <w:color w:val="auto"/>
        </w:rPr>
      </w:pPr>
      <w:r>
        <w:rPr>
          <w:rFonts w:ascii="Arial" w:cs="Arial" w:eastAsia="Arial" w:hAnsi="Arial"/>
          <w:sz w:val="17"/>
          <w:szCs w:val="17"/>
          <w:color w:val="auto"/>
        </w:rPr>
        <w:t>Our general and administrative expenses decreased by 24.2% from RMB363.3 million in 2019 to RMB275.4 million (US$42.2 million) in 2020, primarily due to the decrease in office and compensation expenses.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expenses</w:t>
      </w:r>
    </w:p>
    <w:p>
      <w:pPr>
        <w:spacing w:after="0" w:line="178" w:lineRule="exact"/>
        <w:rPr>
          <w:sz w:val="20"/>
          <w:szCs w:val="20"/>
          <w:color w:val="auto"/>
        </w:rPr>
      </w:pPr>
    </w:p>
    <w:p>
      <w:pPr>
        <w:ind w:right="460" w:firstLine="398"/>
        <w:spacing w:after="0" w:line="296" w:lineRule="auto"/>
        <w:rPr>
          <w:sz w:val="20"/>
          <w:szCs w:val="20"/>
          <w:color w:val="auto"/>
        </w:rPr>
      </w:pPr>
      <w:r>
        <w:rPr>
          <w:rFonts w:ascii="Arial" w:cs="Arial" w:eastAsia="Arial" w:hAnsi="Arial"/>
          <w:sz w:val="16"/>
          <w:szCs w:val="16"/>
          <w:color w:val="auto"/>
        </w:rPr>
        <w:t>Our product development expenses decreased by 34.6% from RMB101.7 million in 2019 to RMB66.5 million (US$10.2 million) in 2020, The decrease was primarily due to a decrease in the compensation expenses incurred related to our product and technology development personnel.</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166" w:lineRule="exact"/>
        <w:rPr>
          <w:sz w:val="20"/>
          <w:szCs w:val="20"/>
          <w:color w:val="auto"/>
        </w:rPr>
      </w:pPr>
    </w:p>
    <w:p>
      <w:pPr>
        <w:ind w:right="40" w:firstLine="535"/>
        <w:spacing w:after="0" w:line="264" w:lineRule="auto"/>
        <w:rPr>
          <w:sz w:val="20"/>
          <w:szCs w:val="20"/>
          <w:color w:val="auto"/>
        </w:rPr>
      </w:pPr>
      <w:r>
        <w:rPr>
          <w:rFonts w:ascii="Arial" w:cs="Arial" w:eastAsia="Arial" w:hAnsi="Arial"/>
          <w:sz w:val="17"/>
          <w:szCs w:val="17"/>
          <w:color w:val="auto"/>
        </w:rPr>
        <w:t>Other income for 2020 was RMB203.2 million (US$31.1 million), compared with RMB21.3 million in 2019. The increase was primarily due to the value-added tax exemption of RMB156.5 million offered by the relevant authorities as part of the national COVID-19 relief effort.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a result of the foregoing, our net loss increased by 9.1% from RMB395.2 million in 2019 to RMB431.0 million (US$66.1 million) in 2020.</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2019 Compared to Year Ended December 31, 2018</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w:t>
      </w:r>
    </w:p>
    <w:p>
      <w:pPr>
        <w:spacing w:after="0" w:line="16" w:lineRule="exact"/>
        <w:rPr>
          <w:sz w:val="20"/>
          <w:szCs w:val="20"/>
          <w:color w:val="auto"/>
        </w:rPr>
      </w:pPr>
    </w:p>
    <w:p>
      <w:pPr>
        <w:ind w:firstLine="398"/>
        <w:spacing w:after="0" w:line="246" w:lineRule="auto"/>
        <w:rPr>
          <w:sz w:val="20"/>
          <w:szCs w:val="20"/>
          <w:color w:val="auto"/>
        </w:rPr>
      </w:pPr>
      <w:r>
        <w:rPr>
          <w:rFonts w:ascii="Arial" w:cs="Arial" w:eastAsia="Arial" w:hAnsi="Arial"/>
          <w:sz w:val="17"/>
          <w:szCs w:val="17"/>
          <w:color w:val="auto"/>
        </w:rPr>
        <w:t>Our net revenues increased by 11.1% from RMB1,974.0 million in 2018 to RMB2,193.9 million (US$315.1 million) in 2019, mainly driven by an increase in the number of students from 1,025,959 in 2018 to 1,039,733 in 2019. During the same period, our gross billings decreased by 26.6% from 3,214.4 million in 2018 to 2,358.5 million in 2019, as we continued to adjust our marketing strategy, including adopting softer marketing tactics, in light of cost efficiency concerns in student acquisition and uncertainty of macro-economic trends.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66" w:lineRule="exact"/>
        <w:rPr>
          <w:sz w:val="20"/>
          <w:szCs w:val="20"/>
          <w:color w:val="auto"/>
        </w:rPr>
      </w:pPr>
    </w:p>
    <w:p>
      <w:pPr>
        <w:ind w:right="200" w:firstLine="398"/>
        <w:spacing w:after="0" w:line="272" w:lineRule="auto"/>
        <w:rPr>
          <w:sz w:val="20"/>
          <w:szCs w:val="20"/>
          <w:color w:val="auto"/>
        </w:rPr>
      </w:pPr>
      <w:r>
        <w:rPr>
          <w:rFonts w:ascii="Arial" w:cs="Arial" w:eastAsia="Arial" w:hAnsi="Arial"/>
          <w:sz w:val="16"/>
          <w:szCs w:val="16"/>
          <w:color w:val="auto"/>
        </w:rPr>
        <w:t>Our cost of revenues increased by 20.0% from RMB330.4 million in 2018 to RMB396.3 million (US$56.9 million) in 2019, primarily due to an increase in our insurance-related costs from RMB8.6 million in 2018 to RMB66.0 million (US$9.5 million) in 2019 as we began to offer a bundled services including an integrated online education service package with insurance coverage for tuition refund. The increase in our cost of revenues was partially offset by a slight decrease in the compensation for teachers and mentors by 2.3% from RMB239.8 million in 2018 to RMB234.4 million (US$33.7 million) in 2019.</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w:t>
      </w:r>
    </w:p>
    <w:p>
      <w:pPr>
        <w:spacing w:after="0" w:line="166" w:lineRule="exact"/>
        <w:rPr>
          <w:sz w:val="20"/>
          <w:szCs w:val="20"/>
          <w:color w:val="auto"/>
        </w:rPr>
      </w:pPr>
    </w:p>
    <w:p>
      <w:pPr>
        <w:ind w:right="60" w:firstLine="398"/>
        <w:spacing w:after="0" w:line="264" w:lineRule="auto"/>
        <w:rPr>
          <w:sz w:val="20"/>
          <w:szCs w:val="20"/>
          <w:color w:val="auto"/>
        </w:rPr>
      </w:pPr>
      <w:r>
        <w:rPr>
          <w:rFonts w:ascii="Arial" w:cs="Arial" w:eastAsia="Arial" w:hAnsi="Arial"/>
          <w:sz w:val="17"/>
          <w:szCs w:val="17"/>
          <w:color w:val="auto"/>
        </w:rPr>
        <w:t>As a result of the foregoing, our gross profit increased by 9.4% from RMB1,643.6 million in 2018 to RMB1,797.6 million (US$258.2 million) in 2019, and gross margin decreased from 83.3% in 2018 to 81.9% in 2019.</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78" w:lineRule="exact"/>
        <w:rPr>
          <w:sz w:val="20"/>
          <w:szCs w:val="20"/>
          <w:color w:val="auto"/>
        </w:rPr>
      </w:pPr>
    </w:p>
    <w:p>
      <w:pPr>
        <w:ind w:right="1980" w:firstLine="398"/>
        <w:spacing w:after="0" w:line="443" w:lineRule="auto"/>
        <w:rPr>
          <w:sz w:val="20"/>
          <w:szCs w:val="20"/>
          <w:color w:val="auto"/>
        </w:rPr>
      </w:pPr>
      <w:r>
        <w:rPr>
          <w:rFonts w:ascii="Arial" w:cs="Arial" w:eastAsia="Arial" w:hAnsi="Arial"/>
          <w:sz w:val="17"/>
          <w:szCs w:val="17"/>
          <w:color w:val="auto"/>
        </w:rPr>
        <w:t xml:space="preserve">Our operating expenses decreased by 15.5% from RMB2,672.5 million in 2018 to RMB2,257.3 million (US$324.2 million) in 2019. </w:t>
      </w:r>
      <w:r>
        <w:rPr>
          <w:rFonts w:ascii="Arial" w:cs="Arial" w:eastAsia="Arial" w:hAnsi="Arial"/>
          <w:sz w:val="17"/>
          <w:szCs w:val="17"/>
          <w:i w:val="1"/>
          <w:iCs w:val="1"/>
          <w:color w:val="auto"/>
        </w:rPr>
        <w:t>Sales and marketing expenses</w:t>
      </w:r>
    </w:p>
    <w:p>
      <w:pPr>
        <w:spacing w:after="0" w:line="1" w:lineRule="exact"/>
        <w:rPr>
          <w:sz w:val="20"/>
          <w:szCs w:val="20"/>
          <w:color w:val="auto"/>
        </w:rPr>
      </w:pPr>
    </w:p>
    <w:p>
      <w:pPr>
        <w:ind w:right="40" w:firstLine="398"/>
        <w:spacing w:after="0" w:line="291" w:lineRule="auto"/>
        <w:rPr>
          <w:sz w:val="20"/>
          <w:szCs w:val="20"/>
          <w:color w:val="auto"/>
        </w:rPr>
      </w:pPr>
      <w:r>
        <w:rPr>
          <w:rFonts w:ascii="Arial" w:cs="Arial" w:eastAsia="Arial" w:hAnsi="Arial"/>
          <w:sz w:val="15"/>
          <w:szCs w:val="15"/>
          <w:color w:val="auto"/>
        </w:rPr>
        <w:t>Our sales and marketing expenses decreased by 16.7% from RMB2,152.8 million in 2018 to RMB1,792.3 million (US$257.4 million) in 2019, mainly driven by reduced labor costs, which reflects our of disciplined, prudent cost management approach. In 2019, we adopted a more prudent marketing strategy to address the challenges and uncertainties associated with the rising student acquisition costs. As of December 31, 2019, we used services provided by a total of approximately 6,600 sales and marketing personnel, consisting of 922 sales and marketing personnel employed by us and approximately 5,600 sales and marketing personnel dispatched by third-party service providers pursuant to the business process outsourcing service contracts between us and such third-party service providers.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66" w:lineRule="exact"/>
        <w:rPr>
          <w:sz w:val="20"/>
          <w:szCs w:val="20"/>
          <w:color w:val="auto"/>
        </w:rPr>
      </w:pPr>
    </w:p>
    <w:p>
      <w:pPr>
        <w:ind w:right="60" w:firstLine="398"/>
        <w:spacing w:after="0" w:line="264" w:lineRule="auto"/>
        <w:rPr>
          <w:sz w:val="20"/>
          <w:szCs w:val="20"/>
          <w:color w:val="auto"/>
        </w:rPr>
      </w:pPr>
      <w:r>
        <w:rPr>
          <w:rFonts w:ascii="Arial" w:cs="Arial" w:eastAsia="Arial" w:hAnsi="Arial"/>
          <w:sz w:val="17"/>
          <w:szCs w:val="17"/>
          <w:color w:val="auto"/>
        </w:rPr>
        <w:t>Our general and administrative expenses decreased by 18.1% from RMB443.7 million in 2018 to RMB363.3 million (US$52.2 million) in 2019, primarily due to the decrease in office and compensation expenses.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expenses</w:t>
      </w:r>
    </w:p>
    <w:p>
      <w:pPr>
        <w:spacing w:after="0" w:line="178" w:lineRule="exact"/>
        <w:rPr>
          <w:sz w:val="20"/>
          <w:szCs w:val="20"/>
          <w:color w:val="auto"/>
        </w:rPr>
      </w:pPr>
    </w:p>
    <w:p>
      <w:pPr>
        <w:jc w:val="both"/>
        <w:ind w:right="320" w:firstLine="398"/>
        <w:spacing w:after="0" w:line="254" w:lineRule="auto"/>
        <w:rPr>
          <w:sz w:val="20"/>
          <w:szCs w:val="20"/>
          <w:color w:val="auto"/>
        </w:rPr>
      </w:pPr>
      <w:r>
        <w:rPr>
          <w:rFonts w:ascii="Arial" w:cs="Arial" w:eastAsia="Arial" w:hAnsi="Arial"/>
          <w:sz w:val="17"/>
          <w:szCs w:val="17"/>
          <w:color w:val="auto"/>
        </w:rPr>
        <w:t>Our product development expenses increased by 33.8% from RMB76.0 million in 2018 to RMB101.7 million (US$14.6 million) in 2019, primarily due to an increase by 38.2% in the payroll-related compensation for our course and educational content professionals and technology development personnel from RMB69.3 million in 2018 to RMB95.8 million (US$13.8 million) in 2019.</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a result of the foregoing, our net loss decreased by 57.4% from RMB927.0 million in 2018 to RMB395.2 million (US$56.8 million) in 2019.</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07" w:lineRule="exact"/>
        <w:rPr>
          <w:sz w:val="20"/>
          <w:szCs w:val="20"/>
          <w:color w:val="auto"/>
        </w:rPr>
      </w:pPr>
    </w:p>
    <w:p>
      <w:pPr>
        <w:ind w:right="60" w:firstLine="547"/>
        <w:spacing w:after="0" w:line="264" w:lineRule="auto"/>
        <w:rPr>
          <w:sz w:val="20"/>
          <w:szCs w:val="20"/>
          <w:color w:val="auto"/>
        </w:rPr>
      </w:pPr>
      <w:r>
        <w:rPr>
          <w:rFonts w:ascii="Arial" w:cs="Arial" w:eastAsia="Arial" w:hAnsi="Arial"/>
          <w:sz w:val="17"/>
          <w:szCs w:val="17"/>
          <w:color w:val="auto"/>
        </w:rPr>
        <w:t>We use gross billings and EBITDA, each a non-GAAP financial measure, in evaluating our operating results and for financial and operational decision-making purposes.</w:t>
      </w:r>
    </w:p>
    <w:p>
      <w:pPr>
        <w:spacing w:after="0" w:line="168" w:lineRule="exact"/>
        <w:rPr>
          <w:sz w:val="20"/>
          <w:szCs w:val="20"/>
          <w:color w:val="auto"/>
        </w:rPr>
      </w:pPr>
    </w:p>
    <w:p>
      <w:pPr>
        <w:ind w:firstLine="547"/>
        <w:spacing w:after="0" w:line="251" w:lineRule="auto"/>
        <w:rPr>
          <w:sz w:val="20"/>
          <w:szCs w:val="20"/>
          <w:color w:val="auto"/>
        </w:rPr>
      </w:pPr>
      <w:r>
        <w:rPr>
          <w:rFonts w:ascii="Arial" w:cs="Arial" w:eastAsia="Arial" w:hAnsi="Arial"/>
          <w:sz w:val="17"/>
          <w:szCs w:val="17"/>
          <w:color w:val="auto"/>
        </w:rPr>
        <w:t>We define gross billings for a specific period as the total amount of cash received for the sale of course packages, net of the total amount of refunds paid in such period. For a more detailed discussion of our tuition refund policy, see “Item 4. Information on the Company—4.B. Business Overview—Business—Our Tuition and Fees.” Our management uses gross billings as a performance measurement because we generally bill our students for the entire course tuition at the time of sale of our course packages and recognize revenue proportionally over a period.</w:t>
      </w:r>
    </w:p>
    <w:p>
      <w:pPr>
        <w:spacing w:after="0" w:line="179" w:lineRule="exact"/>
        <w:rPr>
          <w:sz w:val="20"/>
          <w:szCs w:val="20"/>
          <w:color w:val="auto"/>
        </w:rPr>
      </w:pPr>
    </w:p>
    <w:p>
      <w:pPr>
        <w:ind w:right="400" w:firstLine="547"/>
        <w:spacing w:after="0" w:line="264" w:lineRule="auto"/>
        <w:rPr>
          <w:sz w:val="20"/>
          <w:szCs w:val="20"/>
          <w:color w:val="auto"/>
        </w:rPr>
      </w:pPr>
      <w:r>
        <w:rPr>
          <w:rFonts w:ascii="Arial" w:cs="Arial" w:eastAsia="Arial" w:hAnsi="Arial"/>
          <w:sz w:val="17"/>
          <w:szCs w:val="17"/>
          <w:color w:val="auto"/>
        </w:rPr>
        <w:t>EBITDA is defined as net loss excluding depreciation and amortization, interest expense, interest income, and income tax expenses. We believe that gross billings and EBITDA provide valuable insight into the sales of our course packages and the performance of our business.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8" w:name="page79"/>
    <w:bookmarkEnd w:id="78"/>
    <w:p>
      <w:pPr>
        <w:ind w:left="20" w:right="60" w:firstLine="547"/>
        <w:spacing w:after="0" w:line="286" w:lineRule="auto"/>
        <w:rPr>
          <w:sz w:val="20"/>
          <w:szCs w:val="20"/>
          <w:color w:val="auto"/>
        </w:rPr>
      </w:pPr>
      <w:r>
        <w:rPr>
          <w:rFonts w:ascii="Arial" w:cs="Arial" w:eastAsia="Arial" w:hAnsi="Arial"/>
          <w:sz w:val="15"/>
          <w:szCs w:val="15"/>
          <w:color w:val="auto"/>
        </w:rPr>
        <w:t>These non-GAAP financial measures should not be considered in isolation from, or as a substitute for, their respective most directly comparable financial measure prepared in accordance with GAAP. A reconciliation of the historical non-GAAP financial measures to their respective most directly comparable GAAP measure has been provided in the tables included below. Investors are encouraged to review the reconciliation of the historical non-GAAP financial measures to their respective most directly comparable GAAP financial measures. As gross billings and EBITDA have material limitations as analytical metrics and may not be calculated in the same manner by all companies, they may not be comparable to other similarly titled measures used by other companies. In light of the foregoing limitations, you should not consider gross billings and EBITDA as a substitute for, or superior to, their respective most directly comparable financial measures prepared in accordance with GAAP. We encourage investors and others to review our financial information in its entirety and not rely on a single financial measure.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3"/>
              </w:rPr>
              <w:t>For the Year Ended December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4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3"/>
                <w:szCs w:val="13"/>
                <w:b w:val="1"/>
                <w:bCs w:val="1"/>
                <w:color w:val="auto"/>
              </w:rPr>
              <w:t>2018</w:t>
            </w:r>
          </w:p>
        </w:tc>
        <w:tc>
          <w:tcPr>
            <w:tcW w:w="260" w:type="dxa"/>
            <w:vAlign w:val="bottom"/>
          </w:tcPr>
          <w:p>
            <w:pPr>
              <w:spacing w:after="0"/>
              <w:rPr>
                <w:sz w:val="12"/>
                <w:szCs w:val="12"/>
                <w:color w:val="auto"/>
              </w:rPr>
            </w:pPr>
          </w:p>
        </w:tc>
        <w:tc>
          <w:tcPr>
            <w:tcW w:w="1120" w:type="dxa"/>
            <w:vAlign w:val="bottom"/>
            <w:tcBorders>
              <w:bottom w:val="single" w:sz="8" w:color="auto"/>
            </w:tcBorders>
          </w:tcPr>
          <w:p>
            <w:pPr>
              <w:jc w:val="right"/>
              <w:ind w:right="363"/>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4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3"/>
                <w:szCs w:val="13"/>
                <w:b w:val="1"/>
                <w:bCs w:val="1"/>
                <w:color w:val="auto"/>
              </w:rPr>
              <w:t>RMB</w:t>
            </w: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3"/>
              <w:spacing w:after="0" w:line="142" w:lineRule="exact"/>
              <w:rPr>
                <w:sz w:val="20"/>
                <w:szCs w:val="20"/>
                <w:color w:val="auto"/>
              </w:rPr>
            </w:pPr>
            <w:r>
              <w:rPr>
                <w:rFonts w:ascii="Arial" w:cs="Arial" w:eastAsia="Arial" w:hAnsi="Arial"/>
                <w:sz w:val="13"/>
                <w:szCs w:val="13"/>
                <w:b w:val="1"/>
                <w:bCs w:val="1"/>
                <w:color w:val="auto"/>
              </w:rPr>
              <w:t>RMB</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rPr>
              <w:t>RMB</w:t>
            </w:r>
          </w:p>
        </w:tc>
        <w:tc>
          <w:tcPr>
            <w:tcW w:w="114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3"/>
          </w:tcPr>
          <w:p>
            <w:pPr>
              <w:jc w:val="center"/>
              <w:ind w:left="703"/>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revenues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1,973,985</w:t>
            </w:r>
          </w:p>
        </w:tc>
        <w:tc>
          <w:tcPr>
            <w:tcW w:w="26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2,193,902</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2,203,791</w:t>
            </w:r>
          </w:p>
        </w:tc>
        <w:tc>
          <w:tcPr>
            <w:tcW w:w="26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337,746</w:t>
            </w:r>
          </w:p>
        </w:tc>
        <w:tc>
          <w:tcPr>
            <w:tcW w:w="100" w:type="dxa"/>
            <w:vAlign w:val="bottom"/>
            <w:shd w:val="clear" w:color="auto" w:fill="CFF0FC"/>
          </w:tcPr>
          <w:p>
            <w:pPr>
              <w:spacing w:after="0"/>
              <w:rPr>
                <w:sz w:val="18"/>
                <w:szCs w:val="18"/>
                <w:color w:val="auto"/>
              </w:rPr>
            </w:pPr>
          </w:p>
        </w:tc>
      </w:tr>
      <w:tr>
        <w:trPr>
          <w:trHeight w:val="204"/>
        </w:trPr>
        <w:tc>
          <w:tcPr>
            <w:tcW w:w="5840" w:type="dxa"/>
            <w:vAlign w:val="bottom"/>
            <w:gridSpan w:val="3"/>
          </w:tcPr>
          <w:p>
            <w:pPr>
              <w:spacing w:after="0"/>
              <w:rPr>
                <w:sz w:val="20"/>
                <w:szCs w:val="20"/>
                <w:color w:val="auto"/>
              </w:rPr>
            </w:pPr>
            <w:r>
              <w:rPr>
                <w:rFonts w:ascii="Arial" w:cs="Arial" w:eastAsia="Arial" w:hAnsi="Arial"/>
                <w:sz w:val="17"/>
                <w:szCs w:val="17"/>
                <w:color w:val="auto"/>
              </w:rPr>
              <w:t>Less: other revenues</w:t>
            </w:r>
            <w:r>
              <w:rPr>
                <w:rFonts w:ascii="Arial" w:cs="Arial" w:eastAsia="Arial" w:hAnsi="Arial"/>
                <w:sz w:val="14"/>
                <w:szCs w:val="14"/>
                <w:color w:val="auto"/>
              </w:rPr>
              <w:t>(1)</w:t>
            </w:r>
          </w:p>
        </w:tc>
        <w:tc>
          <w:tcPr>
            <w:tcW w:w="1140" w:type="dxa"/>
            <w:vAlign w:val="bottom"/>
          </w:tcPr>
          <w:p>
            <w:pPr>
              <w:jc w:val="right"/>
              <w:spacing w:after="0"/>
              <w:rPr>
                <w:sz w:val="20"/>
                <w:szCs w:val="20"/>
                <w:color w:val="auto"/>
              </w:rPr>
            </w:pPr>
            <w:r>
              <w:rPr>
                <w:rFonts w:ascii="Arial" w:cs="Arial" w:eastAsia="Arial" w:hAnsi="Arial"/>
                <w:sz w:val="17"/>
                <w:szCs w:val="17"/>
                <w:color w:val="auto"/>
              </w:rPr>
              <w:t>(6,961)</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(23,481)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(31,272)</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(4,793)</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Add: tax and surcharges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71,779</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123,472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277,831</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42,579</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Add: ending deferred revenue</w:t>
            </w:r>
          </w:p>
        </w:tc>
        <w:tc>
          <w:tcPr>
            <w:tcW w:w="1140" w:type="dxa"/>
            <w:vAlign w:val="bottom"/>
          </w:tcPr>
          <w:p>
            <w:pPr>
              <w:jc w:val="right"/>
              <w:spacing w:after="0"/>
              <w:rPr>
                <w:sz w:val="20"/>
                <w:szCs w:val="20"/>
                <w:color w:val="auto"/>
              </w:rPr>
            </w:pPr>
            <w:r>
              <w:rPr>
                <w:rFonts w:ascii="Arial" w:cs="Arial" w:eastAsia="Arial" w:hAnsi="Arial"/>
                <w:sz w:val="17"/>
                <w:szCs w:val="17"/>
                <w:color w:val="auto"/>
              </w:rPr>
              <w:t>3,286,025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3,228,770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3,024,443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463,516</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Add: ending refund liability</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128,478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232,859</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35,687</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Less: beginning deferred revenue</w:t>
            </w: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(2,110,428)</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(3,286,025)</w:t>
            </w: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(3,228,770)</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(494,831)</w:t>
            </w:r>
          </w:p>
        </w:tc>
      </w:tr>
      <w:tr>
        <w:trPr>
          <w:trHeight w:val="212"/>
        </w:trPr>
        <w:tc>
          <w:tcPr>
            <w:tcW w:w="20" w:type="dxa"/>
            <w:vAlign w:val="bottom"/>
          </w:tcPr>
          <w:p>
            <w:pPr>
              <w:spacing w:after="0"/>
              <w:rPr>
                <w:sz w:val="18"/>
                <w:szCs w:val="18"/>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beginning refund liability</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(6,625)</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(128,478)</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(19,690)</w:t>
            </w:r>
          </w:p>
        </w:tc>
      </w:tr>
      <w:tr>
        <w:trPr>
          <w:trHeight w:val="204"/>
        </w:trPr>
        <w:tc>
          <w:tcPr>
            <w:tcW w:w="5840" w:type="dxa"/>
            <w:vAlign w:val="bottom"/>
            <w:gridSpan w:val="3"/>
          </w:tcPr>
          <w:p>
            <w:pPr>
              <w:spacing w:after="0"/>
              <w:rPr>
                <w:sz w:val="20"/>
                <w:szCs w:val="20"/>
                <w:color w:val="auto"/>
              </w:rPr>
            </w:pPr>
            <w:r>
              <w:rPr>
                <w:rFonts w:ascii="Arial" w:cs="Arial" w:eastAsia="Arial" w:hAnsi="Arial"/>
                <w:sz w:val="17"/>
                <w:szCs w:val="17"/>
                <w:b w:val="1"/>
                <w:bCs w:val="1"/>
                <w:color w:val="auto"/>
              </w:rPr>
              <w:t>Gross billings (non-GAAP)</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3,214,400</w:t>
            </w:r>
          </w:p>
        </w:tc>
        <w:tc>
          <w:tcPr>
            <w:tcW w:w="2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2,358,491</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2,350,404</w:t>
            </w:r>
          </w:p>
        </w:tc>
        <w:tc>
          <w:tcPr>
            <w:tcW w:w="2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360,214</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Note: (1)Includes commissions received for providing referral services to third-party education institutions.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3"/>
              </w:rPr>
              <w:t>For the Year Ended December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4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3"/>
                <w:szCs w:val="13"/>
                <w:b w:val="1"/>
                <w:bCs w:val="1"/>
                <w:color w:val="auto"/>
              </w:rPr>
              <w:t>2018</w:t>
            </w:r>
          </w:p>
        </w:tc>
        <w:tc>
          <w:tcPr>
            <w:tcW w:w="260" w:type="dxa"/>
            <w:vAlign w:val="bottom"/>
          </w:tcPr>
          <w:p>
            <w:pPr>
              <w:spacing w:after="0"/>
              <w:rPr>
                <w:sz w:val="12"/>
                <w:szCs w:val="12"/>
                <w:color w:val="auto"/>
              </w:rPr>
            </w:pPr>
          </w:p>
        </w:tc>
        <w:tc>
          <w:tcPr>
            <w:tcW w:w="112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4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3"/>
                <w:szCs w:val="13"/>
                <w:b w:val="1"/>
                <w:bCs w:val="1"/>
                <w:color w:val="auto"/>
              </w:rPr>
              <w:t>RMB</w:t>
            </w: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4"/>
              <w:spacing w:after="0" w:line="142" w:lineRule="exact"/>
              <w:rPr>
                <w:sz w:val="20"/>
                <w:szCs w:val="20"/>
                <w:color w:val="auto"/>
              </w:rPr>
            </w:pPr>
            <w:r>
              <w:rPr>
                <w:rFonts w:ascii="Arial" w:cs="Arial" w:eastAsia="Arial" w:hAnsi="Arial"/>
                <w:sz w:val="13"/>
                <w:szCs w:val="13"/>
                <w:b w:val="1"/>
                <w:bCs w:val="1"/>
                <w:color w:val="auto"/>
              </w:rPr>
              <w:t>RMB</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rPr>
              <w:t>RMB</w:t>
            </w:r>
          </w:p>
        </w:tc>
        <w:tc>
          <w:tcPr>
            <w:tcW w:w="114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3"/>
          </w:tcPr>
          <w:p>
            <w:pPr>
              <w:jc w:val="center"/>
              <w:ind w:left="704"/>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loss</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(926,950)</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(395,165)</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(430,988)</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(66,051)</w:t>
            </w:r>
          </w:p>
        </w:tc>
      </w:tr>
      <w:tr>
        <w:trPr>
          <w:trHeight w:val="204"/>
        </w:trPr>
        <w:tc>
          <w:tcPr>
            <w:tcW w:w="5840" w:type="dxa"/>
            <w:vAlign w:val="bottom"/>
            <w:gridSpan w:val="2"/>
          </w:tcPr>
          <w:p>
            <w:pPr>
              <w:spacing w:after="0"/>
              <w:rPr>
                <w:sz w:val="20"/>
                <w:szCs w:val="20"/>
                <w:color w:val="auto"/>
              </w:rPr>
            </w:pPr>
            <w:r>
              <w:rPr>
                <w:rFonts w:ascii="Arial" w:cs="Arial" w:eastAsia="Arial" w:hAnsi="Arial"/>
                <w:sz w:val="17"/>
                <w:szCs w:val="17"/>
                <w:color w:val="auto"/>
              </w:rPr>
              <w:t>Add: Income tax expenses/(benefit)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2,440</w:t>
            </w: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26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Depreciation and amortization</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25,778</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37,223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40,267</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6,171</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2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Interest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2,171</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14,312</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11,692</w:t>
            </w:r>
          </w:p>
        </w:tc>
        <w:tc>
          <w:tcPr>
            <w:tcW w:w="26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1,792</w:t>
            </w:r>
          </w:p>
        </w:tc>
        <w:tc>
          <w:tcPr>
            <w:tcW w:w="10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Less: interest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(70,355)</w:t>
            </w:r>
          </w:p>
        </w:tc>
        <w:tc>
          <w:tcPr>
            <w:tcW w:w="260" w:type="dxa"/>
            <w:vAlign w:val="bottom"/>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(60,166)</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(25,809)</w:t>
            </w:r>
          </w:p>
        </w:tc>
        <w:tc>
          <w:tcPr>
            <w:tcW w:w="260" w:type="dxa"/>
            <w:vAlign w:val="bottom"/>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(3,957)</w:t>
            </w:r>
          </w:p>
        </w:tc>
        <w:tc>
          <w:tcPr>
            <w:tcW w:w="100" w:type="dxa"/>
            <w:vAlign w:val="bottom"/>
            <w:shd w:val="clear" w:color="auto" w:fill="CFF0FC"/>
          </w:tcPr>
          <w:p>
            <w:pPr>
              <w:spacing w:after="0"/>
              <w:rPr>
                <w:sz w:val="17"/>
                <w:szCs w:val="17"/>
                <w:color w:val="auto"/>
              </w:rPr>
            </w:pPr>
          </w:p>
        </w:tc>
      </w:tr>
      <w:tr>
        <w:trPr>
          <w:trHeight w:val="204"/>
        </w:trPr>
        <w:tc>
          <w:tcPr>
            <w:tcW w:w="5840" w:type="dxa"/>
            <w:vAlign w:val="bottom"/>
            <w:gridSpan w:val="2"/>
          </w:tcPr>
          <w:p>
            <w:pPr>
              <w:spacing w:after="0"/>
              <w:rPr>
                <w:sz w:val="20"/>
                <w:szCs w:val="20"/>
                <w:color w:val="auto"/>
              </w:rPr>
            </w:pPr>
            <w:r>
              <w:rPr>
                <w:rFonts w:ascii="Arial" w:cs="Arial" w:eastAsia="Arial" w:hAnsi="Arial"/>
                <w:sz w:val="17"/>
                <w:szCs w:val="17"/>
                <w:b w:val="1"/>
                <w:bCs w:val="1"/>
                <w:color w:val="auto"/>
              </w:rPr>
              <w:t>EBITDA (non-GAAP)</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(969,356)</w:t>
            </w:r>
          </w:p>
        </w:tc>
        <w:tc>
          <w:tcPr>
            <w:tcW w:w="26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(401,356)</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(405,074)</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(62,081)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Taxation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The Cayman Islands</w:t>
      </w:r>
    </w:p>
    <w:p>
      <w:pPr>
        <w:spacing w:after="0" w:line="103" w:lineRule="exact"/>
        <w:rPr>
          <w:sz w:val="20"/>
          <w:szCs w:val="20"/>
          <w:color w:val="auto"/>
        </w:rPr>
      </w:pPr>
    </w:p>
    <w:p>
      <w:pPr>
        <w:ind w:left="20" w:firstLine="547"/>
        <w:spacing w:after="0" w:line="264" w:lineRule="auto"/>
        <w:rPr>
          <w:sz w:val="20"/>
          <w:szCs w:val="20"/>
          <w:color w:val="auto"/>
        </w:rPr>
      </w:pPr>
      <w:r>
        <w:rPr>
          <w:rFonts w:ascii="Arial" w:cs="Arial" w:eastAsia="Arial" w:hAnsi="Arial"/>
          <w:sz w:val="17"/>
          <w:szCs w:val="17"/>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Hong Kong</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5"/>
          <w:szCs w:val="15"/>
          <w:color w:val="auto"/>
        </w:rPr>
        <w:t>Our wholly owned subsidiary in Hong Kong is subject to a two-tiered income tax rate for taxable income earned in Hong Kong with effect from April 1, 2018.</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first HK$2 million of profits earned by Sunlands HK will be taxed at 8.25%, while the remaining profits will continue to be taxed at the existing 16.5% tax rate.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Payments of dividends by our subsidiaries to us are not subject to withholding tax in Hong Kong.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6851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326"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i w:val="1"/>
          <w:iCs w:val="1"/>
          <w:color w:val="auto"/>
        </w:rPr>
        <w:t>PRC</w:t>
      </w:r>
    </w:p>
    <w:p>
      <w:pPr>
        <w:spacing w:after="0" w:line="103" w:lineRule="exact"/>
        <w:rPr>
          <w:sz w:val="20"/>
          <w:szCs w:val="20"/>
          <w:color w:val="auto"/>
        </w:rPr>
      </w:pPr>
    </w:p>
    <w:p>
      <w:pPr>
        <w:ind w:right="60" w:firstLine="547"/>
        <w:spacing w:after="0" w:line="282" w:lineRule="auto"/>
        <w:rPr>
          <w:sz w:val="20"/>
          <w:szCs w:val="20"/>
          <w:color w:val="auto"/>
        </w:rPr>
      </w:pPr>
      <w:r>
        <w:rPr>
          <w:rFonts w:ascii="Arial" w:cs="Arial" w:eastAsia="Arial" w:hAnsi="Arial"/>
          <w:sz w:val="15"/>
          <w:szCs w:val="15"/>
          <w:color w:val="auto"/>
        </w:rPr>
        <w:t>Our subsidiaries and our consolidated VIEs and their subsidiaries in China are companies incorporated under PRC law and, as such, are subject to PRC enterprise income tax on their taxable income in accordance with the relevant PRC income tax laws. Pursuant to the PRC Enterprise Income Tax Law, or PRC EIT Law, a uniform 25% enterprise income tax rate is generally applicable to both foreign-invested enterprises and domestic enterprises, except where a special preferential rate applies. For example, enterprises qualified as “High and New Technology Enterprises” are entitled to a 15% enterprise income tax rate rather than the 25% uniform statutory tax rate. Pursuant to the Notice on Implementation of Inclusive Tax Relief Policy for Small and Low-profit Enterprises jointly issued by the Ministry of Finance and the SAT on January 17, 2019 and the Announcement on Issues Relating to Implementation of Inclusive Income Tax Relief Policy for Small and Low-profit Enterprises issued by SAT on January 18, 2019, during the period from January 1, 2019 to December 31, 2021, the portion of annual taxable income amount of a small and low-profit enterprise which does not exceed RMB1 million shall be computed at a reduced rate of 25% as taxable income amount, and be subject to a 20% enterprise income tax rate, and the portion of annual taxable income amount which exceeds RMB1 million but does not exceed RMB3 million shall be computed at a reduced rate of 50% as taxable income amount, and be subject to a 20% enterprise income tax rate. The enterprise income tax is calculated based on the entity’s global income as determined under PRC tax laws and accounting standards.</w:t>
      </w:r>
    </w:p>
    <w:p>
      <w:pPr>
        <w:spacing w:after="0" w:line="162" w:lineRule="exact"/>
        <w:rPr>
          <w:sz w:val="20"/>
          <w:szCs w:val="20"/>
          <w:color w:val="auto"/>
        </w:rPr>
      </w:pPr>
    </w:p>
    <w:p>
      <w:pPr>
        <w:ind w:right="120" w:firstLine="547"/>
        <w:spacing w:after="0" w:line="251" w:lineRule="auto"/>
        <w:rPr>
          <w:sz w:val="20"/>
          <w:szCs w:val="20"/>
          <w:color w:val="auto"/>
        </w:rPr>
      </w:pPr>
      <w:r>
        <w:rPr>
          <w:rFonts w:ascii="Arial" w:cs="Arial" w:eastAsia="Arial" w:hAnsi="Arial"/>
          <w:sz w:val="17"/>
          <w:szCs w:val="17"/>
          <w:color w:val="auto"/>
        </w:rPr>
        <w:t>Our services are subject to VAT at the rate of 6% for general-VAT-payer entities in accordance with tax rule, except that certain subsidiaries were subject to a simple VAT collection method at a rate of 3% before June 2019. Since January 2020, in accordance with Announcement of the Ministry of Finance and the SAT [2020] No.8 and Announcement of the Ministry of Finance and the SAT [2021] No.7, due to the Novel coronavirus (“COVID-19”) pandemic, the VAT on certain services was temporarily exempted until March 31, 2021.</w:t>
      </w:r>
    </w:p>
    <w:p>
      <w:pPr>
        <w:spacing w:after="0" w:line="179" w:lineRule="exact"/>
        <w:rPr>
          <w:sz w:val="20"/>
          <w:szCs w:val="20"/>
          <w:color w:val="auto"/>
        </w:rPr>
      </w:pPr>
    </w:p>
    <w:p>
      <w:pPr>
        <w:ind w:firstLine="547"/>
        <w:spacing w:after="0" w:line="280" w:lineRule="auto"/>
        <w:rPr>
          <w:sz w:val="20"/>
          <w:szCs w:val="20"/>
          <w:color w:val="auto"/>
        </w:rPr>
      </w:pPr>
      <w:r>
        <w:rPr>
          <w:rFonts w:ascii="Arial" w:cs="Arial" w:eastAsia="Arial" w:hAnsi="Arial"/>
          <w:sz w:val="15"/>
          <w:szCs w:val="15"/>
          <w:color w:val="auto"/>
        </w:rPr>
        <w:t>As a Cayman Islands holding company, we may receive dividends from our PRC subsidiaries through Sunlands Online Education HK Limited. The PRC EIT Law and its implementing regulations provide that dividends paid by a PRC entity to a non-resident enterprise for income tax purposes is subject to PRC withholding tax at a rate of 10%,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and certain other conditions are met.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The State Administration of Taxation promulgated the Administrative Measures for Non-resident Taxpayers to Enjoy Treatment under Treaties,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Sunlands Online Education HK Limited may be able to benefit from the 5% withholding tax rate for the dividends it receives from Wuhan Zhibo and Tianjin Sunlands, if it satisfies the conditions prescribed under SAT Circular 81 and other relevant tax rules and regulations. However, according to SAT Circular 81 and SAT Circular 35, if the relevant tax authorities consider the transactions or arrangements we have are for the primary purpose of enjoying a favorable tax treatment, the relevant tax authorities may adjust the favorable withholding tax in the future.</w:t>
      </w:r>
    </w:p>
    <w:p>
      <w:pPr>
        <w:spacing w:after="0" w:line="167" w:lineRule="exact"/>
        <w:rPr>
          <w:sz w:val="20"/>
          <w:szCs w:val="20"/>
          <w:color w:val="auto"/>
        </w:rPr>
      </w:pPr>
    </w:p>
    <w:p>
      <w:pPr>
        <w:ind w:right="100" w:firstLine="547"/>
        <w:spacing w:after="0" w:line="251" w:lineRule="auto"/>
        <w:rPr>
          <w:sz w:val="20"/>
          <w:szCs w:val="20"/>
          <w:color w:val="auto"/>
        </w:rPr>
      </w:pPr>
      <w:r>
        <w:rPr>
          <w:rFonts w:ascii="Arial" w:cs="Arial" w:eastAsia="Arial" w:hAnsi="Arial"/>
          <w:sz w:val="17"/>
          <w:szCs w:val="17"/>
          <w:color w:val="auto"/>
        </w:rPr>
        <w:t>If our holding company in the Cayman Islands or any of our subsidiaries outside of China were deemed to be a “resident enterprise” under the PRC EIT Law, it would be subject to enterprise income tax on its worldwide income at a rate of 25%. See “Item 3. Key Information—3.D.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Judgments and Estimates</w:t>
      </w:r>
    </w:p>
    <w:p>
      <w:pPr>
        <w:spacing w:after="0" w:line="107" w:lineRule="exact"/>
        <w:rPr>
          <w:sz w:val="20"/>
          <w:szCs w:val="20"/>
          <w:color w:val="auto"/>
        </w:rPr>
      </w:pPr>
    </w:p>
    <w:p>
      <w:pPr>
        <w:ind w:right="60" w:firstLine="547"/>
        <w:spacing w:after="0" w:line="340" w:lineRule="auto"/>
        <w:rPr>
          <w:sz w:val="20"/>
          <w:szCs w:val="20"/>
          <w:color w:val="auto"/>
        </w:rPr>
      </w:pPr>
      <w:r>
        <w:rPr>
          <w:rFonts w:ascii="Arial" w:cs="Arial" w:eastAsia="Arial" w:hAnsi="Arial"/>
          <w:sz w:val="13"/>
          <w:szCs w:val="13"/>
          <w:color w:val="auto"/>
        </w:rPr>
        <w:t>We prepare our financial statements in accordance with U.S. GAAP, which requires our management to make estimates and assumptions that affect the reported amounts of assets and liabilities, disclosures of contingent assets and liabilities at the balance sheet dates and the reported amounts of revenues and expenses during the reporting periods.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80" w:name="page81"/>
    <w:bookmarkEnd w:id="80"/>
    <w:p>
      <w:pPr>
        <w:ind w:firstLine="547"/>
        <w:spacing w:after="0" w:line="295" w:lineRule="auto"/>
        <w:rPr>
          <w:sz w:val="20"/>
          <w:szCs w:val="20"/>
          <w:color w:val="auto"/>
        </w:rPr>
      </w:pPr>
      <w:r>
        <w:rPr>
          <w:rFonts w:ascii="Arial" w:cs="Arial" w:eastAsia="Arial" w:hAnsi="Arial"/>
          <w:sz w:val="15"/>
          <w:szCs w:val="15"/>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 You should read the following description of critical accounting policies, judgments and estimates in conjunction with our consolidated financial statements and other disclosures included in this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3" w:lineRule="exact"/>
        <w:rPr>
          <w:sz w:val="20"/>
          <w:szCs w:val="20"/>
          <w:color w:val="auto"/>
        </w:rPr>
      </w:pPr>
    </w:p>
    <w:p>
      <w:pPr>
        <w:ind w:firstLine="547"/>
        <w:spacing w:after="0" w:line="251" w:lineRule="auto"/>
        <w:rPr>
          <w:sz w:val="20"/>
          <w:szCs w:val="20"/>
          <w:color w:val="auto"/>
        </w:rPr>
      </w:pPr>
      <w:r>
        <w:rPr>
          <w:rFonts w:ascii="Arial" w:cs="Arial" w:eastAsia="Arial" w:hAnsi="Arial"/>
          <w:sz w:val="17"/>
          <w:szCs w:val="17"/>
          <w:color w:val="auto"/>
        </w:rPr>
        <w:t>We follow five steps for revenue recognition under ASC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Our revenue is reported net of discount, value added tax and related surcharges. The primary sources of our revenues are as follows: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Online education services</w:t>
      </w:r>
    </w:p>
    <w:p>
      <w:pPr>
        <w:spacing w:after="0" w:line="303" w:lineRule="exact"/>
        <w:rPr>
          <w:sz w:val="20"/>
          <w:szCs w:val="20"/>
          <w:color w:val="auto"/>
        </w:rPr>
      </w:pPr>
    </w:p>
    <w:p>
      <w:pPr>
        <w:ind w:firstLine="603"/>
        <w:spacing w:after="0" w:line="267" w:lineRule="auto"/>
        <w:rPr>
          <w:sz w:val="20"/>
          <w:szCs w:val="20"/>
          <w:color w:val="auto"/>
        </w:rPr>
      </w:pPr>
      <w:r>
        <w:rPr>
          <w:rFonts w:ascii="Arial" w:cs="Arial" w:eastAsia="Arial" w:hAnsi="Arial"/>
          <w:sz w:val="16"/>
          <w:szCs w:val="16"/>
          <w:color w:val="auto"/>
        </w:rPr>
        <w:t>For online education services, we provide an integrated online education service package to students, including online live streaming audio-video interactive course content, recorded previous live audio-video course content, quiz banks, online chat rooms, and educational contents. The services and goods provided in the package are highly interdependent and interrelated in the context of the contract and are only considered accessory services to the online live streaming and recorded courses which are not distinct and are not sold standalone. Therefore, our integrated online education services package is accounted for as a single performance obligation. The weighted average service period for degree- or diploma-oriented post-secondary courses and professional certification preparation and professional skills courses was 30 months and 9 months, respectively, for the year ended December 31, 2020.</w:t>
      </w:r>
    </w:p>
    <w:p>
      <w:pPr>
        <w:spacing w:after="0" w:line="267" w:lineRule="exact"/>
        <w:rPr>
          <w:sz w:val="20"/>
          <w:szCs w:val="20"/>
          <w:color w:val="auto"/>
        </w:rPr>
      </w:pPr>
    </w:p>
    <w:p>
      <w:pPr>
        <w:jc w:val="both"/>
        <w:ind w:right="120" w:firstLine="603"/>
        <w:spacing w:after="0" w:line="304" w:lineRule="auto"/>
        <w:rPr>
          <w:sz w:val="20"/>
          <w:szCs w:val="20"/>
          <w:color w:val="auto"/>
        </w:rPr>
      </w:pPr>
      <w:r>
        <w:rPr>
          <w:rFonts w:ascii="Arial" w:cs="Arial" w:eastAsia="Arial" w:hAnsi="Arial"/>
          <w:sz w:val="15"/>
          <w:szCs w:val="15"/>
          <w:color w:val="auto"/>
        </w:rPr>
        <w:t>The transaction price of the integrated online education service package is determined by the contract amount net of any discounts. Students are offered a full, unconditional refund within 24 hours upon enrollment. Prior to June 2019, undelivered courses were eligible for refund, excluding registration fees, within 7 days after enrollment. For course contracts entered after June 2019, undelivered courses are eligible for refund during the entire service period, excluding registration fees.</w:t>
      </w:r>
    </w:p>
    <w:p>
      <w:pPr>
        <w:spacing w:after="0" w:line="241" w:lineRule="exact"/>
        <w:rPr>
          <w:sz w:val="20"/>
          <w:szCs w:val="20"/>
          <w:color w:val="auto"/>
        </w:rPr>
      </w:pPr>
    </w:p>
    <w:p>
      <w:pPr>
        <w:jc w:val="both"/>
        <w:ind w:right="120" w:firstLine="603"/>
        <w:spacing w:after="0" w:line="264" w:lineRule="auto"/>
        <w:rPr>
          <w:sz w:val="20"/>
          <w:szCs w:val="20"/>
          <w:color w:val="auto"/>
        </w:rPr>
      </w:pPr>
      <w:r>
        <w:rPr>
          <w:rFonts w:ascii="Arial" w:cs="Arial" w:eastAsia="Arial" w:hAnsi="Arial"/>
          <w:sz w:val="17"/>
          <w:szCs w:val="17"/>
          <w:color w:val="auto"/>
        </w:rPr>
        <w:t>Revenues for online education services are recognized on a straight line basis over the service period from the registration day to the day on which the service period ends.</w:t>
      </w:r>
    </w:p>
    <w:p>
      <w:pPr>
        <w:spacing w:after="0" w:line="268" w:lineRule="exact"/>
        <w:rPr>
          <w:sz w:val="20"/>
          <w:szCs w:val="20"/>
          <w:color w:val="auto"/>
        </w:rPr>
      </w:pPr>
    </w:p>
    <w:p>
      <w:pPr>
        <w:ind w:right="120" w:firstLine="603"/>
        <w:spacing w:after="0" w:line="291" w:lineRule="auto"/>
        <w:rPr>
          <w:sz w:val="20"/>
          <w:szCs w:val="20"/>
          <w:color w:val="auto"/>
        </w:rPr>
      </w:pPr>
      <w:r>
        <w:rPr>
          <w:rFonts w:ascii="Arial" w:cs="Arial" w:eastAsia="Arial" w:hAnsi="Arial"/>
          <w:sz w:val="15"/>
          <w:szCs w:val="15"/>
          <w:color w:val="auto"/>
        </w:rPr>
        <w:t>For certain online courses, we provided students the right to apply for refund or cash incentive if certain pre-agreed conditions are achieved. We estimated the variable consideration to be earned to the extent it was probable that a significant reversal of cumulative revenue recognized would not occur when the uncertainty associated with the variable consideration was resolved and recognized revenue over time from the registration day to the day on which the service period ended on a straight line basis. Our estimates of variable consideration and determination of whether to include estimated amounts in the transaction price were based largely on an assessment of our anticipated performance and all information (historical, current and forecasted) that was reasonably available.</w:t>
      </w:r>
    </w:p>
    <w:p>
      <w:pPr>
        <w:spacing w:after="0" w:line="250" w:lineRule="exact"/>
        <w:rPr>
          <w:sz w:val="20"/>
          <w:szCs w:val="20"/>
          <w:color w:val="auto"/>
        </w:rPr>
      </w:pPr>
    </w:p>
    <w:p>
      <w:pPr>
        <w:ind w:right="160" w:firstLine="603"/>
        <w:spacing w:after="0" w:line="295" w:lineRule="auto"/>
        <w:rPr>
          <w:sz w:val="20"/>
          <w:szCs w:val="20"/>
          <w:color w:val="auto"/>
        </w:rPr>
      </w:pPr>
      <w:r>
        <w:rPr>
          <w:rFonts w:ascii="Arial" w:cs="Arial" w:eastAsia="Arial" w:hAnsi="Arial"/>
          <w:sz w:val="15"/>
          <w:szCs w:val="15"/>
          <w:color w:val="auto"/>
        </w:rPr>
        <w:t>For certain online courses, the service period includes a regular period plus an extended period. We offer students an extended service period after the regular period if certain pre-agreed conditions are met. Based on historical passing rates, and forecasted passing rates due to continuous improvement of service quality, we apply and categorize the students by portfolio (1) eligible to extended period and (2) not eligible to extended period and estimates the portion of each portfolio. We recognize the revenue on each portfolio over time from the registration day to the day on which the service is expected to end on a straight line basis.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81" w:name="page82"/>
    <w:bookmarkEnd w:id="81"/>
    <w:p>
      <w:pPr>
        <w:ind w:right="80" w:firstLine="603"/>
        <w:spacing w:after="0" w:line="285" w:lineRule="auto"/>
        <w:rPr>
          <w:sz w:val="20"/>
          <w:szCs w:val="20"/>
          <w:color w:val="auto"/>
        </w:rPr>
      </w:pPr>
      <w:r>
        <w:rPr>
          <w:rFonts w:ascii="Arial" w:cs="Arial" w:eastAsia="Arial" w:hAnsi="Arial"/>
          <w:sz w:val="15"/>
          <w:szCs w:val="15"/>
          <w:color w:val="auto"/>
        </w:rPr>
        <w:t>For certain online courses, we offer a bundled service including an integrated online education service package with insurance coverage for tuition refund. If certain refund conditions are met, students could claim the insurance equal to full or partial amount of the service fee. We identify that the integrated online education service package and the insurance service are two separate performance obligations as students benefit from each service on its own and they are separately identifiable in the contract. We record revenue generated from online education services with insurance coverage on a gross basis as we are acting as the principal to fulfill all obligation and control all the services transferred to the students. The total service fee is allocated to each performance obligation based on selling prices, which are estimated based on the expected cost of satisfying each performance obligation plus an estimated margin. Revenues for integrated online education service and the insurance service are recognized over their respective service periods on a straight line basis from the registration day to the day on which the service period ends as the students simultaneously receives and consumes the benefits provided by these two performance obligations.</w:t>
      </w:r>
    </w:p>
    <w:p>
      <w:pPr>
        <w:spacing w:after="0" w:line="155" w:lineRule="exact"/>
        <w:rPr>
          <w:sz w:val="20"/>
          <w:szCs w:val="20"/>
          <w:color w:val="auto"/>
        </w:rPr>
      </w:pPr>
    </w:p>
    <w:p>
      <w:pPr>
        <w:ind w:right="520" w:firstLine="547"/>
        <w:spacing w:after="0" w:line="264" w:lineRule="auto"/>
        <w:rPr>
          <w:sz w:val="20"/>
          <w:szCs w:val="20"/>
          <w:color w:val="auto"/>
        </w:rPr>
      </w:pPr>
      <w:r>
        <w:rPr>
          <w:rFonts w:ascii="Arial" w:cs="Arial" w:eastAsia="Arial" w:hAnsi="Arial"/>
          <w:sz w:val="17"/>
          <w:szCs w:val="17"/>
          <w:color w:val="auto"/>
        </w:rPr>
        <w:t>Our deferred costs represent the unamortized incremental sales commission relating to obtaining of customer contract, and the contract liability primarily consists of deferred revenue.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Student Financing</w:t>
      </w:r>
    </w:p>
    <w:p>
      <w:pPr>
        <w:spacing w:after="0" w:line="103" w:lineRule="exact"/>
        <w:rPr>
          <w:sz w:val="20"/>
          <w:szCs w:val="20"/>
          <w:color w:val="auto"/>
        </w:rPr>
      </w:pPr>
    </w:p>
    <w:p>
      <w:pPr>
        <w:jc w:val="both"/>
        <w:ind w:right="140" w:firstLine="547"/>
        <w:spacing w:after="0" w:line="295" w:lineRule="auto"/>
        <w:rPr>
          <w:sz w:val="20"/>
          <w:szCs w:val="20"/>
          <w:color w:val="auto"/>
        </w:rPr>
      </w:pPr>
      <w:r>
        <w:rPr>
          <w:rFonts w:ascii="Arial" w:cs="Arial" w:eastAsia="Arial" w:hAnsi="Arial"/>
          <w:sz w:val="15"/>
          <w:szCs w:val="15"/>
          <w:color w:val="auto"/>
        </w:rPr>
        <w:t>We offer an installment payment option to students, under which the students obtain loans, from accredited credit sources ("Loan Companies") for the purpose of satisfying the student's tuition payment due. The borrowing student is obligated to repay the loan principal in installments over periods ranging from 3 months to 18 months to the Loan Companies, while we agree with the Loan Companies to bear the student's interest expense and service fees. The Loan Companies remit the tuition to us for students to complete the registration. The interest expense and service fees are recorded as a reduction of the transaction price.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 revenue</w:t>
      </w:r>
    </w:p>
    <w:p>
      <w:pPr>
        <w:spacing w:after="0" w:line="103" w:lineRule="exact"/>
        <w:rPr>
          <w:sz w:val="20"/>
          <w:szCs w:val="20"/>
          <w:color w:val="auto"/>
        </w:rPr>
      </w:pPr>
    </w:p>
    <w:p>
      <w:pPr>
        <w:jc w:val="both"/>
        <w:ind w:right="140" w:firstLine="547"/>
        <w:spacing w:after="0" w:line="264" w:lineRule="auto"/>
        <w:rPr>
          <w:sz w:val="20"/>
          <w:szCs w:val="20"/>
          <w:color w:val="auto"/>
        </w:rPr>
      </w:pPr>
      <w:r>
        <w:rPr>
          <w:rFonts w:ascii="Arial" w:cs="Arial" w:eastAsia="Arial" w:hAnsi="Arial"/>
          <w:sz w:val="17"/>
          <w:szCs w:val="17"/>
          <w:color w:val="auto"/>
        </w:rPr>
        <w:t>We earn commission revenue by providing referral services to third party institutions. Commission revenue is recognized at the point in time when the referred students complete registration at the third party institutions, by when the performance obligation of us is satisfied.</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Revenue</w:t>
      </w:r>
    </w:p>
    <w:p>
      <w:pPr>
        <w:spacing w:after="0" w:line="103" w:lineRule="exact"/>
        <w:rPr>
          <w:sz w:val="20"/>
          <w:szCs w:val="20"/>
          <w:color w:val="auto"/>
        </w:rPr>
      </w:pPr>
    </w:p>
    <w:p>
      <w:pPr>
        <w:ind w:firstLine="547"/>
        <w:spacing w:after="0" w:line="264" w:lineRule="auto"/>
        <w:rPr>
          <w:sz w:val="20"/>
          <w:szCs w:val="20"/>
          <w:color w:val="auto"/>
        </w:rPr>
      </w:pPr>
      <w:r>
        <w:rPr>
          <w:rFonts w:ascii="Arial" w:cs="Arial" w:eastAsia="Arial" w:hAnsi="Arial"/>
          <w:sz w:val="17"/>
          <w:szCs w:val="17"/>
          <w:color w:val="auto"/>
        </w:rPr>
        <w:t>Revenues related to our online courses are recognized over time. Deferred revenue consists of tuition fees received from students for which services have not yet been provided to students.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of variable interest entity</w:t>
      </w:r>
    </w:p>
    <w:p>
      <w:pPr>
        <w:spacing w:after="0" w:line="166" w:lineRule="exact"/>
        <w:rPr>
          <w:sz w:val="20"/>
          <w:szCs w:val="20"/>
          <w:color w:val="auto"/>
        </w:rPr>
      </w:pPr>
    </w:p>
    <w:p>
      <w:pPr>
        <w:jc w:val="both"/>
        <w:ind w:right="300" w:firstLine="398"/>
        <w:spacing w:after="0" w:line="332" w:lineRule="auto"/>
        <w:rPr>
          <w:sz w:val="20"/>
          <w:szCs w:val="20"/>
          <w:color w:val="auto"/>
        </w:rPr>
      </w:pPr>
      <w:r>
        <w:rPr>
          <w:rFonts w:ascii="Arial" w:cs="Arial" w:eastAsia="Arial" w:hAnsi="Arial"/>
          <w:sz w:val="15"/>
          <w:szCs w:val="15"/>
          <w:color w:val="auto"/>
        </w:rPr>
        <w:t>Our consolidated financial statements include the financial statements of Sunlands Technology Group, its subsidiaries, its VIEs and the VIEs’ subsidiaries. All profits, transactions and balances among Sunlands Technology Group, its subsidiaries, its VIEs and the VIEs’ subsidiaries have been eliminated upon consolidation.</w:t>
      </w:r>
    </w:p>
    <w:p>
      <w:pPr>
        <w:spacing w:after="0" w:line="220" w:lineRule="exact"/>
        <w:rPr>
          <w:sz w:val="20"/>
          <w:szCs w:val="20"/>
          <w:color w:val="auto"/>
        </w:rPr>
      </w:pPr>
    </w:p>
    <w:p>
      <w:pPr>
        <w:ind w:firstLine="402"/>
        <w:spacing w:after="0" w:line="283" w:lineRule="auto"/>
        <w:rPr>
          <w:sz w:val="20"/>
          <w:szCs w:val="20"/>
          <w:color w:val="auto"/>
        </w:rPr>
      </w:pPr>
      <w:r>
        <w:rPr>
          <w:rFonts w:ascii="Arial" w:cs="Arial" w:eastAsia="Arial" w:hAnsi="Arial"/>
          <w:sz w:val="15"/>
          <w:szCs w:val="15"/>
          <w:color w:val="auto"/>
        </w:rPr>
        <w:t>PRC laws and regulations restrict foreign ownership in value-added telecommunication services and other internet-related business. As a Cayman Islands company, we are deemed a foreign legal person under PRC laws. Accordingly, our wholly owned subsidiaries in the PRC, as foreign invested companies, are not eligible to engage in the value-added telecommunications services. To comply with these foreign ownership restrictions, we conduct our online education service business in China partially through a series of contractual agreements among our wholly owned PRC subsidiaries, our VIEs and the shareholders of the VIEs, including exclusive technical consultation and service agreements, business operation agreements, equity interest pledge agreements, option agreements, powers of attorney and spousal consent letters. Through the contractual agreements, we have (i) the power to direct the activities that most significantly affect the economic performance of the VIEs, and (ii) the right to receive the economic benefit of the VIEs that could potentially be significant to the VIEs. As a result, the shareholders of the VIEs lack the power to direct the activities of the VIEs that most significantly impact the entity's economic performance, the obligation to absorb the expected losses, and the right to receive the expected residual returns of the entity. Accordingly, we are considered as the primary beneficiary of the VIEs, and we have consolidated the financial results of our VIEs and our VIEs’ subsidiaries in our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82" w:name="page83"/>
    <w:bookmarkEnd w:id="82"/>
    <w:p>
      <w:pPr>
        <w:ind w:right="20" w:firstLine="402"/>
        <w:spacing w:after="0" w:line="248" w:lineRule="auto"/>
        <w:rPr>
          <w:sz w:val="20"/>
          <w:szCs w:val="20"/>
          <w:color w:val="auto"/>
        </w:rPr>
      </w:pPr>
      <w:r>
        <w:rPr>
          <w:rFonts w:ascii="Arial" w:cs="Arial" w:eastAsia="Arial" w:hAnsi="Arial"/>
          <w:sz w:val="17"/>
          <w:szCs w:val="17"/>
          <w:color w:val="auto"/>
        </w:rPr>
        <w:t>As advised by Tian Yuan Law Firm, our PRC legal counsel, the contractual arrangements among our wholly-owned PRC subsidiaries, our VIEs, our VIEs’ respective shareholders and our VIEs’ respective subsidiaries are valid, binding and enforceable under current PRC law. However, our PRC legal counsel has also advised us that as there are substantial uncertainties regarding the interpretation and application of PRC laws and regulations, and we cannot assure you that the PRC government would agree that our corporate structure or any of the above contractual arrangements comply with current or future PRC laws or regulations. PRC laws and regulations governing the validity of these contractual arrangements are uncertain and the relevant government authorities may have broad discretion in interpreting these laws and regulations.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3" w:lineRule="exact"/>
        <w:rPr>
          <w:sz w:val="20"/>
          <w:szCs w:val="20"/>
          <w:color w:val="auto"/>
        </w:rPr>
      </w:pPr>
    </w:p>
    <w:p>
      <w:pPr>
        <w:ind w:right="20" w:firstLine="547"/>
        <w:spacing w:after="0" w:line="288" w:lineRule="auto"/>
        <w:rPr>
          <w:sz w:val="20"/>
          <w:szCs w:val="20"/>
          <w:color w:val="auto"/>
        </w:rPr>
      </w:pPr>
      <w:r>
        <w:rPr>
          <w:rFonts w:ascii="Arial" w:cs="Arial" w:eastAsia="Arial" w:hAnsi="Arial"/>
          <w:sz w:val="15"/>
          <w:szCs w:val="15"/>
          <w:color w:val="auto"/>
        </w:rPr>
        <w:t>Current income taxes are provided for in accordance with the laws of the relevant tax authorities. Deferred income taxes are recognized when temporary differences exist between the tax bases of assets and liabilities and their reported amounts in the financial statements. Net operating loss carry forwards and credits are applied using enacted statutory tax rates applicable to future years. Deferred tax assets are reduced by a valuation allowance when it, in the opinion of us, is more-likely-than-not that a portion of or all of the deferred tax assets will not be realized. The impact of an uncertain income tax position is recognized at the largest amount that is more-likely-than not to be sustained upon audit by the relevant tax authority. An uncertain income tax position will not be recognized if it has less than a 50% likelihood of being sustained. Interest and penalties on income taxes will be classified as a component of the provisions for income taxes.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Property and equipment are stated at cost and are depreciated using the straight-line method over the estimated useful lives of the assets,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gridSpan w:val="3"/>
          </w:tcPr>
          <w:p>
            <w:pPr>
              <w:spacing w:after="0"/>
              <w:rPr>
                <w:sz w:val="20"/>
                <w:szCs w:val="20"/>
                <w:color w:val="auto"/>
              </w:rPr>
            </w:pPr>
            <w:r>
              <w:rPr>
                <w:rFonts w:ascii="Arial" w:cs="Arial" w:eastAsia="Arial" w:hAnsi="Arial"/>
                <w:sz w:val="13"/>
                <w:szCs w:val="13"/>
                <w:b w:val="1"/>
                <w:bCs w:val="1"/>
                <w:color w:val="auto"/>
              </w:rPr>
              <w:t>Category</w:t>
            </w:r>
          </w:p>
        </w:tc>
        <w:tc>
          <w:tcPr>
            <w:tcW w:w="6580" w:type="dxa"/>
            <w:vAlign w:val="bottom"/>
            <w:gridSpan w:val="2"/>
          </w:tcPr>
          <w:p>
            <w:pPr>
              <w:spacing w:after="0"/>
              <w:rPr>
                <w:sz w:val="20"/>
                <w:szCs w:val="20"/>
                <w:color w:val="auto"/>
              </w:rPr>
            </w:pPr>
            <w:r>
              <w:rPr>
                <w:rFonts w:ascii="Arial" w:cs="Arial" w:eastAsia="Arial" w:hAnsi="Arial"/>
                <w:sz w:val="13"/>
                <w:szCs w:val="13"/>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Buildings</w:t>
            </w:r>
          </w:p>
        </w:tc>
        <w:tc>
          <w:tcPr>
            <w:tcW w:w="6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36-37 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Leasehold and buildings improvement</w:t>
            </w:r>
          </w:p>
        </w:tc>
        <w:tc>
          <w:tcPr>
            <w:tcW w:w="6580" w:type="dxa"/>
            <w:vAlign w:val="bottom"/>
            <w:gridSpan w:val="2"/>
          </w:tcPr>
          <w:p>
            <w:pPr>
              <w:spacing w:after="0"/>
              <w:rPr>
                <w:sz w:val="20"/>
                <w:szCs w:val="20"/>
                <w:color w:val="auto"/>
              </w:rPr>
            </w:pPr>
            <w:r>
              <w:rPr>
                <w:rFonts w:ascii="Arial" w:cs="Arial" w:eastAsia="Arial" w:hAnsi="Arial"/>
                <w:sz w:val="17"/>
                <w:szCs w:val="17"/>
                <w:color w:val="auto"/>
              </w:rPr>
              <w:t>Shorter of lease term or expected useful life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Electronic and office equipment</w:t>
            </w:r>
          </w:p>
        </w:tc>
        <w:tc>
          <w:tcPr>
            <w:tcW w:w="6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3-5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547"/>
        <w:spacing w:after="0" w:line="304" w:lineRule="auto"/>
        <w:rPr>
          <w:sz w:val="20"/>
          <w:szCs w:val="20"/>
          <w:color w:val="auto"/>
        </w:rPr>
      </w:pPr>
      <w:r>
        <w:rPr>
          <w:rFonts w:ascii="Arial" w:cs="Arial" w:eastAsia="Arial" w:hAnsi="Arial"/>
          <w:sz w:val="15"/>
          <w:szCs w:val="15"/>
          <w:color w:val="auto"/>
        </w:rPr>
        <w:t>Repair and maintenance costs are charged to expense as incurred, whereas the cost of renewals and betterment that extends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operations.</w:t>
      </w:r>
    </w:p>
    <w:p>
      <w:pPr>
        <w:spacing w:after="0" w:line="30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78" w:lineRule="exact"/>
        <w:rPr>
          <w:sz w:val="20"/>
          <w:szCs w:val="20"/>
          <w:color w:val="auto"/>
        </w:rPr>
      </w:pPr>
    </w:p>
    <w:p>
      <w:pPr>
        <w:ind w:right="160" w:firstLine="547"/>
        <w:spacing w:after="0" w:line="332" w:lineRule="auto"/>
        <w:rPr>
          <w:sz w:val="20"/>
          <w:szCs w:val="20"/>
          <w:color w:val="auto"/>
        </w:rPr>
      </w:pPr>
      <w:r>
        <w:rPr>
          <w:rFonts w:ascii="Arial" w:cs="Arial" w:eastAsia="Arial" w:hAnsi="Arial"/>
          <w:sz w:val="15"/>
          <w:szCs w:val="15"/>
          <w:color w:val="auto"/>
        </w:rPr>
        <w:t>Share-based compensation with employees is measured based on the grant date fair value of the equity instrument. Share-based compensation expenses, net of forfeitures, are recognized over the requisite service period based on a straight-line basis with a corresponding impact reflected in additional paid-in capital.</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Share-based compensation awards which require the issuance of a variable number of shares to settle a fixed monetary amount are recorded as liabilities.</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07" w:lineRule="exact"/>
        <w:rPr>
          <w:sz w:val="20"/>
          <w:szCs w:val="20"/>
          <w:color w:val="auto"/>
        </w:rPr>
      </w:pPr>
    </w:p>
    <w:p>
      <w:pPr>
        <w:ind w:right="180" w:firstLine="547"/>
        <w:spacing w:after="0" w:line="264" w:lineRule="auto"/>
        <w:rPr>
          <w:sz w:val="20"/>
          <w:szCs w:val="20"/>
          <w:color w:val="auto"/>
        </w:rPr>
      </w:pPr>
      <w:r>
        <w:rPr>
          <w:rFonts w:ascii="Arial" w:cs="Arial" w:eastAsia="Arial" w:hAnsi="Arial"/>
          <w:sz w:val="17"/>
          <w:szCs w:val="17"/>
          <w:color w:val="auto"/>
        </w:rPr>
        <w:t>The detailed discussion on recent accounting pronouncements is included in note 2 to our audited consolidated financial statements, which are included in this annual report on Form 20-F.</w:t>
      </w:r>
    </w:p>
    <w:p>
      <w:pPr>
        <w:spacing w:after="0" w:line="264"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5.B.</w:t>
      </w:r>
      <w:r>
        <w:rPr>
          <w:sz w:val="20"/>
          <w:szCs w:val="20"/>
          <w:color w:val="auto"/>
        </w:rPr>
        <w:tab/>
      </w:r>
      <w:r>
        <w:rPr>
          <w:rFonts w:ascii="Arial" w:cs="Arial" w:eastAsia="Arial" w:hAnsi="Arial"/>
          <w:sz w:val="15"/>
          <w:szCs w:val="15"/>
          <w:b w:val="1"/>
          <w:bCs w:val="1"/>
          <w:color w:val="auto"/>
        </w:rPr>
        <w:t>Liquidity and Capital Resources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and Working Capital</w:t>
      </w:r>
    </w:p>
    <w:p>
      <w:pPr>
        <w:spacing w:after="0" w:line="103" w:lineRule="exact"/>
        <w:rPr>
          <w:sz w:val="20"/>
          <w:szCs w:val="20"/>
          <w:color w:val="auto"/>
        </w:rPr>
      </w:pPr>
    </w:p>
    <w:p>
      <w:pPr>
        <w:ind w:right="60" w:firstLine="547"/>
        <w:spacing w:after="0" w:line="288" w:lineRule="auto"/>
        <w:rPr>
          <w:sz w:val="20"/>
          <w:szCs w:val="20"/>
          <w:color w:val="auto"/>
        </w:rPr>
      </w:pPr>
      <w:r>
        <w:rPr>
          <w:rFonts w:ascii="Arial" w:cs="Arial" w:eastAsia="Arial" w:hAnsi="Arial"/>
          <w:sz w:val="15"/>
          <w:szCs w:val="15"/>
          <w:color w:val="auto"/>
        </w:rPr>
        <w:t>Our principal sources of liquidity have been cash generated from operating activities and, to a lesser extent, proceeds from the issuance and sale of our ordinary shares. As of December 31, 2020, we had RMB760.7 million (US$116.6 million) in cash and cash equivalents, the majority of which were held by our Cayman Island holding company, PRC subsidiaries and VIEs and VIEs’ subsidiaries in China. Our cash and cash equivalents consist primarily of bank deposits. Our cash and cash equivalents are primarily denominated in U.S. dollars. We believe that our current cash and anticipated cash flow from operations will be sufficient to meet our anticipated cash needs, including our cash needs for working capital and capital expenditures, for at least the next 12 months. We believe there is no substantial doubt to operate as a going concern, as a result, the accompanying consolidated financial statements have been prepared on a going concern basis, and do not reflect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83" w:name="page84"/>
    <w:bookmarkEnd w:id="83"/>
    <w:p>
      <w:pPr>
        <w:ind w:left="20" w:right="520"/>
        <w:spacing w:after="0" w:line="264" w:lineRule="auto"/>
        <w:rPr>
          <w:sz w:val="20"/>
          <w:szCs w:val="20"/>
          <w:color w:val="auto"/>
        </w:rPr>
      </w:pPr>
      <w:r>
        <w:rPr>
          <w:rFonts w:ascii="Arial" w:cs="Arial" w:eastAsia="Arial" w:hAnsi="Arial"/>
          <w:sz w:val="17"/>
          <w:szCs w:val="17"/>
          <w:color w:val="auto"/>
        </w:rPr>
        <w:t>any adjustments relating to the recoverability and reclassification of assets and liabilities that might have been necessary if we were unable to continue as a going concern.</w:t>
      </w:r>
    </w:p>
    <w:p>
      <w:pPr>
        <w:spacing w:after="0" w:line="168" w:lineRule="exact"/>
        <w:rPr>
          <w:sz w:val="20"/>
          <w:szCs w:val="20"/>
          <w:color w:val="auto"/>
        </w:rPr>
      </w:pPr>
    </w:p>
    <w:p>
      <w:pPr>
        <w:ind w:left="20" w:right="120" w:firstLine="547"/>
        <w:spacing w:after="0" w:line="251" w:lineRule="auto"/>
        <w:rPr>
          <w:sz w:val="20"/>
          <w:szCs w:val="20"/>
          <w:color w:val="auto"/>
        </w:rPr>
      </w:pPr>
      <w:r>
        <w:rPr>
          <w:rFonts w:ascii="Arial" w:cs="Arial" w:eastAsia="Arial" w:hAnsi="Arial"/>
          <w:sz w:val="17"/>
          <w:szCs w:val="17"/>
          <w:color w:val="auto"/>
        </w:rPr>
        <w:t>We incurred net losses of RMB927.0 million, RMB395.2 million and RMB431.0 million (US$66.1 million), respectively, for the years ended December 31, 2018, 2019 and 2020. We had positive working capital of RMB268.5 million as of December 31, 2018, negative working capital of RMB195.4 million as of December 31, 2019 and negative working capital of RMB641.4million (US$98.3 million) as of December 31, 2020. The major factor for our negative working capital position as of December 31, 2019 and 2020 was deferred revenue.</w:t>
      </w:r>
    </w:p>
    <w:p>
      <w:pPr>
        <w:spacing w:after="0" w:line="179" w:lineRule="exact"/>
        <w:rPr>
          <w:sz w:val="20"/>
          <w:szCs w:val="20"/>
          <w:color w:val="auto"/>
        </w:rPr>
      </w:pPr>
    </w:p>
    <w:p>
      <w:pPr>
        <w:ind w:left="20" w:right="280" w:firstLine="547"/>
        <w:spacing w:after="0" w:line="286" w:lineRule="auto"/>
        <w:rPr>
          <w:sz w:val="20"/>
          <w:szCs w:val="20"/>
          <w:color w:val="auto"/>
        </w:rPr>
      </w:pPr>
      <w:r>
        <w:rPr>
          <w:rFonts w:ascii="Arial" w:cs="Arial" w:eastAsia="Arial" w:hAnsi="Arial"/>
          <w:sz w:val="15"/>
          <w:szCs w:val="15"/>
          <w:color w:val="auto"/>
        </w:rPr>
        <w:t>We intend to finance our future working capital requirements and capital expenditures from cash generated from operating activities and funds raised from financing activities. 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additional credit facilities. Financing may be unavailable in the amounts we need or on terms acceptable to us, if at all. Issuance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w:t>
      </w:r>
    </w:p>
    <w:p>
      <w:pPr>
        <w:spacing w:after="0" w:line="156" w:lineRule="exact"/>
        <w:rPr>
          <w:sz w:val="20"/>
          <w:szCs w:val="20"/>
          <w:color w:val="auto"/>
        </w:rPr>
      </w:pPr>
    </w:p>
    <w:p>
      <w:pPr>
        <w:ind w:left="20" w:right="60" w:firstLine="547"/>
        <w:spacing w:after="0" w:line="284" w:lineRule="auto"/>
        <w:rPr>
          <w:sz w:val="20"/>
          <w:szCs w:val="20"/>
          <w:color w:val="auto"/>
        </w:rPr>
      </w:pPr>
      <w:r>
        <w:rPr>
          <w:rFonts w:ascii="Arial" w:cs="Arial" w:eastAsia="Arial" w:hAnsi="Arial"/>
          <w:sz w:val="15"/>
          <w:szCs w:val="15"/>
          <w:color w:val="auto"/>
        </w:rPr>
        <w:t>As a holding company with no material operations of our own, we conduct our operations primarily through subsidiaries and consolidated VIEs in China. We are permitted under PRC laws and regulations to provide funding to our PRC subsidiaries in China through capital contributions or loans, subject to the approval of government authorities and limits on the amount of capital contributions and loans. In addition, our subsidiaries in China may provide Renminbi funding to our consolidated VIEs only through entrusted loans. The ability of our subsidiaries in China to make dividends or other cash payments to us is subject to various restrictions under PRC laws and regulations. See “Item 3. Key Information—3.D.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3. Key Information—3.D.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a summary of our cash flows for the years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3"/>
              </w:rPr>
              <w:t>For the Year Ended December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4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3"/>
                <w:szCs w:val="13"/>
                <w:b w:val="1"/>
                <w:bCs w:val="1"/>
                <w:color w:val="auto"/>
              </w:rPr>
              <w:t>2018</w:t>
            </w:r>
          </w:p>
        </w:tc>
        <w:tc>
          <w:tcPr>
            <w:tcW w:w="260" w:type="dxa"/>
            <w:vAlign w:val="bottom"/>
          </w:tcPr>
          <w:p>
            <w:pPr>
              <w:spacing w:after="0"/>
              <w:rPr>
                <w:sz w:val="12"/>
                <w:szCs w:val="12"/>
                <w:color w:val="auto"/>
              </w:rPr>
            </w:pPr>
          </w:p>
        </w:tc>
        <w:tc>
          <w:tcPr>
            <w:tcW w:w="1120" w:type="dxa"/>
            <w:vAlign w:val="bottom"/>
            <w:tcBorders>
              <w:bottom w:val="single" w:sz="8" w:color="auto"/>
            </w:tcBorders>
          </w:tcPr>
          <w:p>
            <w:pPr>
              <w:jc w:val="right"/>
              <w:ind w:right="363"/>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2020</w:t>
            </w: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4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3"/>
                <w:szCs w:val="13"/>
                <w:b w:val="1"/>
                <w:bCs w:val="1"/>
                <w:color w:val="auto"/>
              </w:rPr>
              <w:t>RMB</w:t>
            </w: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3"/>
              <w:spacing w:after="0" w:line="142" w:lineRule="exact"/>
              <w:rPr>
                <w:sz w:val="20"/>
                <w:szCs w:val="20"/>
                <w:color w:val="auto"/>
              </w:rPr>
            </w:pPr>
            <w:r>
              <w:rPr>
                <w:rFonts w:ascii="Arial" w:cs="Arial" w:eastAsia="Arial" w:hAnsi="Arial"/>
                <w:sz w:val="13"/>
                <w:szCs w:val="13"/>
                <w:b w:val="1"/>
                <w:bCs w:val="1"/>
                <w:color w:val="auto"/>
              </w:rPr>
              <w:t>RMB</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rPr>
              <w:t>RMB</w:t>
            </w:r>
          </w:p>
        </w:tc>
        <w:tc>
          <w:tcPr>
            <w:tcW w:w="114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3"/>
          </w:tcPr>
          <w:p>
            <w:pPr>
              <w:jc w:val="center"/>
              <w:ind w:left="703"/>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by/(used in) operating activities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180,543</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(533,547)</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(188,641)</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(28,911)</w:t>
            </w:r>
          </w:p>
        </w:tc>
      </w:tr>
      <w:tr>
        <w:trPr>
          <w:trHeight w:val="212"/>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Net cash (used in)/provided by investing activities</w:t>
            </w: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(1,186,721)</w:t>
            </w:r>
          </w:p>
        </w:tc>
        <w:tc>
          <w:tcPr>
            <w:tcW w:w="1120" w:type="dxa"/>
            <w:vAlign w:val="bottom"/>
          </w:tcPr>
          <w:p>
            <w:pPr>
              <w:jc w:val="right"/>
              <w:spacing w:after="0"/>
              <w:rPr>
                <w:sz w:val="20"/>
                <w:szCs w:val="20"/>
                <w:color w:val="auto"/>
              </w:rPr>
            </w:pPr>
            <w:r>
              <w:rPr>
                <w:rFonts w:ascii="Arial" w:cs="Arial" w:eastAsia="Arial" w:hAnsi="Arial"/>
                <w:sz w:val="17"/>
                <w:szCs w:val="17"/>
                <w:color w:val="auto"/>
              </w:rPr>
              <w:t>729,546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(349,306)</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(53,534)</w:t>
            </w:r>
          </w:p>
        </w:tc>
      </w:tr>
      <w:tr>
        <w:trPr>
          <w:trHeight w:val="212"/>
        </w:trPr>
        <w:tc>
          <w:tcPr>
            <w:tcW w:w="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by/(used in) financing activities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1,587,343</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(64,150)</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(59,079)</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(9,054)</w:t>
            </w:r>
          </w:p>
        </w:tc>
      </w:tr>
      <w:tr>
        <w:trPr>
          <w:trHeight w:val="212"/>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Effect of exchange rate changes</w:t>
            </w:r>
          </w:p>
        </w:tc>
        <w:tc>
          <w:tcPr>
            <w:tcW w:w="1140" w:type="dxa"/>
            <w:vAlign w:val="bottom"/>
          </w:tcPr>
          <w:p>
            <w:pPr>
              <w:jc w:val="right"/>
              <w:spacing w:after="0"/>
              <w:rPr>
                <w:sz w:val="20"/>
                <w:szCs w:val="20"/>
                <w:color w:val="auto"/>
              </w:rPr>
            </w:pPr>
            <w:r>
              <w:rPr>
                <w:rFonts w:ascii="Arial" w:cs="Arial" w:eastAsia="Arial" w:hAnsi="Arial"/>
                <w:sz w:val="17"/>
                <w:szCs w:val="17"/>
                <w:color w:val="auto"/>
              </w:rPr>
              <w:t>108,186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21,567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(44,490)</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(6,818)</w:t>
            </w:r>
          </w:p>
        </w:tc>
      </w:tr>
      <w:tr>
        <w:trPr>
          <w:trHeight w:val="212"/>
        </w:trPr>
        <w:tc>
          <w:tcPr>
            <w:tcW w:w="2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Net increase/(decrease) in cash and cash equivalents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689,351</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153,416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(641,516)</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(98,317)</w:t>
            </w:r>
          </w:p>
        </w:tc>
      </w:tr>
      <w:tr>
        <w:trPr>
          <w:trHeight w:val="212"/>
        </w:trPr>
        <w:tc>
          <w:tcPr>
            <w:tcW w:w="20" w:type="dxa"/>
            <w:vAlign w:val="bottom"/>
          </w:tcPr>
          <w:p>
            <w:pPr>
              <w:spacing w:after="0"/>
              <w:rPr>
                <w:sz w:val="18"/>
                <w:szCs w:val="18"/>
                <w:color w:val="auto"/>
              </w:rPr>
            </w:pPr>
          </w:p>
        </w:tc>
        <w:tc>
          <w:tcPr>
            <w:tcW w:w="58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the year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559,459</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1,248,810</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1,402,226</w:t>
            </w:r>
          </w:p>
        </w:tc>
        <w:tc>
          <w:tcPr>
            <w:tcW w:w="26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214,901</w:t>
            </w:r>
          </w:p>
        </w:tc>
        <w:tc>
          <w:tcPr>
            <w:tcW w:w="10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and cash equivalents at end of the year</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1,248,810</w:t>
            </w:r>
          </w:p>
        </w:tc>
        <w:tc>
          <w:tcPr>
            <w:tcW w:w="2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1,402,226</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760,710</w:t>
            </w:r>
          </w:p>
        </w:tc>
        <w:tc>
          <w:tcPr>
            <w:tcW w:w="2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116,584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4"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03" w:lineRule="exact"/>
        <w:rPr>
          <w:sz w:val="20"/>
          <w:szCs w:val="20"/>
          <w:color w:val="auto"/>
        </w:rPr>
      </w:pPr>
    </w:p>
    <w:p>
      <w:pPr>
        <w:ind w:left="20" w:right="40" w:firstLine="547"/>
        <w:spacing w:after="0" w:line="266" w:lineRule="auto"/>
        <w:rPr>
          <w:sz w:val="20"/>
          <w:szCs w:val="20"/>
          <w:color w:val="auto"/>
        </w:rPr>
      </w:pPr>
      <w:r>
        <w:rPr>
          <w:rFonts w:ascii="Arial" w:cs="Arial" w:eastAsia="Arial" w:hAnsi="Arial"/>
          <w:sz w:val="16"/>
          <w:szCs w:val="16"/>
          <w:color w:val="auto"/>
        </w:rPr>
        <w:t>Net cash used in operating activities was RMB188.6 million (US$28.9 million) in 2020. The difference between our net loss of RMB431.0 million (US$66.1 million), after netting non-cash reconciliation items, and the net cash used in operating activities was mainly due to (i) a decrease in deferred costs of RMB120.7 million (US$18.5 million) ,(ii) prepaid expenses and other current assets of RMB63.7 million (US$9.8 million), and (iii) a decrease in right-of-use asset of RMB110.1 million (US$16.9 million), and (iv) an increase in accrued expenses and other current liabilities of RMB172.2 million (US$26.4 million); all offset by (i) a decrease in deferred revenue of RMB204.3 million (US$31.3 million), and(ii) a decrease in lease liability of RMB93.2 million (US$14.3 million). Deferred revenue consisted primarily of tuition paid upfront by our students at the time of purchase of course packages. Deferred cost consisted primarily of the incremental sales commissions and service fees relating to obtaining of customer contracts which is expected to be recovered and capitalized.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6851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227" w:right="339" w:bottom="1440" w:gutter="0" w:footer="0" w:header="0"/>
        </w:sectPr>
      </w:pPr>
    </w:p>
    <w:bookmarkStart w:id="84" w:name="page85"/>
    <w:bookmarkEnd w:id="84"/>
    <w:p>
      <w:pPr>
        <w:ind w:right="60" w:firstLine="547"/>
        <w:spacing w:after="0" w:line="248" w:lineRule="auto"/>
        <w:rPr>
          <w:sz w:val="20"/>
          <w:szCs w:val="20"/>
          <w:color w:val="auto"/>
        </w:rPr>
      </w:pPr>
      <w:r>
        <w:rPr>
          <w:rFonts w:ascii="Arial" w:cs="Arial" w:eastAsia="Arial" w:hAnsi="Arial"/>
          <w:sz w:val="17"/>
          <w:szCs w:val="17"/>
          <w:color w:val="auto"/>
        </w:rPr>
        <w:t>Net cash used in operating activities was RMB533.5 million in 2019. The difference between our net loss of RMB395.2 million, after netting non-cash reconciliation items, and the net cash used in operating activities was mainly due to (i) an increase in deferred tax liabilities of RMB 88.0 million and accrued expenses and other current liabilities of RMB25.2 million; all offset by (i) an increase in deferred costs of RMB121.7 million (ii) decrease in deferred revenue of RMB57.3 million and an increase in prepaid expenses and other current assets of RMB39.8 million. Deferred revenue consisted primarily of tuition paid upfront by our students at the time of purchase of course packages. Deferred cost consisted primarily of the incremental sales commissions and service fees relating to obtaining of customer contracts which is expected to be recovered and capitalized.</w:t>
      </w:r>
    </w:p>
    <w:p>
      <w:pPr>
        <w:spacing w:after="0" w:line="183" w:lineRule="exact"/>
        <w:rPr>
          <w:sz w:val="20"/>
          <w:szCs w:val="20"/>
          <w:color w:val="auto"/>
        </w:rPr>
      </w:pPr>
    </w:p>
    <w:p>
      <w:pPr>
        <w:ind w:firstLine="547"/>
        <w:spacing w:after="0" w:line="291" w:lineRule="auto"/>
        <w:rPr>
          <w:sz w:val="20"/>
          <w:szCs w:val="20"/>
          <w:color w:val="auto"/>
        </w:rPr>
      </w:pPr>
      <w:r>
        <w:rPr>
          <w:rFonts w:ascii="Arial" w:cs="Arial" w:eastAsia="Arial" w:hAnsi="Arial"/>
          <w:sz w:val="15"/>
          <w:szCs w:val="15"/>
          <w:color w:val="auto"/>
        </w:rPr>
        <w:t>Net cash provided by operating activities amounted to RMB180.5 million in 2018. The difference between our net loss of RMB927.0 million and the net cash provided by operating activities was mainly due to (i) an increase in deferred revenue of RMB1,175.6 million and (ii) an increase in accrued expenses and other current liabilities of RMB214.7 million, partially offset by (i) an increase in deferred costs of RMB229.0 million and (ii) an increase in prepaid expenses and other current assets of RMB92.3 million. Deferred revenue consisted primarily of tuition paid upfront by our students at the time of purchase of course packages. Deferred cost consisted primarily of the incremental sales commissions and service fees relating to obtaining of customer contracts which is expected to be recovered and capitalized.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66" w:lineRule="exact"/>
        <w:rPr>
          <w:sz w:val="20"/>
          <w:szCs w:val="20"/>
          <w:color w:val="auto"/>
        </w:rPr>
      </w:pPr>
    </w:p>
    <w:p>
      <w:pPr>
        <w:ind w:right="100" w:firstLine="547"/>
        <w:spacing w:after="0" w:line="332" w:lineRule="auto"/>
        <w:rPr>
          <w:sz w:val="20"/>
          <w:szCs w:val="20"/>
          <w:color w:val="auto"/>
        </w:rPr>
      </w:pPr>
      <w:r>
        <w:rPr>
          <w:rFonts w:ascii="Arial" w:cs="Arial" w:eastAsia="Arial" w:hAnsi="Arial"/>
          <w:sz w:val="15"/>
          <w:szCs w:val="15"/>
          <w:color w:val="auto"/>
        </w:rPr>
        <w:t>Net cash used in investing activities was RMB349.3 million (US$53.5 million) in 2020, which was primarily attributable to purchase of short-term investments of RMB2,195.6 million (US$336.5 million), partially offset by proceeds from maturity of short-term investments of RMB1,895.9 million (US$290.6 million).</w:t>
      </w:r>
    </w:p>
    <w:p>
      <w:pPr>
        <w:spacing w:after="0" w:line="96" w:lineRule="exact"/>
        <w:rPr>
          <w:sz w:val="20"/>
          <w:szCs w:val="20"/>
          <w:color w:val="auto"/>
        </w:rPr>
      </w:pPr>
    </w:p>
    <w:p>
      <w:pPr>
        <w:ind w:right="80" w:firstLine="547"/>
        <w:spacing w:after="0" w:line="264" w:lineRule="auto"/>
        <w:rPr>
          <w:sz w:val="20"/>
          <w:szCs w:val="20"/>
          <w:color w:val="auto"/>
        </w:rPr>
      </w:pPr>
      <w:r>
        <w:rPr>
          <w:rFonts w:ascii="Arial" w:cs="Arial" w:eastAsia="Arial" w:hAnsi="Arial"/>
          <w:sz w:val="17"/>
          <w:szCs w:val="17"/>
          <w:color w:val="auto"/>
        </w:rPr>
        <w:t>Net cash provided by investing activities was RMB729.5 million in 2019, which was primarily attributable to proceeds from maturity of short-term investments of RMB2,905.8 million, partially offset by purchase of short-term investments of RMB 2,108.8 million.</w:t>
      </w:r>
    </w:p>
    <w:p>
      <w:pPr>
        <w:spacing w:after="0" w:line="131" w:lineRule="exact"/>
        <w:rPr>
          <w:sz w:val="20"/>
          <w:szCs w:val="20"/>
          <w:color w:val="auto"/>
        </w:rPr>
      </w:pPr>
    </w:p>
    <w:p>
      <w:pPr>
        <w:ind w:right="60" w:firstLine="547"/>
        <w:spacing w:after="0" w:line="254" w:lineRule="auto"/>
        <w:rPr>
          <w:sz w:val="20"/>
          <w:szCs w:val="20"/>
          <w:color w:val="auto"/>
        </w:rPr>
      </w:pPr>
      <w:r>
        <w:rPr>
          <w:rFonts w:ascii="Arial" w:cs="Arial" w:eastAsia="Arial" w:hAnsi="Arial"/>
          <w:sz w:val="17"/>
          <w:szCs w:val="17"/>
          <w:color w:val="auto"/>
        </w:rPr>
        <w:t>Net cash used in investing activities was RMB1,186.7 million in 2018, which was primarily attributable to purchase of short-term investments, which mainly included financial products purchased from commercial banks and financial institutions, of RMB4,352.1 million, partially offset by the proceeds from maturity of short-term investments of RMB3,708.8 million.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66" w:lineRule="exact"/>
        <w:rPr>
          <w:sz w:val="20"/>
          <w:szCs w:val="20"/>
          <w:color w:val="auto"/>
        </w:rPr>
      </w:pPr>
    </w:p>
    <w:p>
      <w:pPr>
        <w:ind w:right="140" w:firstLine="547"/>
        <w:spacing w:after="0" w:line="264" w:lineRule="auto"/>
        <w:rPr>
          <w:sz w:val="20"/>
          <w:szCs w:val="20"/>
          <w:color w:val="auto"/>
        </w:rPr>
      </w:pPr>
      <w:r>
        <w:rPr>
          <w:rFonts w:ascii="Arial" w:cs="Arial" w:eastAsia="Arial" w:hAnsi="Arial"/>
          <w:sz w:val="17"/>
          <w:szCs w:val="17"/>
          <w:color w:val="auto"/>
        </w:rPr>
        <w:t>Net cash used in financing activities in 2020 was RMB59.1 million (US$9.1 million), which was primarily attributable to repayment of bank debt of RMB32.5 million (US$5.0 million) and repurchase of Class A ordinary shares of RMB26.6 million (US$4.1 million).</w:t>
      </w:r>
    </w:p>
    <w:p>
      <w:pPr>
        <w:spacing w:after="0" w:line="143" w:lineRule="exact"/>
        <w:rPr>
          <w:sz w:val="20"/>
          <w:szCs w:val="20"/>
          <w:color w:val="auto"/>
        </w:rPr>
      </w:pPr>
    </w:p>
    <w:p>
      <w:pPr>
        <w:ind w:right="520" w:firstLine="547"/>
        <w:spacing w:after="0" w:line="264" w:lineRule="auto"/>
        <w:rPr>
          <w:sz w:val="20"/>
          <w:szCs w:val="20"/>
          <w:color w:val="auto"/>
        </w:rPr>
      </w:pPr>
      <w:r>
        <w:rPr>
          <w:rFonts w:ascii="Arial" w:cs="Arial" w:eastAsia="Arial" w:hAnsi="Arial"/>
          <w:sz w:val="17"/>
          <w:szCs w:val="17"/>
          <w:color w:val="auto"/>
        </w:rPr>
        <w:t>Net cash used in financing activities in 2019 was RMB64.2 million, which was primarily attributable to repayment of bank debt of RMB32.5 million and repurchase of Class A ordinary shares of RMB31.7 million.</w:t>
      </w:r>
    </w:p>
    <w:p>
      <w:pPr>
        <w:spacing w:after="0" w:line="131" w:lineRule="exact"/>
        <w:rPr>
          <w:sz w:val="20"/>
          <w:szCs w:val="20"/>
          <w:color w:val="auto"/>
        </w:rPr>
      </w:pPr>
    </w:p>
    <w:p>
      <w:pPr>
        <w:jc w:val="both"/>
        <w:ind w:right="120" w:firstLine="547"/>
        <w:spacing w:after="0" w:line="254" w:lineRule="auto"/>
        <w:rPr>
          <w:sz w:val="20"/>
          <w:szCs w:val="20"/>
          <w:color w:val="auto"/>
        </w:rPr>
      </w:pPr>
      <w:r>
        <w:rPr>
          <w:rFonts w:ascii="Arial" w:cs="Arial" w:eastAsia="Arial" w:hAnsi="Arial"/>
          <w:sz w:val="17"/>
          <w:szCs w:val="17"/>
          <w:color w:val="auto"/>
        </w:rPr>
        <w:t>Net cash provided by financing activities in 2018 was RMB1,587.3 million, which primarily resulted from (i) proceeds from our initial public offering in 2018, net of issuance cost, of RMB1,109.5 million, (ii) proceeds from related parties of RMB253.7 million and (iii) proceeds from bank loan of RMB260.0 million, partially offset by payment for share repurchase of RMB34.0 million.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07" w:lineRule="exact"/>
        <w:rPr>
          <w:sz w:val="20"/>
          <w:szCs w:val="20"/>
          <w:color w:val="auto"/>
        </w:rPr>
      </w:pPr>
    </w:p>
    <w:p>
      <w:pPr>
        <w:ind w:firstLine="547"/>
        <w:spacing w:after="0" w:line="254" w:lineRule="auto"/>
        <w:rPr>
          <w:sz w:val="20"/>
          <w:szCs w:val="20"/>
          <w:color w:val="auto"/>
        </w:rPr>
      </w:pPr>
      <w:r>
        <w:rPr>
          <w:rFonts w:ascii="Arial" w:cs="Arial" w:eastAsia="Arial" w:hAnsi="Arial"/>
          <w:sz w:val="17"/>
          <w:szCs w:val="17"/>
          <w:color w:val="auto"/>
        </w:rPr>
        <w:t>Our capital expenditures are incurred primarily in connection with purchases of IT infrastructure equipment and buildings necessary to support our operations. Our capital expenditures were RMB518.4 million, RMB25.5 million and RMB27.0 million (US$4.1 million), respectively, for the years ended December 31, 2018, 2019 and 2020.</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Holding Company Structure</w:t>
      </w:r>
    </w:p>
    <w:p>
      <w:pPr>
        <w:spacing w:after="0" w:line="107" w:lineRule="exact"/>
        <w:rPr>
          <w:sz w:val="20"/>
          <w:szCs w:val="20"/>
          <w:color w:val="auto"/>
        </w:rPr>
      </w:pPr>
    </w:p>
    <w:p>
      <w:pPr>
        <w:ind w:right="40" w:firstLine="547"/>
        <w:spacing w:after="0" w:line="304" w:lineRule="auto"/>
        <w:rPr>
          <w:sz w:val="20"/>
          <w:szCs w:val="20"/>
          <w:color w:val="auto"/>
        </w:rPr>
      </w:pPr>
      <w:r>
        <w:rPr>
          <w:rFonts w:ascii="Arial" w:cs="Arial" w:eastAsia="Arial" w:hAnsi="Arial"/>
          <w:sz w:val="15"/>
          <w:szCs w:val="15"/>
          <w:color w:val="auto"/>
        </w:rPr>
        <w:t>Sunlands Technology Group is a holding company with no material operations of its own. We conduct our operations primarily through our subsidiaries and our consolidated VIEs in China. As a result, our ability to pay dividends depends upon dividends paid by our subsidiaries. If our subsidiaries or any newly formed subsidiaries incur debt on their own behalf in the future, the instruments governing their debt may restrict their ability to pay dividends to us.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ind w:left="20" w:right="40" w:firstLine="547"/>
        <w:spacing w:after="0" w:line="264" w:lineRule="auto"/>
        <w:rPr>
          <w:sz w:val="20"/>
          <w:szCs w:val="20"/>
          <w:color w:val="auto"/>
        </w:rPr>
      </w:pPr>
      <w:r>
        <w:rPr>
          <w:rFonts w:ascii="Arial" w:cs="Arial" w:eastAsia="Arial" w:hAnsi="Arial"/>
          <w:sz w:val="16"/>
          <w:szCs w:val="16"/>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our consolidated VIEs in China must make appropriations from their after-tax profit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consolidated VIEs. Appropriation to discretionary surplus fund is made at the discretion of our consolidated VIEs. Pursuant to the law applicable to China’s foreign investment enterprise, our subsidiaries that are foreign investment enterprise in the PRC have to make appropriation from their after-tax profits,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subsidiary’s discretion.</w:t>
      </w:r>
    </w:p>
    <w:p>
      <w:pPr>
        <w:spacing w:after="0" w:line="169" w:lineRule="exact"/>
        <w:rPr>
          <w:sz w:val="20"/>
          <w:szCs w:val="20"/>
          <w:color w:val="auto"/>
        </w:rPr>
      </w:pPr>
    </w:p>
    <w:p>
      <w:pPr>
        <w:ind w:left="20" w:right="20" w:firstLine="547"/>
        <w:spacing w:after="0" w:line="265" w:lineRule="auto"/>
        <w:rPr>
          <w:sz w:val="20"/>
          <w:szCs w:val="20"/>
          <w:color w:val="auto"/>
        </w:rPr>
      </w:pPr>
      <w:r>
        <w:rPr>
          <w:rFonts w:ascii="Arial" w:cs="Arial" w:eastAsia="Arial" w:hAnsi="Arial"/>
          <w:sz w:val="16"/>
          <w:szCs w:val="16"/>
          <w:color w:val="auto"/>
        </w:rPr>
        <w:t>As an offshore holding company, we are permitted under PRC laws and regulations to provide funding from the proceeds of our offshore fund raising activities to our PRC subsidiaries only through loans or capital contributions, and to our consolidated affiliated entity only through loans, in each case subject to the satisfaction of the applicable government registration and reporting, approval requirements. As a result, there is uncertainty with respect to our ability to provide prompt financial support to our PRC subsidiaries and consolidated VIEs when needed. Notwithstanding the foregoing, our PRC subsidiaries may use their own retained earnings (rather than Renminbi converted from foreign currency denominated capital) to provide financial support to our consolidated affiliated entity either through entrustment loans from our PRC subsidiaries to our consolidated VIEs or direct loans to such consolidated affiliated entity’s nominee shareholders, which would be contributed to the consolidated variable entity as capital injections. Such direct loans to the nominee shareholders would be eliminated in our consolidated financial statements against the consolidated affiliated entity’s share capital.</w:t>
      </w:r>
    </w:p>
    <w:p>
      <w:pPr>
        <w:spacing w:after="0" w:line="264"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7"/>
          <w:szCs w:val="17"/>
          <w:b w:val="1"/>
          <w:bCs w:val="1"/>
          <w:color w:val="auto"/>
        </w:rPr>
        <w:t>5.C.</w:t>
      </w:r>
      <w:r>
        <w:rPr>
          <w:sz w:val="20"/>
          <w:szCs w:val="20"/>
          <w:color w:val="auto"/>
        </w:rPr>
        <w:tab/>
      </w:r>
      <w:r>
        <w:rPr>
          <w:rFonts w:ascii="Arial" w:cs="Arial" w:eastAsia="Arial" w:hAnsi="Arial"/>
          <w:sz w:val="13"/>
          <w:szCs w:val="13"/>
          <w:b w:val="1"/>
          <w:bCs w:val="1"/>
          <w:color w:val="auto"/>
        </w:rPr>
        <w:t>Research and Development</w:t>
      </w:r>
    </w:p>
    <w:p>
      <w:pPr>
        <w:spacing w:after="0" w:line="107" w:lineRule="exact"/>
        <w:rPr>
          <w:sz w:val="20"/>
          <w:szCs w:val="20"/>
          <w:color w:val="auto"/>
        </w:rPr>
      </w:pPr>
    </w:p>
    <w:p>
      <w:pPr>
        <w:ind w:left="20" w:right="120" w:firstLine="547"/>
        <w:spacing w:after="0" w:line="296" w:lineRule="auto"/>
        <w:rPr>
          <w:sz w:val="20"/>
          <w:szCs w:val="20"/>
          <w:color w:val="auto"/>
        </w:rPr>
      </w:pPr>
      <w:r>
        <w:rPr>
          <w:rFonts w:ascii="Arial" w:cs="Arial" w:eastAsia="Arial" w:hAnsi="Arial"/>
          <w:sz w:val="16"/>
          <w:szCs w:val="16"/>
          <w:color w:val="auto"/>
        </w:rPr>
        <w:t>We have focused on and will continue to invest in our technology system, which supports all key aspects of our online platform and is designed to optimize for scalability and flexibility. See “Item 4. Information on the Company—4.B. Business Overview—IT Infrastructure and Capabilities.”</w:t>
      </w:r>
    </w:p>
    <w:p>
      <w:pPr>
        <w:spacing w:after="0" w:line="240"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7"/>
          <w:szCs w:val="17"/>
          <w:b w:val="1"/>
          <w:bCs w:val="1"/>
          <w:color w:val="auto"/>
        </w:rPr>
        <w:t>5.D.</w:t>
      </w:r>
      <w:r>
        <w:rPr>
          <w:sz w:val="20"/>
          <w:szCs w:val="20"/>
          <w:color w:val="auto"/>
        </w:rPr>
        <w:tab/>
      </w:r>
      <w:r>
        <w:rPr>
          <w:rFonts w:ascii="Arial" w:cs="Arial" w:eastAsia="Arial" w:hAnsi="Arial"/>
          <w:sz w:val="15"/>
          <w:szCs w:val="15"/>
          <w:b w:val="1"/>
          <w:bCs w:val="1"/>
          <w:color w:val="auto"/>
        </w:rPr>
        <w:t>Trend Information</w:t>
      </w:r>
    </w:p>
    <w:p>
      <w:pPr>
        <w:spacing w:after="0" w:line="107" w:lineRule="exact"/>
        <w:rPr>
          <w:sz w:val="20"/>
          <w:szCs w:val="20"/>
          <w:color w:val="auto"/>
        </w:rPr>
      </w:pPr>
    </w:p>
    <w:p>
      <w:pPr>
        <w:ind w:left="20" w:firstLine="547"/>
        <w:spacing w:after="0" w:line="278" w:lineRule="auto"/>
        <w:rPr>
          <w:sz w:val="20"/>
          <w:szCs w:val="20"/>
          <w:color w:val="auto"/>
        </w:rPr>
      </w:pPr>
      <w:r>
        <w:rPr>
          <w:rFonts w:ascii="Arial" w:cs="Arial" w:eastAsia="Arial" w:hAnsi="Arial"/>
          <w:sz w:val="16"/>
          <w:szCs w:val="16"/>
          <w:color w:val="auto"/>
        </w:rPr>
        <w:t>Other than as disclosed elsewhere in this annual report on Form 20-F, we are not aware of any trends, uncertainties, demands, commitments or events for the year ended December 31, 2020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254"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7"/>
          <w:szCs w:val="17"/>
          <w:b w:val="1"/>
          <w:bCs w:val="1"/>
          <w:color w:val="auto"/>
        </w:rPr>
        <w:t>5.E.</w:t>
      </w:r>
      <w:r>
        <w:rPr>
          <w:sz w:val="20"/>
          <w:szCs w:val="20"/>
          <w:color w:val="auto"/>
        </w:rPr>
        <w:tab/>
      </w:r>
      <w:r>
        <w:rPr>
          <w:rFonts w:ascii="Arial" w:cs="Arial" w:eastAsia="Arial" w:hAnsi="Arial"/>
          <w:sz w:val="13"/>
          <w:szCs w:val="13"/>
          <w:b w:val="1"/>
          <w:bCs w:val="1"/>
          <w:color w:val="auto"/>
        </w:rPr>
        <w:t>Off-Balance Sheet Arrangements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did not have any off-balance sheet arrangements as of December 31, 2020.</w:t>
      </w:r>
    </w:p>
    <w:p>
      <w:pPr>
        <w:spacing w:after="0" w:line="299"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7"/>
          <w:szCs w:val="17"/>
          <w:b w:val="1"/>
          <w:bCs w:val="1"/>
          <w:color w:val="auto"/>
        </w:rPr>
        <w:t>5.F.</w:t>
      </w:r>
      <w:r>
        <w:rPr>
          <w:sz w:val="20"/>
          <w:szCs w:val="20"/>
          <w:color w:val="auto"/>
        </w:rPr>
        <w:tab/>
      </w:r>
      <w:r>
        <w:rPr>
          <w:rFonts w:ascii="Arial" w:cs="Arial" w:eastAsia="Arial" w:hAnsi="Arial"/>
          <w:sz w:val="15"/>
          <w:szCs w:val="15"/>
          <w:b w:val="1"/>
          <w:bCs w:val="1"/>
          <w:color w:val="auto"/>
        </w:rPr>
        <w:t>Tabular Disclosure of Contractual Obligations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our contractual obligations as of December 31, 2020:</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92"/>
              </w:rPr>
              <w:t>Payment due by period</w:t>
            </w:r>
          </w:p>
        </w:tc>
        <w:tc>
          <w:tcPr>
            <w:tcW w:w="1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220" w:type="dxa"/>
            <w:vAlign w:val="bottom"/>
            <w:vMerge w:val="restart"/>
          </w:tcPr>
          <w:p>
            <w:pPr>
              <w:jc w:val="right"/>
              <w:ind w:right="501"/>
              <w:spacing w:after="0"/>
              <w:rPr>
                <w:sz w:val="20"/>
                <w:szCs w:val="20"/>
                <w:color w:val="auto"/>
              </w:rPr>
            </w:pPr>
            <w:r>
              <w:rPr>
                <w:rFonts w:ascii="Arial" w:cs="Arial" w:eastAsia="Arial" w:hAnsi="Arial"/>
                <w:sz w:val="13"/>
                <w:szCs w:val="13"/>
                <w:b w:val="1"/>
                <w:bCs w:val="1"/>
                <w:color w:val="auto"/>
              </w:rPr>
              <w:t>Total</w:t>
            </w:r>
          </w:p>
        </w:tc>
        <w:tc>
          <w:tcPr>
            <w:tcW w:w="1040" w:type="dxa"/>
            <w:vAlign w:val="bottom"/>
          </w:tcPr>
          <w:p>
            <w:pPr>
              <w:jc w:val="right"/>
              <w:ind w:right="204"/>
              <w:spacing w:after="0" w:line="122" w:lineRule="exact"/>
              <w:rPr>
                <w:sz w:val="20"/>
                <w:szCs w:val="20"/>
                <w:color w:val="auto"/>
              </w:rPr>
            </w:pPr>
            <w:r>
              <w:rPr>
                <w:rFonts w:ascii="Arial" w:cs="Arial" w:eastAsia="Arial" w:hAnsi="Arial"/>
                <w:sz w:val="13"/>
                <w:szCs w:val="13"/>
                <w:b w:val="1"/>
                <w:bCs w:val="1"/>
                <w:color w:val="auto"/>
              </w:rPr>
              <w:t>Less than</w:t>
            </w:r>
          </w:p>
        </w:tc>
        <w:tc>
          <w:tcPr>
            <w:tcW w:w="1500" w:type="dxa"/>
            <w:vAlign w:val="bottom"/>
            <w:vMerge w:val="restart"/>
          </w:tcPr>
          <w:p>
            <w:pPr>
              <w:jc w:val="center"/>
              <w:ind w:right="65"/>
              <w:spacing w:after="0"/>
              <w:rPr>
                <w:sz w:val="20"/>
                <w:szCs w:val="20"/>
                <w:color w:val="auto"/>
              </w:rPr>
            </w:pPr>
            <w:r>
              <w:rPr>
                <w:rFonts w:ascii="Arial" w:cs="Arial" w:eastAsia="Arial" w:hAnsi="Arial"/>
                <w:sz w:val="13"/>
                <w:szCs w:val="13"/>
                <w:b w:val="1"/>
                <w:bCs w:val="1"/>
                <w:color w:val="auto"/>
                <w:w w:val="92"/>
              </w:rPr>
              <w:t>1-3 years</w:t>
            </w:r>
          </w:p>
        </w:tc>
        <w:tc>
          <w:tcPr>
            <w:tcW w:w="114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3-5 years</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40" w:type="dxa"/>
            <w:vAlign w:val="bottom"/>
          </w:tcPr>
          <w:p>
            <w:pPr>
              <w:jc w:val="right"/>
              <w:ind w:right="304"/>
              <w:spacing w:after="0"/>
              <w:rPr>
                <w:sz w:val="20"/>
                <w:szCs w:val="20"/>
                <w:color w:val="auto"/>
              </w:rPr>
            </w:pPr>
            <w:r>
              <w:rPr>
                <w:rFonts w:ascii="Arial" w:cs="Arial" w:eastAsia="Arial" w:hAnsi="Arial"/>
                <w:sz w:val="13"/>
                <w:szCs w:val="13"/>
                <w:b w:val="1"/>
                <w:bCs w:val="1"/>
                <w:color w:val="auto"/>
              </w:rPr>
              <w:t>1 year</w:t>
            </w:r>
          </w:p>
        </w:tc>
        <w:tc>
          <w:tcPr>
            <w:tcW w:w="15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center"/>
              <w:ind w:right="25"/>
              <w:spacing w:after="0" w:line="142" w:lineRule="exact"/>
              <w:rPr>
                <w:sz w:val="20"/>
                <w:szCs w:val="20"/>
                <w:color w:val="auto"/>
              </w:rPr>
            </w:pPr>
            <w:r>
              <w:rPr>
                <w:rFonts w:ascii="Arial" w:cs="Arial" w:eastAsia="Arial" w:hAnsi="Arial"/>
                <w:sz w:val="13"/>
                <w:szCs w:val="13"/>
                <w:b w:val="1"/>
                <w:bCs w:val="1"/>
                <w:color w:val="auto"/>
                <w:w w:val="94"/>
              </w:rPr>
              <w:t>(in RMB thousands)</w:t>
            </w:r>
          </w:p>
        </w:tc>
        <w:tc>
          <w:tcPr>
            <w:tcW w:w="1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commitment</w:t>
            </w:r>
            <w:r>
              <w:rPr>
                <w:rFonts w:ascii="Arial" w:cs="Arial" w:eastAsia="Arial" w:hAnsi="Arial"/>
                <w:sz w:val="14"/>
                <w:szCs w:val="14"/>
                <w:color w:val="auto"/>
              </w:rPr>
              <w:t>(1)</w:t>
            </w:r>
          </w:p>
        </w:tc>
        <w:tc>
          <w:tcPr>
            <w:tcW w:w="1220" w:type="dxa"/>
            <w:vAlign w:val="bottom"/>
            <w:shd w:val="clear" w:color="auto" w:fill="CFF0FC"/>
          </w:tcPr>
          <w:p>
            <w:pPr>
              <w:jc w:val="right"/>
              <w:ind w:right="141"/>
              <w:spacing w:after="0"/>
              <w:rPr>
                <w:sz w:val="20"/>
                <w:szCs w:val="20"/>
                <w:color w:val="auto"/>
              </w:rPr>
            </w:pPr>
            <w:r>
              <w:rPr>
                <w:rFonts w:ascii="Arial" w:cs="Arial" w:eastAsia="Arial" w:hAnsi="Arial"/>
                <w:sz w:val="17"/>
                <w:szCs w:val="17"/>
                <w:color w:val="auto"/>
              </w:rPr>
              <w:t>852,819</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29,800</w:t>
            </w:r>
          </w:p>
        </w:tc>
        <w:tc>
          <w:tcPr>
            <w:tcW w:w="1500" w:type="dxa"/>
            <w:vAlign w:val="bottom"/>
            <w:shd w:val="clear" w:color="auto" w:fill="CFF0FC"/>
          </w:tcPr>
          <w:p>
            <w:pPr>
              <w:jc w:val="right"/>
              <w:ind w:right="245"/>
              <w:spacing w:after="0"/>
              <w:rPr>
                <w:sz w:val="20"/>
                <w:szCs w:val="20"/>
                <w:color w:val="auto"/>
              </w:rPr>
            </w:pPr>
            <w:r>
              <w:rPr>
                <w:rFonts w:ascii="Arial" w:cs="Arial" w:eastAsia="Arial" w:hAnsi="Arial"/>
                <w:sz w:val="17"/>
                <w:szCs w:val="17"/>
                <w:color w:val="auto"/>
              </w:rPr>
              <w:t>62,331</w:t>
            </w:r>
          </w:p>
        </w:tc>
        <w:tc>
          <w:tcPr>
            <w:tcW w:w="1140" w:type="dxa"/>
            <w:vAlign w:val="bottom"/>
            <w:shd w:val="clear" w:color="auto" w:fill="CFF0FC"/>
          </w:tcPr>
          <w:p>
            <w:pPr>
              <w:jc w:val="right"/>
              <w:ind w:right="141"/>
              <w:spacing w:after="0"/>
              <w:rPr>
                <w:sz w:val="20"/>
                <w:szCs w:val="20"/>
                <w:color w:val="auto"/>
              </w:rPr>
            </w:pPr>
            <w:r>
              <w:rPr>
                <w:rFonts w:ascii="Arial" w:cs="Arial" w:eastAsia="Arial" w:hAnsi="Arial"/>
                <w:sz w:val="17"/>
                <w:szCs w:val="17"/>
                <w:color w:val="auto"/>
              </w:rPr>
              <w:t>80,881</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679,807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Investment commitment</w:t>
            </w:r>
            <w:r>
              <w:rPr>
                <w:rFonts w:ascii="Arial" w:cs="Arial" w:eastAsia="Arial" w:hAnsi="Arial"/>
                <w:sz w:val="14"/>
                <w:szCs w:val="14"/>
                <w:color w:val="auto"/>
              </w:rPr>
              <w:t>(2)</w:t>
            </w:r>
          </w:p>
        </w:tc>
        <w:tc>
          <w:tcPr>
            <w:tcW w:w="1220" w:type="dxa"/>
            <w:vAlign w:val="bottom"/>
          </w:tcPr>
          <w:p>
            <w:pPr>
              <w:jc w:val="right"/>
              <w:ind w:right="141"/>
              <w:spacing w:after="0"/>
              <w:rPr>
                <w:sz w:val="20"/>
                <w:szCs w:val="20"/>
                <w:color w:val="auto"/>
              </w:rPr>
            </w:pPr>
            <w:r>
              <w:rPr>
                <w:rFonts w:ascii="Arial" w:cs="Arial" w:eastAsia="Arial" w:hAnsi="Arial"/>
                <w:sz w:val="17"/>
                <w:szCs w:val="17"/>
                <w:color w:val="auto"/>
              </w:rPr>
              <w:t>9,840</w:t>
            </w:r>
          </w:p>
        </w:tc>
        <w:tc>
          <w:tcPr>
            <w:tcW w:w="1040" w:type="dxa"/>
            <w:vAlign w:val="bottom"/>
          </w:tcPr>
          <w:p>
            <w:pPr>
              <w:jc w:val="right"/>
              <w:spacing w:after="0"/>
              <w:rPr>
                <w:sz w:val="20"/>
                <w:szCs w:val="20"/>
                <w:color w:val="auto"/>
              </w:rPr>
            </w:pPr>
            <w:r>
              <w:rPr>
                <w:rFonts w:ascii="Arial" w:cs="Arial" w:eastAsia="Arial" w:hAnsi="Arial"/>
                <w:sz w:val="17"/>
                <w:szCs w:val="17"/>
                <w:color w:val="auto"/>
              </w:rPr>
              <w:t>9,840</w:t>
            </w:r>
          </w:p>
        </w:tc>
        <w:tc>
          <w:tcPr>
            <w:tcW w:w="1500" w:type="dxa"/>
            <w:vAlign w:val="bottom"/>
          </w:tcPr>
          <w:p>
            <w:pPr>
              <w:jc w:val="right"/>
              <w:ind w:right="24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41"/>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Debt commitment</w:t>
            </w:r>
            <w:r>
              <w:rPr>
                <w:rFonts w:ascii="Arial" w:cs="Arial" w:eastAsia="Arial" w:hAnsi="Arial"/>
                <w:sz w:val="14"/>
                <w:szCs w:val="14"/>
                <w:color w:val="auto"/>
              </w:rPr>
              <w:t>(3)</w:t>
            </w:r>
          </w:p>
        </w:tc>
        <w:tc>
          <w:tcPr>
            <w:tcW w:w="1220" w:type="dxa"/>
            <w:vAlign w:val="bottom"/>
            <w:shd w:val="clear" w:color="auto" w:fill="CFF0FC"/>
          </w:tcPr>
          <w:p>
            <w:pPr>
              <w:jc w:val="right"/>
              <w:ind w:right="141"/>
              <w:spacing w:after="0"/>
              <w:rPr>
                <w:sz w:val="20"/>
                <w:szCs w:val="20"/>
                <w:color w:val="auto"/>
              </w:rPr>
            </w:pPr>
            <w:r>
              <w:rPr>
                <w:rFonts w:ascii="Arial" w:cs="Arial" w:eastAsia="Arial" w:hAnsi="Arial"/>
                <w:sz w:val="17"/>
                <w:szCs w:val="17"/>
                <w:color w:val="auto"/>
              </w:rPr>
              <w:t>225,332</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42,261</w:t>
            </w:r>
          </w:p>
        </w:tc>
        <w:tc>
          <w:tcPr>
            <w:tcW w:w="1500" w:type="dxa"/>
            <w:vAlign w:val="bottom"/>
            <w:shd w:val="clear" w:color="auto" w:fill="CFF0FC"/>
          </w:tcPr>
          <w:p>
            <w:pPr>
              <w:jc w:val="right"/>
              <w:ind w:right="245"/>
              <w:spacing w:after="0"/>
              <w:rPr>
                <w:sz w:val="20"/>
                <w:szCs w:val="20"/>
                <w:color w:val="auto"/>
              </w:rPr>
            </w:pPr>
            <w:r>
              <w:rPr>
                <w:rFonts w:ascii="Arial" w:cs="Arial" w:eastAsia="Arial" w:hAnsi="Arial"/>
                <w:sz w:val="17"/>
                <w:szCs w:val="17"/>
                <w:color w:val="auto"/>
              </w:rPr>
              <w:t>79,262</w:t>
            </w:r>
          </w:p>
        </w:tc>
        <w:tc>
          <w:tcPr>
            <w:tcW w:w="1140" w:type="dxa"/>
            <w:vAlign w:val="bottom"/>
            <w:shd w:val="clear" w:color="auto" w:fill="CFF0FC"/>
          </w:tcPr>
          <w:p>
            <w:pPr>
              <w:jc w:val="right"/>
              <w:ind w:right="141"/>
              <w:spacing w:after="0"/>
              <w:rPr>
                <w:sz w:val="20"/>
                <w:szCs w:val="20"/>
                <w:color w:val="auto"/>
              </w:rPr>
            </w:pPr>
            <w:r>
              <w:rPr>
                <w:rFonts w:ascii="Arial" w:cs="Arial" w:eastAsia="Arial" w:hAnsi="Arial"/>
                <w:sz w:val="17"/>
                <w:szCs w:val="17"/>
                <w:color w:val="auto"/>
              </w:rPr>
              <w:t>72,261</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79375</wp:posOffset>
            </wp:positionV>
            <wp:extent cx="25336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3365" cy="7620"/>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Note:</w:t>
      </w:r>
    </w:p>
    <w:p>
      <w:pPr>
        <w:spacing w:after="0" w:line="16" w:lineRule="exact"/>
        <w:rPr>
          <w:sz w:val="20"/>
          <w:szCs w:val="20"/>
          <w:color w:val="auto"/>
        </w:rPr>
      </w:pPr>
    </w:p>
    <w:p>
      <w:pPr>
        <w:ind w:left="560" w:hanging="540"/>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minimum payments under non-cancelable operating leases related to offices.</w:t>
      </w:r>
    </w:p>
    <w:p>
      <w:pPr>
        <w:spacing w:after="0" w:line="3" w:lineRule="exact"/>
        <w:rPr>
          <w:rFonts w:ascii="Arial" w:cs="Arial" w:eastAsia="Arial" w:hAnsi="Arial"/>
          <w:sz w:val="17"/>
          <w:szCs w:val="17"/>
          <w:color w:val="auto"/>
        </w:rPr>
      </w:pPr>
    </w:p>
    <w:p>
      <w:pPr>
        <w:ind w:left="560" w:hanging="540"/>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commitments in connection with long-term investments as of December 31, 2020.</w:t>
      </w:r>
    </w:p>
    <w:p>
      <w:pPr>
        <w:spacing w:after="0" w:line="3" w:lineRule="exact"/>
        <w:rPr>
          <w:rFonts w:ascii="Arial" w:cs="Arial" w:eastAsia="Arial" w:hAnsi="Arial"/>
          <w:sz w:val="17"/>
          <w:szCs w:val="17"/>
          <w:color w:val="auto"/>
        </w:rPr>
      </w:pPr>
    </w:p>
    <w:p>
      <w:pPr>
        <w:ind w:left="560" w:hanging="540"/>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commitments in connection with the debt including unpaid interest payment as of December 31, 2020.</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6851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326" w:right="339" w:bottom="1440" w:gutter="0" w:footer="0" w:header="0"/>
        </w:sectPr>
      </w:pPr>
    </w:p>
    <w:bookmarkStart w:id="86" w:name="page87"/>
    <w:bookmarkEnd w:id="86"/>
    <w:p>
      <w:pPr>
        <w:ind w:left="540"/>
        <w:spacing w:after="0"/>
        <w:rPr>
          <w:sz w:val="20"/>
          <w:szCs w:val="20"/>
          <w:color w:val="auto"/>
        </w:rPr>
      </w:pPr>
      <w:r>
        <w:rPr>
          <w:rFonts w:ascii="Arial" w:cs="Arial" w:eastAsia="Arial" w:hAnsi="Arial"/>
          <w:sz w:val="15"/>
          <w:szCs w:val="15"/>
          <w:color w:val="auto"/>
        </w:rPr>
        <w:t>Other than those shown above, we did not have any significant capital and other commitments, long-term obligations, or guarantees as of December 31, 2020.</w:t>
      </w: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5.G.</w:t>
      </w:r>
      <w:r>
        <w:rPr>
          <w:sz w:val="20"/>
          <w:szCs w:val="20"/>
          <w:color w:val="auto"/>
        </w:rPr>
        <w:tab/>
      </w:r>
      <w:r>
        <w:rPr>
          <w:rFonts w:ascii="Arial" w:cs="Arial" w:eastAsia="Arial" w:hAnsi="Arial"/>
          <w:sz w:val="15"/>
          <w:szCs w:val="15"/>
          <w:b w:val="1"/>
          <w:bCs w:val="1"/>
          <w:color w:val="auto"/>
        </w:rPr>
        <w:t>Safe harbor</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See “Forward-Looking Information.”</w:t>
      </w:r>
    </w:p>
    <w:p>
      <w:pPr>
        <w:spacing w:after="0" w:line="29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0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6.A.</w:t>
      </w:r>
      <w:r>
        <w:rPr>
          <w:sz w:val="20"/>
          <w:szCs w:val="20"/>
          <w:color w:val="auto"/>
        </w:rPr>
        <w:tab/>
      </w:r>
      <w:r>
        <w:rPr>
          <w:rFonts w:ascii="Arial" w:cs="Arial" w:eastAsia="Arial" w:hAnsi="Arial"/>
          <w:sz w:val="15"/>
          <w:szCs w:val="15"/>
          <w:b w:val="1"/>
          <w:bCs w:val="1"/>
          <w:color w:val="auto"/>
        </w:rPr>
        <w:t>Directors and Senior Management</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sets forth the name, age and position of each of our directors and executive officers as of the date of this annual report.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400" w:type="dxa"/>
            <w:vAlign w:val="bottom"/>
            <w:tcBorders>
              <w:bottom w:val="single" w:sz="8" w:color="auto"/>
            </w:tcBorders>
          </w:tcPr>
          <w:p>
            <w:pPr>
              <w:ind w:left="1260"/>
              <w:spacing w:after="0"/>
              <w:rPr>
                <w:sz w:val="20"/>
                <w:szCs w:val="20"/>
                <w:color w:val="auto"/>
              </w:rPr>
            </w:pPr>
            <w:r>
              <w:rPr>
                <w:rFonts w:ascii="Arial" w:cs="Arial" w:eastAsia="Arial" w:hAnsi="Arial"/>
                <w:sz w:val="13"/>
                <w:szCs w:val="13"/>
                <w:b w:val="1"/>
                <w:bCs w:val="1"/>
                <w:color w:val="auto"/>
              </w:rPr>
              <w:t>Directors and Executive Officers</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180" w:type="dxa"/>
            <w:vAlign w:val="bottom"/>
          </w:tcPr>
          <w:p>
            <w:pPr>
              <w:spacing w:after="0"/>
              <w:rPr>
                <w:sz w:val="14"/>
                <w:szCs w:val="14"/>
                <w:color w:val="auto"/>
              </w:rPr>
            </w:pPr>
          </w:p>
        </w:tc>
        <w:tc>
          <w:tcPr>
            <w:tcW w:w="5620" w:type="dxa"/>
            <w:vAlign w:val="bottom"/>
            <w:tcBorders>
              <w:bottom w:val="single" w:sz="8" w:color="auto"/>
            </w:tcBorders>
          </w:tcPr>
          <w:p>
            <w:pPr>
              <w:ind w:left="2440"/>
              <w:spacing w:after="0"/>
              <w:rPr>
                <w:sz w:val="20"/>
                <w:szCs w:val="20"/>
                <w:color w:val="auto"/>
              </w:rPr>
            </w:pPr>
            <w:r>
              <w:rPr>
                <w:rFonts w:ascii="Arial" w:cs="Arial" w:eastAsia="Arial" w:hAnsi="Arial"/>
                <w:sz w:val="13"/>
                <w:szCs w:val="13"/>
                <w:b w:val="1"/>
                <w:bCs w:val="1"/>
                <w:color w:val="auto"/>
              </w:rPr>
              <w:t>Position/Title</w:t>
            </w:r>
          </w:p>
        </w:tc>
      </w:tr>
      <w:tr>
        <w:trPr>
          <w:trHeight w:val="192"/>
        </w:trPr>
        <w:tc>
          <w:tcPr>
            <w:tcW w:w="20" w:type="dxa"/>
            <w:vAlign w:val="bottom"/>
          </w:tcPr>
          <w:p>
            <w:pPr>
              <w:spacing w:after="0"/>
              <w:rPr>
                <w:sz w:val="16"/>
                <w:szCs w:val="16"/>
                <w:color w:val="auto"/>
              </w:rPr>
            </w:pPr>
          </w:p>
        </w:tc>
        <w:tc>
          <w:tcPr>
            <w:tcW w:w="440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Peng Ou (also known as Jianhong Yin)</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center"/>
              <w:spacing w:after="0" w:line="192" w:lineRule="exact"/>
              <w:rPr>
                <w:sz w:val="20"/>
                <w:szCs w:val="20"/>
                <w:color w:val="auto"/>
              </w:rPr>
            </w:pPr>
            <w:r>
              <w:rPr>
                <w:rFonts w:ascii="Arial" w:cs="Arial" w:eastAsia="Arial" w:hAnsi="Arial"/>
                <w:sz w:val="17"/>
                <w:szCs w:val="17"/>
                <w:color w:val="auto"/>
                <w:w w:val="84"/>
              </w:rPr>
              <w:t>43</w:t>
            </w:r>
          </w:p>
        </w:tc>
        <w:tc>
          <w:tcPr>
            <w:tcW w:w="180" w:type="dxa"/>
            <w:vAlign w:val="bottom"/>
            <w:shd w:val="clear" w:color="auto" w:fill="CFF0FC"/>
          </w:tcPr>
          <w:p>
            <w:pPr>
              <w:spacing w:after="0"/>
              <w:rPr>
                <w:sz w:val="16"/>
                <w:szCs w:val="16"/>
                <w:color w:val="auto"/>
              </w:rPr>
            </w:pPr>
          </w:p>
        </w:tc>
        <w:tc>
          <w:tcPr>
            <w:tcW w:w="562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Founder, Chairman, Director</w:t>
            </w:r>
          </w:p>
        </w:tc>
      </w:tr>
      <w:tr>
        <w:trPr>
          <w:trHeight w:val="199"/>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Tongbo Liu</w:t>
            </w:r>
          </w:p>
        </w:tc>
        <w:tc>
          <w:tcPr>
            <w:tcW w:w="1020" w:type="dxa"/>
            <w:vAlign w:val="bottom"/>
            <w:gridSpan w:val="2"/>
          </w:tcPr>
          <w:p>
            <w:pPr>
              <w:jc w:val="center"/>
              <w:ind w:left="97"/>
              <w:spacing w:after="0"/>
              <w:rPr>
                <w:sz w:val="20"/>
                <w:szCs w:val="20"/>
                <w:color w:val="auto"/>
              </w:rPr>
            </w:pPr>
            <w:r>
              <w:rPr>
                <w:rFonts w:ascii="Arial" w:cs="Arial" w:eastAsia="Arial" w:hAnsi="Arial"/>
                <w:sz w:val="17"/>
                <w:szCs w:val="17"/>
                <w:color w:val="auto"/>
                <w:w w:val="84"/>
              </w:rPr>
              <w:t>34</w:t>
            </w:r>
          </w:p>
        </w:tc>
        <w:tc>
          <w:tcPr>
            <w:tcW w:w="18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Chief Executive Officer, Director</w:t>
            </w:r>
          </w:p>
        </w:tc>
      </w:tr>
      <w:tr>
        <w:trPr>
          <w:trHeight w:val="199"/>
        </w:trPr>
        <w:tc>
          <w:tcPr>
            <w:tcW w:w="20" w:type="dxa"/>
            <w:vAlign w:val="bottom"/>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Lv Lu</w:t>
            </w:r>
          </w:p>
        </w:tc>
        <w:tc>
          <w:tcPr>
            <w:tcW w:w="1020" w:type="dxa"/>
            <w:vAlign w:val="bottom"/>
            <w:gridSpan w:val="2"/>
            <w:shd w:val="clear" w:color="auto" w:fill="CFF0FC"/>
          </w:tcPr>
          <w:p>
            <w:pPr>
              <w:jc w:val="center"/>
              <w:ind w:left="97"/>
              <w:spacing w:after="0"/>
              <w:rPr>
                <w:sz w:val="20"/>
                <w:szCs w:val="20"/>
                <w:color w:val="auto"/>
              </w:rPr>
            </w:pPr>
            <w:r>
              <w:rPr>
                <w:rFonts w:ascii="Arial" w:cs="Arial" w:eastAsia="Arial" w:hAnsi="Arial"/>
                <w:sz w:val="17"/>
                <w:szCs w:val="17"/>
                <w:color w:val="auto"/>
                <w:w w:val="84"/>
              </w:rPr>
              <w:t>37</w:t>
            </w:r>
          </w:p>
        </w:tc>
        <w:tc>
          <w:tcPr>
            <w:tcW w:w="180" w:type="dxa"/>
            <w:vAlign w:val="bottom"/>
            <w:shd w:val="clear" w:color="auto" w:fill="CFF0FC"/>
          </w:tcPr>
          <w:p>
            <w:pPr>
              <w:spacing w:after="0"/>
              <w:rPr>
                <w:sz w:val="17"/>
                <w:szCs w:val="17"/>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7"/>
                <w:szCs w:val="17"/>
                <w:color w:val="auto"/>
              </w:rPr>
              <w:t>Chief Financial Officer, Chief Strategy Officer, Director</w:t>
            </w:r>
          </w:p>
        </w:tc>
      </w:tr>
      <w:tr>
        <w:trPr>
          <w:trHeight w:val="199"/>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Zheng Du</w:t>
            </w:r>
          </w:p>
        </w:tc>
        <w:tc>
          <w:tcPr>
            <w:tcW w:w="1020" w:type="dxa"/>
            <w:vAlign w:val="bottom"/>
            <w:gridSpan w:val="2"/>
          </w:tcPr>
          <w:p>
            <w:pPr>
              <w:jc w:val="center"/>
              <w:ind w:left="97"/>
              <w:spacing w:after="0"/>
              <w:rPr>
                <w:sz w:val="20"/>
                <w:szCs w:val="20"/>
                <w:color w:val="auto"/>
              </w:rPr>
            </w:pPr>
            <w:r>
              <w:rPr>
                <w:rFonts w:ascii="Arial" w:cs="Arial" w:eastAsia="Arial" w:hAnsi="Arial"/>
                <w:sz w:val="17"/>
                <w:szCs w:val="17"/>
                <w:color w:val="auto"/>
                <w:w w:val="84"/>
              </w:rPr>
              <w:t>37</w:t>
            </w:r>
          </w:p>
        </w:tc>
        <w:tc>
          <w:tcPr>
            <w:tcW w:w="18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Chief Operating Officer</w:t>
            </w:r>
          </w:p>
        </w:tc>
      </w:tr>
      <w:tr>
        <w:trPr>
          <w:trHeight w:val="199"/>
        </w:trPr>
        <w:tc>
          <w:tcPr>
            <w:tcW w:w="20" w:type="dxa"/>
            <w:vAlign w:val="bottom"/>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Jing Gao</w:t>
            </w:r>
          </w:p>
        </w:tc>
        <w:tc>
          <w:tcPr>
            <w:tcW w:w="1020" w:type="dxa"/>
            <w:vAlign w:val="bottom"/>
            <w:gridSpan w:val="2"/>
            <w:shd w:val="clear" w:color="auto" w:fill="CFF0FC"/>
          </w:tcPr>
          <w:p>
            <w:pPr>
              <w:jc w:val="center"/>
              <w:ind w:left="97"/>
              <w:spacing w:after="0"/>
              <w:rPr>
                <w:sz w:val="20"/>
                <w:szCs w:val="20"/>
                <w:color w:val="auto"/>
              </w:rPr>
            </w:pPr>
            <w:r>
              <w:rPr>
                <w:rFonts w:ascii="Arial" w:cs="Arial" w:eastAsia="Arial" w:hAnsi="Arial"/>
                <w:sz w:val="17"/>
                <w:szCs w:val="17"/>
                <w:color w:val="auto"/>
                <w:w w:val="84"/>
              </w:rPr>
              <w:t>36</w:t>
            </w:r>
          </w:p>
        </w:tc>
        <w:tc>
          <w:tcPr>
            <w:tcW w:w="180" w:type="dxa"/>
            <w:vAlign w:val="bottom"/>
            <w:shd w:val="clear" w:color="auto" w:fill="CFF0FC"/>
          </w:tcPr>
          <w:p>
            <w:pPr>
              <w:spacing w:after="0"/>
              <w:rPr>
                <w:sz w:val="17"/>
                <w:szCs w:val="17"/>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7"/>
                <w:szCs w:val="17"/>
                <w:color w:val="auto"/>
              </w:rPr>
              <w:t>Vice President, Director</w:t>
            </w:r>
          </w:p>
        </w:tc>
      </w:tr>
      <w:tr>
        <w:trPr>
          <w:trHeight w:val="199"/>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Yang Wang</w:t>
            </w:r>
          </w:p>
        </w:tc>
        <w:tc>
          <w:tcPr>
            <w:tcW w:w="1020" w:type="dxa"/>
            <w:vAlign w:val="bottom"/>
            <w:gridSpan w:val="2"/>
          </w:tcPr>
          <w:p>
            <w:pPr>
              <w:jc w:val="center"/>
              <w:ind w:left="97"/>
              <w:spacing w:after="0"/>
              <w:rPr>
                <w:sz w:val="20"/>
                <w:szCs w:val="20"/>
                <w:color w:val="auto"/>
              </w:rPr>
            </w:pPr>
            <w:r>
              <w:rPr>
                <w:rFonts w:ascii="Arial" w:cs="Arial" w:eastAsia="Arial" w:hAnsi="Arial"/>
                <w:sz w:val="17"/>
                <w:szCs w:val="17"/>
                <w:color w:val="auto"/>
                <w:w w:val="84"/>
              </w:rPr>
              <w:t>46</w:t>
            </w:r>
          </w:p>
        </w:tc>
        <w:tc>
          <w:tcPr>
            <w:tcW w:w="18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Director</w:t>
            </w:r>
          </w:p>
        </w:tc>
      </w:tr>
      <w:tr>
        <w:trPr>
          <w:trHeight w:val="199"/>
        </w:trPr>
        <w:tc>
          <w:tcPr>
            <w:tcW w:w="20" w:type="dxa"/>
            <w:vAlign w:val="bottom"/>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Zheng Zhao (also known as Ching Chiu)</w:t>
            </w:r>
          </w:p>
        </w:tc>
        <w:tc>
          <w:tcPr>
            <w:tcW w:w="1020" w:type="dxa"/>
            <w:vAlign w:val="bottom"/>
            <w:gridSpan w:val="2"/>
            <w:shd w:val="clear" w:color="auto" w:fill="CFF0FC"/>
          </w:tcPr>
          <w:p>
            <w:pPr>
              <w:jc w:val="center"/>
              <w:ind w:left="97"/>
              <w:spacing w:after="0"/>
              <w:rPr>
                <w:sz w:val="20"/>
                <w:szCs w:val="20"/>
                <w:color w:val="auto"/>
              </w:rPr>
            </w:pPr>
            <w:r>
              <w:rPr>
                <w:rFonts w:ascii="Arial" w:cs="Arial" w:eastAsia="Arial" w:hAnsi="Arial"/>
                <w:sz w:val="17"/>
                <w:szCs w:val="17"/>
                <w:color w:val="auto"/>
                <w:w w:val="84"/>
              </w:rPr>
              <w:t>42</w:t>
            </w:r>
          </w:p>
        </w:tc>
        <w:tc>
          <w:tcPr>
            <w:tcW w:w="180" w:type="dxa"/>
            <w:vAlign w:val="bottom"/>
            <w:shd w:val="clear" w:color="auto" w:fill="CFF0FC"/>
          </w:tcPr>
          <w:p>
            <w:pPr>
              <w:spacing w:after="0"/>
              <w:rPr>
                <w:sz w:val="17"/>
                <w:szCs w:val="17"/>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7"/>
                <w:szCs w:val="17"/>
                <w:color w:val="auto"/>
              </w:rPr>
              <w:t>Independent Director</w:t>
            </w: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Yifan Li</w:t>
            </w:r>
          </w:p>
        </w:tc>
        <w:tc>
          <w:tcPr>
            <w:tcW w:w="1020" w:type="dxa"/>
            <w:vAlign w:val="bottom"/>
            <w:gridSpan w:val="2"/>
          </w:tcPr>
          <w:p>
            <w:pPr>
              <w:jc w:val="center"/>
              <w:ind w:left="97"/>
              <w:spacing w:after="0"/>
              <w:rPr>
                <w:sz w:val="20"/>
                <w:szCs w:val="20"/>
                <w:color w:val="auto"/>
              </w:rPr>
            </w:pPr>
            <w:r>
              <w:rPr>
                <w:rFonts w:ascii="Arial" w:cs="Arial" w:eastAsia="Arial" w:hAnsi="Arial"/>
                <w:sz w:val="17"/>
                <w:szCs w:val="17"/>
                <w:color w:val="auto"/>
                <w:w w:val="84"/>
              </w:rPr>
              <w:t>53</w:t>
            </w: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Independent Director</w:t>
            </w:r>
          </w:p>
        </w:tc>
      </w:tr>
    </w:tbl>
    <w:p>
      <w:pPr>
        <w:spacing w:after="0" w:line="374" w:lineRule="exact"/>
        <w:rPr>
          <w:sz w:val="20"/>
          <w:szCs w:val="20"/>
          <w:color w:val="auto"/>
        </w:rPr>
      </w:pPr>
    </w:p>
    <w:p>
      <w:pPr>
        <w:jc w:val="both"/>
        <w:ind w:right="360" w:firstLine="547"/>
        <w:spacing w:after="0" w:line="254" w:lineRule="auto"/>
        <w:rPr>
          <w:sz w:val="20"/>
          <w:szCs w:val="20"/>
          <w:color w:val="auto"/>
        </w:rPr>
      </w:pPr>
      <w:r>
        <w:rPr>
          <w:rFonts w:ascii="Arial" w:cs="Arial" w:eastAsia="Arial" w:hAnsi="Arial"/>
          <w:sz w:val="17"/>
          <w:szCs w:val="17"/>
          <w:i w:val="1"/>
          <w:iCs w:val="1"/>
          <w:color w:val="auto"/>
        </w:rPr>
        <w:t xml:space="preserve">Peng Ou </w:t>
      </w:r>
      <w:r>
        <w:rPr>
          <w:rFonts w:ascii="Arial" w:cs="Arial" w:eastAsia="Arial" w:hAnsi="Arial"/>
          <w:sz w:val="17"/>
          <w:szCs w:val="17"/>
          <w:color w:val="auto"/>
        </w:rPr>
        <w:t>is our Founder and the Chairman of our Board of Directors. Mr. Peng Ou is the key architect of our success and has led us to the achievement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our milestones and transformations, including the transition of our business from an offline to an online education model. Mr. Ou received his bachelor’s degree in marketing from Renmin University in 2000.</w:t>
      </w:r>
    </w:p>
    <w:p>
      <w:pPr>
        <w:spacing w:after="0" w:line="177" w:lineRule="exact"/>
        <w:rPr>
          <w:sz w:val="20"/>
          <w:szCs w:val="20"/>
          <w:color w:val="auto"/>
        </w:rPr>
      </w:pPr>
    </w:p>
    <w:p>
      <w:pPr>
        <w:ind w:right="240" w:firstLine="547"/>
        <w:spacing w:after="0" w:line="254" w:lineRule="auto"/>
        <w:rPr>
          <w:sz w:val="20"/>
          <w:szCs w:val="20"/>
          <w:color w:val="auto"/>
        </w:rPr>
      </w:pPr>
      <w:r>
        <w:rPr>
          <w:rFonts w:ascii="Arial" w:cs="Arial" w:eastAsia="Arial" w:hAnsi="Arial"/>
          <w:sz w:val="17"/>
          <w:szCs w:val="17"/>
          <w:i w:val="1"/>
          <w:iCs w:val="1"/>
          <w:color w:val="auto"/>
        </w:rPr>
        <w:t xml:space="preserve">Tongbo Liu </w:t>
      </w:r>
      <w:r>
        <w:rPr>
          <w:rFonts w:ascii="Arial" w:cs="Arial" w:eastAsia="Arial" w:hAnsi="Arial"/>
          <w:sz w:val="17"/>
          <w:szCs w:val="17"/>
          <w:color w:val="auto"/>
        </w:rPr>
        <w:t>has served as our Chief Executive Officer since January 2015 and director since August 2017. He joined our company in 2009, immediately after</w:t>
      </w:r>
      <w:r>
        <w:rPr>
          <w:rFonts w:ascii="Arial" w:cs="Arial" w:eastAsia="Arial" w:hAnsi="Arial"/>
          <w:sz w:val="17"/>
          <w:szCs w:val="17"/>
          <w:i w:val="1"/>
          <w:iCs w:val="1"/>
          <w:color w:val="auto"/>
        </w:rPr>
        <w:t xml:space="preserve"> </w:t>
      </w:r>
      <w:r>
        <w:rPr>
          <w:rFonts w:ascii="Arial" w:cs="Arial" w:eastAsia="Arial" w:hAnsi="Arial"/>
          <w:sz w:val="17"/>
          <w:szCs w:val="17"/>
          <w:color w:val="auto"/>
        </w:rPr>
        <w:t>graduation from Tsinghua University with a bachelor’s degree in applied mathematics. He started as a management trainee and was promoted to vice president in January 2012, responsible for our comprehensive operation in the greater Beijing region.</w:t>
      </w:r>
    </w:p>
    <w:p>
      <w:pPr>
        <w:spacing w:after="0" w:line="177" w:lineRule="exact"/>
        <w:rPr>
          <w:sz w:val="20"/>
          <w:szCs w:val="20"/>
          <w:color w:val="auto"/>
        </w:rPr>
      </w:pPr>
    </w:p>
    <w:p>
      <w:pPr>
        <w:ind w:right="20" w:firstLine="547"/>
        <w:spacing w:after="0" w:line="272" w:lineRule="auto"/>
        <w:rPr>
          <w:sz w:val="20"/>
          <w:szCs w:val="20"/>
          <w:color w:val="auto"/>
        </w:rPr>
      </w:pPr>
      <w:r>
        <w:rPr>
          <w:rFonts w:ascii="Arial" w:cs="Arial" w:eastAsia="Arial" w:hAnsi="Arial"/>
          <w:sz w:val="16"/>
          <w:szCs w:val="16"/>
          <w:i w:val="1"/>
          <w:iCs w:val="1"/>
          <w:color w:val="auto"/>
        </w:rPr>
        <w:t xml:space="preserve">Lv Lu </w:t>
      </w:r>
      <w:r>
        <w:rPr>
          <w:rFonts w:ascii="Arial" w:cs="Arial" w:eastAsia="Arial" w:hAnsi="Arial"/>
          <w:sz w:val="16"/>
          <w:szCs w:val="16"/>
          <w:color w:val="auto"/>
        </w:rPr>
        <w:t>has served as our Chief Strategy Officer since July 2015, director since August 2017 and Chief Financial Officer since April 2020. Prior to joining us, Ms.</w:t>
      </w:r>
      <w:r>
        <w:rPr>
          <w:rFonts w:ascii="Arial" w:cs="Arial" w:eastAsia="Arial" w:hAnsi="Arial"/>
          <w:sz w:val="16"/>
          <w:szCs w:val="16"/>
          <w:i w:val="1"/>
          <w:iCs w:val="1"/>
          <w:color w:val="auto"/>
        </w:rPr>
        <w:t xml:space="preserve"> </w:t>
      </w:r>
      <w:r>
        <w:rPr>
          <w:rFonts w:ascii="Arial" w:cs="Arial" w:eastAsia="Arial" w:hAnsi="Arial"/>
          <w:sz w:val="16"/>
          <w:szCs w:val="16"/>
          <w:color w:val="auto"/>
        </w:rPr>
        <w:t>Lu served as a partner of Taihe Capital, a leading boutique investment bank, from February 2015 to July 2015. From 2012 to 2015, she served as an executive director at Hina Group, an investment bank focused on advising leading companies in the technology, media and telecommunications industries in fund-raising activities. She received her MBA from Fudan University in 2010 and her bachelor’s degree in English from Hunan Normal University in 2004.</w:t>
      </w:r>
    </w:p>
    <w:p>
      <w:pPr>
        <w:spacing w:after="0" w:line="162" w:lineRule="exact"/>
        <w:rPr>
          <w:sz w:val="20"/>
          <w:szCs w:val="20"/>
          <w:color w:val="auto"/>
        </w:rPr>
      </w:pPr>
    </w:p>
    <w:p>
      <w:pPr>
        <w:ind w:right="120" w:firstLine="547"/>
        <w:spacing w:after="0" w:line="248" w:lineRule="auto"/>
        <w:rPr>
          <w:sz w:val="20"/>
          <w:szCs w:val="20"/>
          <w:color w:val="auto"/>
        </w:rPr>
      </w:pPr>
      <w:r>
        <w:rPr>
          <w:rFonts w:ascii="Arial" w:cs="Arial" w:eastAsia="Arial" w:hAnsi="Arial"/>
          <w:sz w:val="17"/>
          <w:szCs w:val="17"/>
          <w:i w:val="1"/>
          <w:iCs w:val="1"/>
          <w:color w:val="auto"/>
        </w:rPr>
        <w:t xml:space="preserve">Zheng Du </w:t>
      </w:r>
      <w:r>
        <w:rPr>
          <w:rFonts w:ascii="Arial" w:cs="Arial" w:eastAsia="Arial" w:hAnsi="Arial"/>
          <w:sz w:val="17"/>
          <w:szCs w:val="17"/>
          <w:color w:val="auto"/>
        </w:rPr>
        <w:t>has served as our Chief Operating Officer since March 2016. Prior to joining us, Mr. Du served as a general manager of the brand and advertisement</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team of Sogou Inc., an online search company listed on the New York Stock Exchange. From April 2011 to September 2012, as a co-founder and vice president, he worked at Shenzhen Chuanxi Digital Internet Corporation, where he was responsible for its products and daily operation. Prior to that, he served as the chief product manager at the search and marketing department of Tencent Holdings Limited, a company listed on the Hong Kong Stock Exchange. From November 2006 to July 2009, Mr. Du served as a product manager at Baidu Inc., an online search company listed on NASDAQ. Mr. Du received his master’s degree in management science and engineering from Wuhan University in 2007 and bachelor’s degree in information management and application from Zhongnan University of Economics and Law in 2005.</w:t>
      </w:r>
    </w:p>
    <w:p>
      <w:pPr>
        <w:spacing w:after="0" w:line="181" w:lineRule="exact"/>
        <w:rPr>
          <w:sz w:val="20"/>
          <w:szCs w:val="20"/>
          <w:color w:val="auto"/>
        </w:rPr>
      </w:pPr>
    </w:p>
    <w:p>
      <w:pPr>
        <w:ind w:right="80" w:firstLine="547"/>
        <w:spacing w:after="0" w:line="278" w:lineRule="auto"/>
        <w:rPr>
          <w:sz w:val="20"/>
          <w:szCs w:val="20"/>
          <w:color w:val="auto"/>
        </w:rPr>
      </w:pPr>
      <w:r>
        <w:rPr>
          <w:rFonts w:ascii="Arial" w:cs="Arial" w:eastAsia="Arial" w:hAnsi="Arial"/>
          <w:sz w:val="16"/>
          <w:szCs w:val="16"/>
          <w:i w:val="1"/>
          <w:iCs w:val="1"/>
          <w:color w:val="auto"/>
        </w:rPr>
        <w:t xml:space="preserve">Jing Gao </w:t>
      </w:r>
      <w:r>
        <w:rPr>
          <w:rFonts w:ascii="Arial" w:cs="Arial" w:eastAsia="Arial" w:hAnsi="Arial"/>
          <w:sz w:val="16"/>
          <w:szCs w:val="16"/>
          <w:color w:val="auto"/>
        </w:rPr>
        <w:t>has served as our director since March 2021. She has been employed in our company since 2006. Ms. Gao has been a lecturer, project manager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the branch. Now she is the Vice President of Risk Control Department and is fully responsible for risk assessment and control. Ms. Gao received a bachelor's degree in business management from Beijing Correspondence College of economics and management in 2005.</w:t>
      </w:r>
    </w:p>
    <w:p>
      <w:pPr>
        <w:spacing w:after="0" w:line="158" w:lineRule="exact"/>
        <w:rPr>
          <w:sz w:val="20"/>
          <w:szCs w:val="20"/>
          <w:color w:val="auto"/>
        </w:rPr>
      </w:pPr>
    </w:p>
    <w:p>
      <w:pPr>
        <w:ind w:right="160" w:firstLine="547"/>
        <w:spacing w:after="0" w:line="304" w:lineRule="auto"/>
        <w:rPr>
          <w:sz w:val="20"/>
          <w:szCs w:val="20"/>
          <w:color w:val="auto"/>
        </w:rPr>
      </w:pPr>
      <w:r>
        <w:rPr>
          <w:rFonts w:ascii="Arial" w:cs="Arial" w:eastAsia="Arial" w:hAnsi="Arial"/>
          <w:sz w:val="15"/>
          <w:szCs w:val="15"/>
          <w:i w:val="1"/>
          <w:iCs w:val="1"/>
          <w:color w:val="auto"/>
        </w:rPr>
        <w:t xml:space="preserve">Yang Wang </w:t>
      </w:r>
      <w:r>
        <w:rPr>
          <w:rFonts w:ascii="Arial" w:cs="Arial" w:eastAsia="Arial" w:hAnsi="Arial"/>
          <w:sz w:val="15"/>
          <w:szCs w:val="15"/>
          <w:color w:val="auto"/>
        </w:rPr>
        <w:t>has served as our director since August 2017. He has served as a partner of Primavera Capital, an investment house focused on private equity</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Prior to that, he worked as the managing director of principal investment area at Goldman Sachs (Asia) L.L.C. from 2006 to 2010. Prior to his experience with Goldman Sachs (Asia) L.L.C., Mr. Wang worked for the investment banking division and private equity group of China International Capital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87" w:name="page88"/>
    <w:bookmarkEnd w:id="87"/>
    <w:p>
      <w:pPr>
        <w:jc w:val="both"/>
        <w:spacing w:after="0" w:line="254" w:lineRule="auto"/>
        <w:rPr>
          <w:sz w:val="20"/>
          <w:szCs w:val="20"/>
          <w:color w:val="auto"/>
        </w:rPr>
      </w:pPr>
      <w:r>
        <w:rPr>
          <w:rFonts w:ascii="Arial" w:cs="Arial" w:eastAsia="Arial" w:hAnsi="Arial"/>
          <w:sz w:val="17"/>
          <w:szCs w:val="17"/>
          <w:color w:val="auto"/>
        </w:rPr>
        <w:t>Corporation Limited, or CICC, an investment bank listed on the Hong Kong Stock Exchange. Mr. Wang also serves as a director at Yum China Holdings, Inc., a leading restaurant company in China, and a director of Geely Automobile Holdings Limited, an auto manufacturing company in China. Mr. Wang received both his master’s and bachelor’s degrees from Shanghai Jiao Tong University.</w:t>
      </w:r>
    </w:p>
    <w:p>
      <w:pPr>
        <w:spacing w:after="0" w:line="177" w:lineRule="exact"/>
        <w:rPr>
          <w:sz w:val="20"/>
          <w:szCs w:val="20"/>
          <w:color w:val="auto"/>
        </w:rPr>
      </w:pPr>
    </w:p>
    <w:p>
      <w:pPr>
        <w:ind w:firstLine="547"/>
        <w:spacing w:after="0" w:line="249" w:lineRule="auto"/>
        <w:rPr>
          <w:sz w:val="20"/>
          <w:szCs w:val="20"/>
          <w:color w:val="auto"/>
        </w:rPr>
      </w:pPr>
      <w:r>
        <w:rPr>
          <w:rFonts w:ascii="Arial" w:cs="Arial" w:eastAsia="Arial" w:hAnsi="Arial"/>
          <w:sz w:val="17"/>
          <w:szCs w:val="17"/>
          <w:i w:val="1"/>
          <w:iCs w:val="1"/>
          <w:color w:val="auto"/>
        </w:rPr>
        <w:t xml:space="preserve">Zheng Zhao </w:t>
      </w:r>
      <w:r>
        <w:rPr>
          <w:rFonts w:ascii="Arial" w:cs="Arial" w:eastAsia="Arial" w:hAnsi="Arial"/>
          <w:sz w:val="17"/>
          <w:szCs w:val="17"/>
          <w:color w:val="auto"/>
        </w:rPr>
        <w:t>has served as our independent director since June 2019. Mr. Zhao is currently the special assistant to the president and general manager of New</w:t>
      </w:r>
      <w:r>
        <w:rPr>
          <w:rFonts w:ascii="Arial" w:cs="Arial" w:eastAsia="Arial" w:hAnsi="Arial"/>
          <w:sz w:val="17"/>
          <w:szCs w:val="17"/>
          <w:i w:val="1"/>
          <w:iCs w:val="1"/>
          <w:color w:val="auto"/>
        </w:rPr>
        <w:t xml:space="preserve"> </w:t>
      </w:r>
      <w:r>
        <w:rPr>
          <w:rFonts w:ascii="Arial" w:cs="Arial" w:eastAsia="Arial" w:hAnsi="Arial"/>
          <w:sz w:val="17"/>
          <w:szCs w:val="17"/>
          <w:color w:val="auto"/>
        </w:rPr>
        <w:t>Oriental Industry Funds, where he leads the company’s strategic development, mergers and acquisitions and strategic collaboration efforts, as well as maintains domestic and international customer relations. Prior to that, Mr. Zhao was a senior auditor at Ernst &amp; Young. Mr. Zhao currently serves as an independent director of CLOOPEN GROUP HOLDING LIMITED. (a company listed on NYSE with stock ticker: RAAS) Mr. Zhao holds a master’s degree in finance, and a bachelor’s degree in economics, both from Peking University’s School of Economics.</w:t>
      </w:r>
    </w:p>
    <w:p>
      <w:pPr>
        <w:spacing w:after="0" w:line="182" w:lineRule="exact"/>
        <w:rPr>
          <w:sz w:val="20"/>
          <w:szCs w:val="20"/>
          <w:color w:val="auto"/>
        </w:rPr>
      </w:pPr>
    </w:p>
    <w:p>
      <w:pPr>
        <w:ind w:firstLine="547"/>
        <w:spacing w:after="0" w:line="248" w:lineRule="auto"/>
        <w:rPr>
          <w:sz w:val="20"/>
          <w:szCs w:val="20"/>
          <w:color w:val="auto"/>
        </w:rPr>
      </w:pPr>
      <w:r>
        <w:rPr>
          <w:rFonts w:ascii="Arial" w:cs="Arial" w:eastAsia="Arial" w:hAnsi="Arial"/>
          <w:sz w:val="17"/>
          <w:szCs w:val="17"/>
          <w:i w:val="1"/>
          <w:iCs w:val="1"/>
          <w:color w:val="auto"/>
        </w:rPr>
        <w:t xml:space="preserve">Yifan Li </w:t>
      </w:r>
      <w:r>
        <w:rPr>
          <w:rFonts w:ascii="Arial" w:cs="Arial" w:eastAsia="Arial" w:hAnsi="Arial"/>
          <w:sz w:val="17"/>
          <w:szCs w:val="17"/>
          <w:color w:val="auto"/>
        </w:rPr>
        <w:t>most recently served as director and vice president of Geely Group, responsible for strategic investments, new business development and overseeing</w:t>
      </w:r>
      <w:r>
        <w:rPr>
          <w:rFonts w:ascii="Arial" w:cs="Arial" w:eastAsia="Arial" w:hAnsi="Arial"/>
          <w:sz w:val="17"/>
          <w:szCs w:val="17"/>
          <w:i w:val="1"/>
          <w:iCs w:val="1"/>
          <w:color w:val="auto"/>
        </w:rPr>
        <w:t xml:space="preserve"> </w:t>
      </w:r>
      <w:r>
        <w:rPr>
          <w:rFonts w:ascii="Arial" w:cs="Arial" w:eastAsia="Arial" w:hAnsi="Arial"/>
          <w:sz w:val="17"/>
          <w:szCs w:val="17"/>
          <w:color w:val="auto"/>
        </w:rPr>
        <w:t>Geely’s financial holding companies. Prior to joining Geely, Mr. Li held CFO positions in various Chinese companies including Sanpower Group, China Zenix Auto International, Standard Water and Time Share Media, where he led initial public offerings and cross-border M&amp;A transactions. Mr. Li also serves as a director at Xinyuan Real Estate Co., Ltd., Qudian Inc. and 36Kr Holdings Inc. Mr. Li received his MBA from the University of Chicago Booth School of Business, his master’s degree in accounting from the University of Texas at Dallas and his bachelor’s degree in world economics from Fudan University. He is a Certified Public Accountant in the United States and a Chartered Global Management Accountant.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and Indemnification Agreements</w:t>
      </w:r>
    </w:p>
    <w:p>
      <w:pPr>
        <w:spacing w:after="0" w:line="107" w:lineRule="exact"/>
        <w:rPr>
          <w:sz w:val="20"/>
          <w:szCs w:val="20"/>
          <w:color w:val="auto"/>
        </w:rPr>
      </w:pPr>
    </w:p>
    <w:p>
      <w:pPr>
        <w:ind w:firstLine="547"/>
        <w:spacing w:after="0" w:line="288" w:lineRule="auto"/>
        <w:rPr>
          <w:sz w:val="20"/>
          <w:szCs w:val="20"/>
          <w:color w:val="auto"/>
        </w:rPr>
      </w:pPr>
      <w:r>
        <w:rPr>
          <w:rFonts w:ascii="Arial" w:cs="Arial" w:eastAsia="Arial" w:hAnsi="Arial"/>
          <w:sz w:val="15"/>
          <w:szCs w:val="15"/>
          <w:color w:val="auto"/>
        </w:rPr>
        <w:t>We have entered into employment agreements with each of our executive officers. Each of our executive officers is employed for a specified time period, which can be renewed upon both parties’ agreement before the end of the current employment term. We may terminate an executive officer’s employment for cause at any time without advance notice in the event of, among other things, (i) commitments by such executive officer of any serious breach of the terms and conditions of his or her employment and our internal rules and procedures, (ii) conviction of a criminal offense, or (iii) severe neglect of his or her duties or embezzlement to our detriment. We may also terminate an executive officer’s employment by giving a 30 days’ prior written notice or by paying a compensation of an amount equal to one month’s wages of such executive officer. An executive officer may terminate his or her employment at any time by giving a 30 days’ prior written notice.</w:t>
      </w:r>
    </w:p>
    <w:p>
      <w:pPr>
        <w:spacing w:after="0" w:line="153" w:lineRule="exact"/>
        <w:rPr>
          <w:sz w:val="20"/>
          <w:szCs w:val="20"/>
          <w:color w:val="auto"/>
        </w:rPr>
      </w:pPr>
    </w:p>
    <w:p>
      <w:pPr>
        <w:ind w:right="20" w:firstLine="547"/>
        <w:spacing w:after="0" w:line="336" w:lineRule="auto"/>
        <w:rPr>
          <w:sz w:val="20"/>
          <w:szCs w:val="20"/>
          <w:color w:val="auto"/>
        </w:rPr>
      </w:pPr>
      <w:r>
        <w:rPr>
          <w:rFonts w:ascii="Arial" w:cs="Arial" w:eastAsia="Arial" w:hAnsi="Arial"/>
          <w:sz w:val="13"/>
          <w:szCs w:val="13"/>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two years following the last date of employment. Specifically, each executive officer has agreed not to (i) carry out or otherwise be concerned or interested, directly or indirectly, in certain businesses in direct or indirect competition with us; (ii) assume employment with or provide services to certain of our competitors or engage, whether as principal, partner, licensor or otherwise, with such competitors; or (iii) seek directly or indirectly, by the offer of alternative employment or other inducement whatsoever, to solicit the services of any of our employees, agents or consultants who are employed or engaged by us at any time in the one year preceding the last date of his or her employment.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88" w:name="page89"/>
    <w:bookmarkEnd w:id="88"/>
    <w:p>
      <w:pPr>
        <w:spacing w:after="0"/>
        <w:tabs>
          <w:tab w:leader="none" w:pos="520" w:val="left"/>
        </w:tabs>
        <w:rPr>
          <w:sz w:val="20"/>
          <w:szCs w:val="20"/>
          <w:color w:val="auto"/>
        </w:rPr>
      </w:pPr>
      <w:r>
        <w:rPr>
          <w:rFonts w:ascii="Arial" w:cs="Arial" w:eastAsia="Arial" w:hAnsi="Arial"/>
          <w:sz w:val="17"/>
          <w:szCs w:val="17"/>
          <w:b w:val="1"/>
          <w:bCs w:val="1"/>
          <w:color w:val="auto"/>
        </w:rPr>
        <w:t>6.B.</w:t>
      </w:r>
      <w:r>
        <w:rPr>
          <w:sz w:val="20"/>
          <w:szCs w:val="20"/>
          <w:color w:val="auto"/>
        </w:rPr>
        <w:tab/>
      </w:r>
      <w:r>
        <w:rPr>
          <w:rFonts w:ascii="Arial" w:cs="Arial" w:eastAsia="Arial" w:hAnsi="Arial"/>
          <w:sz w:val="13"/>
          <w:szCs w:val="13"/>
          <w:b w:val="1"/>
          <w:bCs w:val="1"/>
          <w:color w:val="auto"/>
        </w:rPr>
        <w:t>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 and Senior Management</w:t>
      </w:r>
    </w:p>
    <w:p>
      <w:pPr>
        <w:spacing w:after="0" w:line="107" w:lineRule="exact"/>
        <w:rPr>
          <w:sz w:val="20"/>
          <w:szCs w:val="20"/>
          <w:color w:val="auto"/>
        </w:rPr>
      </w:pPr>
    </w:p>
    <w:p>
      <w:pPr>
        <w:ind w:right="180" w:firstLine="547"/>
        <w:spacing w:after="0" w:line="278" w:lineRule="auto"/>
        <w:rPr>
          <w:sz w:val="20"/>
          <w:szCs w:val="20"/>
          <w:color w:val="auto"/>
        </w:rPr>
      </w:pPr>
      <w:r>
        <w:rPr>
          <w:rFonts w:ascii="Arial" w:cs="Arial" w:eastAsia="Arial" w:hAnsi="Arial"/>
          <w:sz w:val="16"/>
          <w:szCs w:val="16"/>
          <w:color w:val="auto"/>
        </w:rPr>
        <w:t>For the fiscal year ended December 31, 2020, we paid an aggregate of RMB2.3 million (US$0.4 million) in cash to our executive officers. The payment of compensation to our independent directors for their services rendered for the year ended December 31, 2020 is in a total amount of RMB2.3 million (US$0.4 million), which has been fully paid in cash. For share incentive grants to our directors and executive officers, see “—Share Incentive Plan.”</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Incentive Plan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 Plan</w:t>
      </w:r>
    </w:p>
    <w:p>
      <w:pPr>
        <w:spacing w:after="0" w:line="107" w:lineRule="exact"/>
        <w:rPr>
          <w:sz w:val="20"/>
          <w:szCs w:val="20"/>
          <w:color w:val="auto"/>
        </w:rPr>
      </w:pPr>
    </w:p>
    <w:p>
      <w:pPr>
        <w:ind w:right="260" w:firstLine="547"/>
        <w:spacing w:after="0" w:line="264" w:lineRule="auto"/>
        <w:rPr>
          <w:sz w:val="20"/>
          <w:szCs w:val="20"/>
          <w:color w:val="auto"/>
        </w:rPr>
      </w:pPr>
      <w:r>
        <w:rPr>
          <w:rFonts w:ascii="Arial" w:cs="Arial" w:eastAsia="Arial" w:hAnsi="Arial"/>
          <w:sz w:val="17"/>
          <w:szCs w:val="17"/>
          <w:color w:val="auto"/>
        </w:rPr>
        <w:t>We adopted an employee share incentive plan in October 2017, or the 2017 Plan. The purpose of the 2017 Plan is to attract and retain exceptionally qualified personnel and to encourage them to acquire a proprietary interest in our growth and performance.</w:t>
      </w:r>
    </w:p>
    <w:p>
      <w:pPr>
        <w:spacing w:after="0" w:line="168" w:lineRule="exact"/>
        <w:rPr>
          <w:sz w:val="20"/>
          <w:szCs w:val="20"/>
          <w:color w:val="auto"/>
        </w:rPr>
      </w:pPr>
    </w:p>
    <w:p>
      <w:pPr>
        <w:ind w:firstLine="547"/>
        <w:spacing w:after="0" w:line="251" w:lineRule="auto"/>
        <w:rPr>
          <w:sz w:val="20"/>
          <w:szCs w:val="20"/>
          <w:color w:val="auto"/>
        </w:rPr>
      </w:pPr>
      <w:r>
        <w:rPr>
          <w:rFonts w:ascii="Arial" w:cs="Arial" w:eastAsia="Arial" w:hAnsi="Arial"/>
          <w:sz w:val="17"/>
          <w:szCs w:val="17"/>
          <w:color w:val="auto"/>
        </w:rPr>
        <w:t>As of the date of this annual report, we are authorized to grant options or share purchase rights to purchase up to an aggregate of 429,166 ordinary shares under the 2017 Plan. As of the same date, options to purchase an aggregate number of 35,433 ordinary shares are outstanding, among which 23,173 options had vested and become exercisable. All of the ordinary shares reserved and issuable upon the exercise of options granted pursuant to the 2017 Plan shall, upon issuance of such ordinary shares, be designated as Class C ordinary shares.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paragraphs summarize the terms of the 2017 Plan.</w:t>
      </w:r>
    </w:p>
    <w:p>
      <w:pPr>
        <w:spacing w:after="0" w:line="203" w:lineRule="exact"/>
        <w:rPr>
          <w:sz w:val="20"/>
          <w:szCs w:val="20"/>
          <w:color w:val="auto"/>
        </w:rPr>
      </w:pPr>
    </w:p>
    <w:p>
      <w:pPr>
        <w:ind w:right="60" w:firstLine="547"/>
        <w:spacing w:after="0" w:line="264" w:lineRule="auto"/>
        <w:rPr>
          <w:sz w:val="20"/>
          <w:szCs w:val="20"/>
          <w:color w:val="auto"/>
        </w:rPr>
      </w:pPr>
      <w:r>
        <w:rPr>
          <w:rFonts w:ascii="Arial" w:cs="Arial" w:eastAsia="Arial" w:hAnsi="Arial"/>
          <w:sz w:val="17"/>
          <w:szCs w:val="17"/>
          <w:b w:val="1"/>
          <w:bCs w:val="1"/>
          <w:i w:val="1"/>
          <w:iCs w:val="1"/>
          <w:color w:val="auto"/>
        </w:rPr>
        <w:t>Types of Awards</w:t>
      </w:r>
      <w:r>
        <w:rPr>
          <w:rFonts w:ascii="Arial" w:cs="Arial" w:eastAsia="Arial" w:hAnsi="Arial"/>
          <w:sz w:val="17"/>
          <w:szCs w:val="17"/>
          <w:color w:val="auto"/>
        </w:rPr>
        <w:t>. The 2017 Plan permits the awards of options, share appreciation rights, rights to dividends and dividend equivalent right, restricted shares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share units and other rights or benefits under the 2017 Plan.</w:t>
      </w:r>
    </w:p>
    <w:p>
      <w:pPr>
        <w:spacing w:after="0" w:line="168" w:lineRule="exact"/>
        <w:rPr>
          <w:sz w:val="20"/>
          <w:szCs w:val="20"/>
          <w:color w:val="auto"/>
        </w:rPr>
      </w:pPr>
    </w:p>
    <w:p>
      <w:pPr>
        <w:ind w:right="160" w:firstLine="547"/>
        <w:spacing w:after="0" w:line="264" w:lineRule="auto"/>
        <w:rPr>
          <w:sz w:val="20"/>
          <w:szCs w:val="20"/>
          <w:color w:val="auto"/>
        </w:rPr>
      </w:pPr>
      <w:r>
        <w:rPr>
          <w:rFonts w:ascii="Arial" w:cs="Arial" w:eastAsia="Arial" w:hAnsi="Arial"/>
          <w:sz w:val="17"/>
          <w:szCs w:val="17"/>
          <w:b w:val="1"/>
          <w:bCs w:val="1"/>
          <w:i w:val="1"/>
          <w:iCs w:val="1"/>
          <w:color w:val="auto"/>
        </w:rPr>
        <w:t>Plan Administration</w:t>
      </w:r>
      <w:r>
        <w:rPr>
          <w:rFonts w:ascii="Arial" w:cs="Arial" w:eastAsia="Arial" w:hAnsi="Arial"/>
          <w:sz w:val="17"/>
          <w:szCs w:val="17"/>
          <w:color w:val="auto"/>
        </w:rPr>
        <w:t>. A committee formed in accordance with applicable stock exchange rules shall administer the 2017 Plan, unless otherwise determined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of directors.</w:t>
      </w:r>
    </w:p>
    <w:p>
      <w:pPr>
        <w:spacing w:after="0" w:line="168" w:lineRule="exact"/>
        <w:rPr>
          <w:sz w:val="20"/>
          <w:szCs w:val="20"/>
          <w:color w:val="auto"/>
        </w:rPr>
      </w:pPr>
    </w:p>
    <w:p>
      <w:pPr>
        <w:ind w:right="160" w:firstLine="547"/>
        <w:spacing w:after="0" w:line="264" w:lineRule="auto"/>
        <w:rPr>
          <w:sz w:val="20"/>
          <w:szCs w:val="20"/>
          <w:color w:val="auto"/>
        </w:rPr>
      </w:pPr>
      <w:r>
        <w:rPr>
          <w:rFonts w:ascii="Arial" w:cs="Arial" w:eastAsia="Arial" w:hAnsi="Arial"/>
          <w:sz w:val="17"/>
          <w:szCs w:val="17"/>
          <w:b w:val="1"/>
          <w:bCs w:val="1"/>
          <w:i w:val="1"/>
          <w:iCs w:val="1"/>
          <w:color w:val="auto"/>
        </w:rPr>
        <w:t>Eligibility</w:t>
      </w:r>
      <w:r>
        <w:rPr>
          <w:rFonts w:ascii="Arial" w:cs="Arial" w:eastAsia="Arial" w:hAnsi="Arial"/>
          <w:sz w:val="17"/>
          <w:szCs w:val="17"/>
          <w:color w:val="auto"/>
        </w:rPr>
        <w:t>. Our employees and consultants are eligible to participate in the 2017 Plan. An employee or consultant who has been granted an award may, if he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 is otherwise eligible, be granted additional awards.</w:t>
      </w:r>
    </w:p>
    <w:p>
      <w:pPr>
        <w:spacing w:after="0" w:line="168" w:lineRule="exact"/>
        <w:rPr>
          <w:sz w:val="20"/>
          <w:szCs w:val="20"/>
          <w:color w:val="auto"/>
        </w:rPr>
      </w:pPr>
    </w:p>
    <w:p>
      <w:pPr>
        <w:ind w:right="300" w:firstLine="547"/>
        <w:spacing w:after="0" w:line="264" w:lineRule="auto"/>
        <w:rPr>
          <w:sz w:val="20"/>
          <w:szCs w:val="20"/>
          <w:color w:val="auto"/>
        </w:rPr>
      </w:pPr>
      <w:r>
        <w:rPr>
          <w:rFonts w:ascii="Arial" w:cs="Arial" w:eastAsia="Arial" w:hAnsi="Arial"/>
          <w:sz w:val="17"/>
          <w:szCs w:val="17"/>
          <w:b w:val="1"/>
          <w:bCs w:val="1"/>
          <w:i w:val="1"/>
          <w:iCs w:val="1"/>
          <w:color w:val="auto"/>
        </w:rPr>
        <w:t>Designation of Award</w:t>
      </w:r>
      <w:r>
        <w:rPr>
          <w:rFonts w:ascii="Arial" w:cs="Arial" w:eastAsia="Arial" w:hAnsi="Arial"/>
          <w:sz w:val="17"/>
          <w:szCs w:val="17"/>
          <w:color w:val="auto"/>
        </w:rPr>
        <w:t>. Each award under the 2017 Plan is designated in an award agreement, which is a written agreement evidencing the grant of an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executed by the company and the grantee, including any amendments thereto.</w:t>
      </w:r>
    </w:p>
    <w:p>
      <w:pPr>
        <w:spacing w:after="0" w:line="168" w:lineRule="exact"/>
        <w:rPr>
          <w:sz w:val="20"/>
          <w:szCs w:val="20"/>
          <w:color w:val="auto"/>
        </w:rPr>
      </w:pPr>
    </w:p>
    <w:p>
      <w:pPr>
        <w:ind w:right="80" w:firstLine="547"/>
        <w:spacing w:after="0" w:line="254" w:lineRule="auto"/>
        <w:rPr>
          <w:sz w:val="20"/>
          <w:szCs w:val="20"/>
          <w:color w:val="auto"/>
        </w:rPr>
      </w:pPr>
      <w:r>
        <w:rPr>
          <w:rFonts w:ascii="Arial" w:cs="Arial" w:eastAsia="Arial" w:hAnsi="Arial"/>
          <w:sz w:val="17"/>
          <w:szCs w:val="17"/>
          <w:b w:val="1"/>
          <w:bCs w:val="1"/>
          <w:i w:val="1"/>
          <w:iCs w:val="1"/>
          <w:color w:val="auto"/>
        </w:rPr>
        <w:t>Conditions of Award</w:t>
      </w:r>
      <w:r>
        <w:rPr>
          <w:rFonts w:ascii="Arial" w:cs="Arial" w:eastAsia="Arial" w:hAnsi="Arial"/>
          <w:sz w:val="17"/>
          <w:szCs w:val="17"/>
          <w:color w:val="auto"/>
        </w:rPr>
        <w:t>. The board of directors or any entity appointed by the board of directors to administer the 2017 Plan shall determine the provisions,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conditions of each award including, but not limited to, the award vesting schedule, repurchase provisions, rights of first refusal, forfeiture provisions, and form of payment upon settlement of the award.</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Terms of Award</w:t>
      </w:r>
      <w:r>
        <w:rPr>
          <w:rFonts w:ascii="Arial" w:cs="Arial" w:eastAsia="Arial" w:hAnsi="Arial"/>
          <w:sz w:val="17"/>
          <w:szCs w:val="17"/>
          <w:color w:val="auto"/>
        </w:rPr>
        <w:t>. The term of each award is stated in the award agreement between the company and the grantee of such award.</w:t>
      </w:r>
    </w:p>
    <w:p>
      <w:pPr>
        <w:spacing w:after="0" w:line="203" w:lineRule="exact"/>
        <w:rPr>
          <w:sz w:val="20"/>
          <w:szCs w:val="20"/>
          <w:color w:val="auto"/>
        </w:rPr>
      </w:pPr>
    </w:p>
    <w:p>
      <w:pPr>
        <w:ind w:right="160" w:firstLine="547"/>
        <w:spacing w:after="0" w:line="272"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color w:val="auto"/>
        </w:rPr>
        <w:t>. Unless otherwise determined by the administrator of the 2017 Plan, no award and no right under any such award, shall be assignable,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alienable, saleable or transferable by the employee otherwise than by will or by the laws of descent and distribution unless, if so determined by the administrator of the 2017 Plan, the employee may, in the manner established by such administrator, designate a beneficiary or beneficiaries to exercise the rights of the employee, and to receive any property distributable, with respect to any award upon the death of the employee.</w:t>
      </w:r>
    </w:p>
    <w:p>
      <w:pPr>
        <w:spacing w:after="0" w:line="162" w:lineRule="exact"/>
        <w:rPr>
          <w:sz w:val="20"/>
          <w:szCs w:val="20"/>
          <w:color w:val="auto"/>
        </w:rPr>
      </w:pPr>
    </w:p>
    <w:p>
      <w:pPr>
        <w:ind w:right="80" w:firstLine="547"/>
        <w:spacing w:after="0" w:line="304" w:lineRule="auto"/>
        <w:rPr>
          <w:sz w:val="20"/>
          <w:szCs w:val="20"/>
          <w:color w:val="auto"/>
        </w:rPr>
      </w:pPr>
      <w:r>
        <w:rPr>
          <w:rFonts w:ascii="Arial" w:cs="Arial" w:eastAsia="Arial" w:hAnsi="Arial"/>
          <w:sz w:val="15"/>
          <w:szCs w:val="15"/>
          <w:b w:val="1"/>
          <w:bCs w:val="1"/>
          <w:i w:val="1"/>
          <w:iCs w:val="1"/>
          <w:color w:val="auto"/>
        </w:rPr>
        <w:t>Exercise of Award</w:t>
      </w:r>
      <w:r>
        <w:rPr>
          <w:rFonts w:ascii="Arial" w:cs="Arial" w:eastAsia="Arial" w:hAnsi="Arial"/>
          <w:sz w:val="15"/>
          <w:szCs w:val="15"/>
          <w:color w:val="auto"/>
        </w:rPr>
        <w:t>. Any award granted under the 2017 Plan is exercisable at such times and under such conditions as determined by the administrator under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terms of the 2017 Plan and specified in the award agreement. An award is deemed to be exercised when exercise notice has been given to the company in accordance with the terms of the award by the person entitled to exercise the award and full payment for the shares with respect to which the award is exercised.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ind w:firstLine="547"/>
        <w:spacing w:after="0" w:line="265" w:lineRule="auto"/>
        <w:rPr>
          <w:sz w:val="20"/>
          <w:szCs w:val="20"/>
          <w:color w:val="auto"/>
        </w:rPr>
      </w:pPr>
      <w:r>
        <w:rPr>
          <w:rFonts w:ascii="Arial" w:cs="Arial" w:eastAsia="Arial" w:hAnsi="Arial"/>
          <w:sz w:val="16"/>
          <w:szCs w:val="16"/>
          <w:b w:val="1"/>
          <w:bCs w:val="1"/>
          <w:i w:val="1"/>
          <w:iCs w:val="1"/>
          <w:color w:val="auto"/>
        </w:rPr>
        <w:t>Amendment, Suspension or Termination of the 2017 Plan</w:t>
      </w:r>
      <w:r>
        <w:rPr>
          <w:rFonts w:ascii="Arial" w:cs="Arial" w:eastAsia="Arial" w:hAnsi="Arial"/>
          <w:sz w:val="16"/>
          <w:szCs w:val="16"/>
          <w:color w:val="auto"/>
        </w:rPr>
        <w:t>. The administrator of the 2017 Plan may amend, alter, suspend, discontinue or terminate this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Plan, or any award agreement hereunder or any portion hereof or thereof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amendment, alteration, suspension, discontinuation or termination shall be made without (i) shareholder approval with such legally mandated threshold for a resolution of the shareholders if such approval is necessary to comply with any tax or regulatory requirement for which or with which the administrator of the 2017 Plan deems it necessary or desirable to qualify or (ii) comply shareholder approval with such threshold for a resolution of the shareholders in respect of such amendment, alteration, suspension, discontinuation or termination as provided in our memorandum and articles of association for any amendment to the 2017 Plan that increases the total number of shares reserved for the purposes of the 2017 Plan, and (iii) with respect to any award agreement, the consent of the affected employee, if such action would materially and adversely affect the rights of such employee under any outstanding award.</w:t>
      </w:r>
    </w:p>
    <w:p>
      <w:pPr>
        <w:spacing w:after="0" w:line="169" w:lineRule="exact"/>
        <w:rPr>
          <w:sz w:val="20"/>
          <w:szCs w:val="20"/>
          <w:color w:val="auto"/>
        </w:rPr>
      </w:pPr>
    </w:p>
    <w:p>
      <w:pPr>
        <w:ind w:right="160" w:firstLine="547"/>
        <w:spacing w:after="0" w:line="296" w:lineRule="auto"/>
        <w:rPr>
          <w:sz w:val="20"/>
          <w:szCs w:val="20"/>
          <w:color w:val="auto"/>
        </w:rPr>
      </w:pPr>
      <w:r>
        <w:rPr>
          <w:rFonts w:ascii="Arial" w:cs="Arial" w:eastAsia="Arial" w:hAnsi="Arial"/>
          <w:sz w:val="16"/>
          <w:szCs w:val="16"/>
          <w:color w:val="auto"/>
        </w:rPr>
        <w:t>As of the date of the annual report, there was no outstanding equity awards granted to our directors and executive officers under the 2017 Plan. As of the same date, our other employees as a group held options to purchase 35,433 Class C ordinary shares, with an exercise price of US$84.75 per share.</w:t>
      </w:r>
    </w:p>
    <w:p>
      <w:pPr>
        <w:spacing w:after="0" w:line="144" w:lineRule="exact"/>
        <w:rPr>
          <w:sz w:val="20"/>
          <w:szCs w:val="20"/>
          <w:color w:val="auto"/>
        </w:rPr>
      </w:pPr>
    </w:p>
    <w:p>
      <w:pPr>
        <w:ind w:right="580" w:firstLine="547"/>
        <w:spacing w:after="0" w:line="296" w:lineRule="auto"/>
        <w:rPr>
          <w:sz w:val="20"/>
          <w:szCs w:val="20"/>
          <w:color w:val="auto"/>
        </w:rPr>
      </w:pPr>
      <w:r>
        <w:rPr>
          <w:rFonts w:ascii="Arial" w:cs="Arial" w:eastAsia="Arial" w:hAnsi="Arial"/>
          <w:sz w:val="16"/>
          <w:szCs w:val="16"/>
          <w:color w:val="auto"/>
        </w:rPr>
        <w:t>For discussions of our accounting policies and estimates for awards granted pursuant to the 2017 Plan, see “Item 5. Operating and Financial Review and Prospects—5.A. Operating Results —Critical Accounting Policies, Judgments and Estimates—Share-based compensation.”</w:t>
      </w:r>
    </w:p>
    <w:p>
      <w:pPr>
        <w:spacing w:after="0" w:line="240"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6.C.</w:t>
      </w:r>
      <w:r>
        <w:rPr>
          <w:sz w:val="20"/>
          <w:szCs w:val="20"/>
          <w:color w:val="auto"/>
        </w:rPr>
        <w:tab/>
      </w:r>
      <w:r>
        <w:rPr>
          <w:rFonts w:ascii="Arial" w:cs="Arial" w:eastAsia="Arial" w:hAnsi="Arial"/>
          <w:sz w:val="13"/>
          <w:szCs w:val="13"/>
          <w:b w:val="1"/>
          <w:bCs w:val="1"/>
          <w:color w:val="auto"/>
        </w:rPr>
        <w:t>Board Practices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07" w:lineRule="exact"/>
        <w:rPr>
          <w:sz w:val="20"/>
          <w:szCs w:val="20"/>
          <w:color w:val="auto"/>
        </w:rPr>
      </w:pPr>
    </w:p>
    <w:p>
      <w:pPr>
        <w:ind w:right="60" w:firstLine="547"/>
        <w:spacing w:after="0" w:line="249" w:lineRule="auto"/>
        <w:rPr>
          <w:sz w:val="20"/>
          <w:szCs w:val="20"/>
          <w:color w:val="auto"/>
        </w:rPr>
      </w:pPr>
      <w:r>
        <w:rPr>
          <w:rFonts w:ascii="Arial" w:cs="Arial" w:eastAsia="Arial" w:hAnsi="Arial"/>
          <w:sz w:val="17"/>
          <w:szCs w:val="17"/>
          <w:color w:val="auto"/>
        </w:rPr>
        <w:t>Our Board of Directors consists of seven directors, including two independent directors, namely Mr. Yifan Li and Mr. Zheng Zhao. A director is not required to hold any shares in our company to qualify to serve as a director. The Corporate Governance Rules of the NYSE generally require that a majority of an issuer’s board of directors must consist of independent directors. However, the Corporate Governance Rules of the NYSE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82" w:lineRule="exact"/>
        <w:rPr>
          <w:sz w:val="20"/>
          <w:szCs w:val="20"/>
          <w:color w:val="auto"/>
        </w:rPr>
      </w:pPr>
    </w:p>
    <w:p>
      <w:pPr>
        <w:ind w:right="140" w:firstLine="547"/>
        <w:spacing w:after="0" w:line="286" w:lineRule="auto"/>
        <w:rPr>
          <w:sz w:val="20"/>
          <w:szCs w:val="20"/>
          <w:color w:val="auto"/>
        </w:rPr>
      </w:pPr>
      <w:r>
        <w:rPr>
          <w:rFonts w:ascii="Arial" w:cs="Arial" w:eastAsia="Arial" w:hAnsi="Arial"/>
          <w:sz w:val="15"/>
          <w:szCs w:val="15"/>
          <w:color w:val="auto"/>
        </w:rPr>
        <w:t>A director who to his knowledge is in any way, whether directly or indirectly, interested in a contract or arrangement or proposed contract or arrangement with our company is required to declare the nature of his or her interest at a meeting of our directors. A general notice given to the directors by any director to the effect that</w:t>
      </w:r>
    </w:p>
    <w:p>
      <w:pPr>
        <w:ind w:right="20"/>
        <w:spacing w:after="0" w:line="281" w:lineRule="auto"/>
        <w:tabs>
          <w:tab w:leader="none" w:pos="199" w:val="left"/>
        </w:tabs>
        <w:numPr>
          <w:ilvl w:val="0"/>
          <w:numId w:val="24"/>
        </w:numPr>
        <w:rPr>
          <w:rFonts w:ascii="Arial" w:cs="Arial" w:eastAsia="Arial" w:hAnsi="Arial"/>
          <w:sz w:val="15"/>
          <w:szCs w:val="15"/>
          <w:color w:val="auto"/>
        </w:rPr>
      </w:pPr>
      <w:r>
        <w:rPr>
          <w:rFonts w:ascii="Arial" w:cs="Arial" w:eastAsia="Arial" w:hAnsi="Arial"/>
          <w:sz w:val="15"/>
          <w:szCs w:val="15"/>
          <w:color w:val="auto"/>
        </w:rPr>
        <w:t>he is a member or officer of any specified company or firm and is to be regarded as interested in any contract or transaction with that company or firm, or (ii) he is to be regarded as interested in any contract or transaction which may, after the date of such notice, be made with a specified person who is connected with him, shall be deemed a sufficient declaration of interest for the purposes of voting on a resolution in respect to a contract or transaction in which he/she has an interest.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subject to any separate requirement for Audit Committee approval under applicable laws or the rules of the New York Stock Exchange, and unless disqualified by the chairman of the relevant board meeting. Our Board of Directors may exercise all of the powers of our company to borrow money, to mortgage or charge its undertaking, property and assets (present and future) and uncalled capital, and to issue debentures, bonds and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07" w:lineRule="exact"/>
        <w:rPr>
          <w:sz w:val="20"/>
          <w:szCs w:val="20"/>
          <w:color w:val="auto"/>
        </w:rPr>
      </w:pPr>
    </w:p>
    <w:p>
      <w:pPr>
        <w:ind w:right="200" w:firstLine="547"/>
        <w:spacing w:after="0" w:line="264" w:lineRule="auto"/>
        <w:rPr>
          <w:sz w:val="20"/>
          <w:szCs w:val="20"/>
          <w:color w:val="auto"/>
        </w:rPr>
      </w:pPr>
      <w:r>
        <w:rPr>
          <w:rFonts w:ascii="Arial" w:cs="Arial" w:eastAsia="Arial" w:hAnsi="Arial"/>
          <w:sz w:val="17"/>
          <w:szCs w:val="17"/>
          <w:color w:val="auto"/>
        </w:rPr>
        <w:t>We have established an audit committee, a compensation committee and a nominating and corporate governance committee under our Board of Directors. We have adopted a charter for each of the three committees. Each committee’s members and functions are described below.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3" w:lineRule="exact"/>
        <w:rPr>
          <w:sz w:val="20"/>
          <w:szCs w:val="20"/>
          <w:color w:val="auto"/>
        </w:rPr>
      </w:pPr>
    </w:p>
    <w:p>
      <w:pPr>
        <w:ind w:right="40" w:firstLine="547"/>
        <w:spacing w:after="0" w:line="295" w:lineRule="auto"/>
        <w:rPr>
          <w:sz w:val="20"/>
          <w:szCs w:val="20"/>
          <w:color w:val="auto"/>
        </w:rPr>
      </w:pPr>
      <w:r>
        <w:rPr>
          <w:rFonts w:ascii="Arial" w:cs="Arial" w:eastAsia="Arial" w:hAnsi="Arial"/>
          <w:sz w:val="15"/>
          <w:szCs w:val="15"/>
          <w:color w:val="auto"/>
        </w:rPr>
        <w:t>Our audit committee consists of Mr. Yifan Li and Mr. Zheng Zhao, and is chaired by Mr. Yifan Li. We have determined that each of Mr. Yifan Li and Mr. Zheng Zhao satisfies the requirements of Section 303A of the Corporate Governance Rules of the NYSE and meet the independence standards under Rule 10A-3 under the Securities Exchange Act of 1934, as amended. We have determined that Mr. Yifan Li qualifies as an “audit committee financial expert.” The audit committee oversees our accounting and financial reporting processes and the audits of our financial statements. The audit committee is also responsible for, among other things:</w:t>
      </w:r>
    </w:p>
    <w:p>
      <w:pPr>
        <w:spacing w:after="0" w:line="49" w:lineRule="exact"/>
        <w:rPr>
          <w:sz w:val="20"/>
          <w:szCs w:val="20"/>
          <w:color w:val="auto"/>
        </w:rPr>
      </w:pPr>
    </w:p>
    <w:p>
      <w:pPr>
        <w:ind w:left="1080" w:hanging="545"/>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reviewing and recommending to our board for approval, the appointment, re-appointment or removal of the independent auditor;</w:t>
      </w:r>
    </w:p>
    <w:p>
      <w:pPr>
        <w:spacing w:after="0" w:line="103" w:lineRule="exact"/>
        <w:rPr>
          <w:rFonts w:ascii="Arial" w:cs="Arial" w:eastAsia="Arial" w:hAnsi="Arial"/>
          <w:sz w:val="17"/>
          <w:szCs w:val="17"/>
          <w:color w:val="auto"/>
        </w:rPr>
      </w:pPr>
    </w:p>
    <w:p>
      <w:pPr>
        <w:ind w:left="1080" w:right="80" w:hanging="545"/>
        <w:spacing w:after="0" w:line="264"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approving the remuneration and terms of engagement of the independent auditor and pre-approving all auditing and non-auditing services performed by our independent auditors;</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obtaining and reviewing a written report from our independent auditor describing matters relating to its independence and quality control procedures;</w:t>
      </w:r>
    </w:p>
    <w:p>
      <w:pPr>
        <w:spacing w:after="0" w:line="126" w:lineRule="exact"/>
        <w:rPr>
          <w:rFonts w:ascii="Arial" w:cs="Arial" w:eastAsia="Arial" w:hAnsi="Arial"/>
          <w:sz w:val="15"/>
          <w:szCs w:val="15"/>
          <w:color w:val="auto"/>
        </w:rPr>
      </w:pPr>
    </w:p>
    <w:p>
      <w:pPr>
        <w:ind w:left="1080" w:right="660" w:hanging="545"/>
        <w:spacing w:after="0" w:line="264"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discussing with the independent registered public accounting firm any audit problems or difficulties and any significant disagreements with the management;</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reviewing and approving all proposed related party transactions, as defined in Item 404 of Regulation S-K under the Securities Act;</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discussing the annual audited financial statements with management and the independent registered public accounting firm;</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reviewing the adequacy and effectiveness of our accounting and internal control policies and procedures;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reviewing and reassessing the adequacy of the committee charter;</w:t>
      </w:r>
    </w:p>
    <w:p>
      <w:pPr>
        <w:spacing w:after="0" w:line="103" w:lineRule="exact"/>
        <w:rPr>
          <w:rFonts w:ascii="Arial" w:cs="Arial" w:eastAsia="Arial" w:hAnsi="Arial"/>
          <w:sz w:val="17"/>
          <w:szCs w:val="17"/>
          <w:color w:val="auto"/>
        </w:rPr>
      </w:pPr>
    </w:p>
    <w:p>
      <w:pPr>
        <w:ind w:left="1080" w:hanging="545"/>
        <w:spacing w:after="0" w:line="264"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at least annually, evaluating the performance, responsibilities, budget and staffing of our internal audit function and review and approve the internal audit plan;</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overseeing compliance with our code of business conduct and ethics and reporting on such compliance to our Board of Directors; and</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reporting regularly to our Board of Directors.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03" w:lineRule="exact"/>
        <w:rPr>
          <w:sz w:val="20"/>
          <w:szCs w:val="20"/>
          <w:color w:val="auto"/>
        </w:rPr>
      </w:pPr>
    </w:p>
    <w:p>
      <w:pPr>
        <w:ind w:right="320" w:firstLine="547"/>
        <w:spacing w:after="0" w:line="251" w:lineRule="auto"/>
        <w:rPr>
          <w:sz w:val="20"/>
          <w:szCs w:val="20"/>
          <w:color w:val="auto"/>
        </w:rPr>
      </w:pPr>
      <w:r>
        <w:rPr>
          <w:rFonts w:ascii="Arial" w:cs="Arial" w:eastAsia="Arial" w:hAnsi="Arial"/>
          <w:sz w:val="17"/>
          <w:szCs w:val="17"/>
          <w:color w:val="auto"/>
        </w:rPr>
        <w:t>Our compensation committee consists of Mr. Peng Ou, Mr. Tongbo Liu and Mr. Zheng Zhao, and is chaired by Mr. Peng Ou. We have determined that Mr. Zheng Zhao satisfies the “independence” requirements of Section 303A of the Corporate Governance Rules of the NYSE. The compensation committee assists our Board of Directors in reviewing and approving the compensation structure, including all forms of compensation, relating to our directors and executive officers. The compensation committee is also responsible for, among other things:</w:t>
      </w:r>
    </w:p>
    <w:p>
      <w:pPr>
        <w:spacing w:after="0" w:line="79" w:lineRule="exact"/>
        <w:rPr>
          <w:sz w:val="20"/>
          <w:szCs w:val="20"/>
          <w:color w:val="auto"/>
        </w:rPr>
      </w:pPr>
    </w:p>
    <w:p>
      <w:pPr>
        <w:ind w:left="1080" w:hanging="545"/>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reviewing and approving the compensation of our chief executive officer and each of our other executive officers;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consultation with our chief executive officer, periodically reviewing our management succession planning;</w:t>
      </w:r>
    </w:p>
    <w:p>
      <w:pPr>
        <w:spacing w:after="0" w:line="103" w:lineRule="exact"/>
        <w:rPr>
          <w:rFonts w:ascii="Arial" w:cs="Arial" w:eastAsia="Arial" w:hAnsi="Arial"/>
          <w:sz w:val="17"/>
          <w:szCs w:val="17"/>
          <w:color w:val="auto"/>
        </w:rPr>
      </w:pPr>
    </w:p>
    <w:p>
      <w:pPr>
        <w:ind w:left="1080" w:right="380" w:hanging="545"/>
        <w:spacing w:after="0" w:line="332"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reviewing and evaluating our executive compensation and benefits policies generally (subject, if applicable, to shareholder approval), including the review and recommendation of any incentive-compensation and equity-based plans that are subject to the approval of our Board of Directors;</w:t>
      </w:r>
    </w:p>
    <w:p>
      <w:pPr>
        <w:spacing w:after="0" w:line="21" w:lineRule="exact"/>
        <w:rPr>
          <w:rFonts w:ascii="Arial" w:cs="Arial" w:eastAsia="Arial" w:hAnsi="Arial"/>
          <w:sz w:val="15"/>
          <w:szCs w:val="15"/>
          <w:color w:val="auto"/>
        </w:rPr>
      </w:pPr>
    </w:p>
    <w:p>
      <w:pPr>
        <w:ind w:left="1080" w:hanging="545"/>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reviewing and reassessing the adequacy of the committee charter;</w:t>
      </w:r>
    </w:p>
    <w:p>
      <w:pPr>
        <w:spacing w:after="0" w:line="103" w:lineRule="exact"/>
        <w:rPr>
          <w:rFonts w:ascii="Arial" w:cs="Arial" w:eastAsia="Arial" w:hAnsi="Arial"/>
          <w:sz w:val="17"/>
          <w:szCs w:val="17"/>
          <w:color w:val="auto"/>
        </w:rPr>
      </w:pPr>
    </w:p>
    <w:p>
      <w:pPr>
        <w:ind w:left="1080" w:right="200" w:hanging="545"/>
        <w:spacing w:after="0" w:line="264"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selecting compensation consultant, legal counsel or other adviser only after taking into consideration all factors relevant to that person’s independence from management; and</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reporting regularly to our Board of Directors.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03" w:lineRule="exact"/>
        <w:rPr>
          <w:sz w:val="20"/>
          <w:szCs w:val="20"/>
          <w:color w:val="auto"/>
        </w:rPr>
      </w:pPr>
    </w:p>
    <w:p>
      <w:pPr>
        <w:ind w:right="200" w:firstLine="547"/>
        <w:spacing w:after="0" w:line="295" w:lineRule="auto"/>
        <w:rPr>
          <w:sz w:val="20"/>
          <w:szCs w:val="20"/>
          <w:color w:val="auto"/>
        </w:rPr>
      </w:pPr>
      <w:r>
        <w:rPr>
          <w:rFonts w:ascii="Arial" w:cs="Arial" w:eastAsia="Arial" w:hAnsi="Arial"/>
          <w:sz w:val="15"/>
          <w:szCs w:val="15"/>
          <w:color w:val="auto"/>
        </w:rPr>
        <w:t>Our nominating and corporate governance committee consists of Mr. Peng Ou, Mr. Tongbo Liu and Mr. Zheng Zhao, and is chaired by Mr. Peng Ou. We have determined that Mr. Zheng Zhao satisfies the “independence” requirements of Section 303A of the Corporate Governance Rules of the NYSE. The nominating and corporate governance committee assists our Board of Directors in selecting individuals qualified to become our directors and in determining the composition of our Board of Directors and its committees. The nominating and corporate governance committee is also responsible for, among other things:</w:t>
      </w:r>
    </w:p>
    <w:p>
      <w:pPr>
        <w:spacing w:after="0" w:line="49" w:lineRule="exact"/>
        <w:rPr>
          <w:sz w:val="20"/>
          <w:szCs w:val="20"/>
          <w:color w:val="auto"/>
        </w:rPr>
      </w:pPr>
    </w:p>
    <w:p>
      <w:pPr>
        <w:ind w:left="1080" w:hanging="545"/>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overseeing searches for and identify qualified individuals for membership on our Board of Directors;</w:t>
      </w:r>
    </w:p>
    <w:p>
      <w:pPr>
        <w:spacing w:after="0" w:line="103" w:lineRule="exact"/>
        <w:rPr>
          <w:rFonts w:ascii="Arial" w:cs="Arial" w:eastAsia="Arial" w:hAnsi="Arial"/>
          <w:sz w:val="17"/>
          <w:szCs w:val="17"/>
          <w:color w:val="auto"/>
        </w:rPr>
      </w:pPr>
    </w:p>
    <w:p>
      <w:pPr>
        <w:ind w:left="1080" w:right="460" w:hanging="545"/>
        <w:spacing w:after="0" w:line="264"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recommending to our Board of Directors criteria for membership on our Board of Directors and its committees and recommending individuals for membership on our Board of Directors and its committees;</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least annually, leading our Board of Directors in a self-evaluation to determine whether it and its committees are functioning effectively;</w:t>
      </w:r>
    </w:p>
    <w:p>
      <w:pPr>
        <w:spacing w:after="0" w:line="114" w:lineRule="exact"/>
        <w:rPr>
          <w:rFonts w:ascii="Arial" w:cs="Arial" w:eastAsia="Arial" w:hAnsi="Arial"/>
          <w:sz w:val="16"/>
          <w:szCs w:val="16"/>
          <w:color w:val="auto"/>
        </w:rPr>
      </w:pPr>
    </w:p>
    <w:p>
      <w:pPr>
        <w:ind w:left="1080" w:right="100" w:hanging="545"/>
        <w:spacing w:after="0" w:line="264"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 least annually, reviewing the evaluations prepared by each board committee of such committee’s performance and consider any recommendations for proposed changes to our Board of Directors;</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reviewing and approving compensation (including equity-based compensation) for our directors;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overseeing an orientation and continuing education program for directors;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reviewing and reassessing the adequacy of the committee charter; and</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reporting regularly to our Board of Directors.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Duties and Functions of Directors</w:t>
      </w:r>
    </w:p>
    <w:p>
      <w:pPr>
        <w:spacing w:after="0" w:line="107" w:lineRule="exact"/>
        <w:rPr>
          <w:sz w:val="20"/>
          <w:szCs w:val="20"/>
          <w:color w:val="auto"/>
        </w:rPr>
      </w:pPr>
    </w:p>
    <w:p>
      <w:pPr>
        <w:ind w:firstLine="547"/>
        <w:spacing w:after="0" w:line="279" w:lineRule="auto"/>
        <w:rPr>
          <w:sz w:val="20"/>
          <w:szCs w:val="20"/>
          <w:color w:val="auto"/>
        </w:rPr>
      </w:pPr>
      <w:r>
        <w:rPr>
          <w:rFonts w:ascii="Arial" w:cs="Arial" w:eastAsia="Arial" w:hAnsi="Arial"/>
          <w:sz w:val="15"/>
          <w:szCs w:val="15"/>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The functions and powers of our Board of Directors include, among others, (i) convening shareholders’ annual general meetings and reporting its work to shareholders at such meetings, (ii) declaring dividends,</w:t>
      </w:r>
    </w:p>
    <w:p>
      <w:pPr>
        <w:spacing w:after="0" w:line="2" w:lineRule="exact"/>
        <w:rPr>
          <w:sz w:val="20"/>
          <w:szCs w:val="20"/>
          <w:color w:val="auto"/>
        </w:rPr>
      </w:pPr>
    </w:p>
    <w:p>
      <w:pPr>
        <w:ind w:right="80"/>
        <w:spacing w:after="0" w:line="249" w:lineRule="auto"/>
        <w:tabs>
          <w:tab w:leader="none" w:pos="2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appointing officers and determining their terms of offices and responsibilities, and (iv) approving the transfer of shares of our company, including the registering of such shares in our share register.</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Terms of Directors and Officers</w:t>
      </w:r>
    </w:p>
    <w:p>
      <w:pPr>
        <w:spacing w:after="0" w:line="107" w:lineRule="exact"/>
        <w:rPr>
          <w:sz w:val="20"/>
          <w:szCs w:val="20"/>
          <w:color w:val="auto"/>
        </w:rPr>
      </w:pPr>
    </w:p>
    <w:p>
      <w:pPr>
        <w:ind w:firstLine="547"/>
        <w:spacing w:after="0" w:line="264" w:lineRule="auto"/>
        <w:rPr>
          <w:sz w:val="20"/>
          <w:szCs w:val="20"/>
          <w:color w:val="auto"/>
        </w:rPr>
      </w:pPr>
      <w:r>
        <w:rPr>
          <w:rFonts w:ascii="Arial" w:cs="Arial" w:eastAsia="Arial" w:hAnsi="Arial"/>
          <w:sz w:val="16"/>
          <w:szCs w:val="16"/>
          <w:color w:val="auto"/>
        </w:rPr>
        <w:t>Our officers are elected by and serve at the discretion of the board. Each director is not subject to a term of office and holds office until such time as his successor takes office or until the earlier of his death, resignation or removal from office by ordinary resolution of the shareholders. A vacancy on the board created by the removal of a director may be filled by ordinary resolution or by the affirmative vote of a simple majority of the remaining directors present and voting at a board meeting. Mr. Peng Ou shall have the right to appoint or remove any Management Director (as defined under our fourth amended and restate memorandum and articles of association) by delivering a written notice to our company, provided that the Founder shall not be entitled to exercise such right if he or his affiliates do not hold any shares. A director will be removed from office automatically if, among other things, the director (i) becomes bankrupt or makes any arrangement or composition with his creditors; (ii) dies or is found by our company to be of unsound mind; (iii) resigns by notice in writing to our company; (iv) is prohibited by law or the rules of the New York Stock Exchange from being a director; or (v) is removed from office pursuant to any other provisions of our fourth amended and restated memorandum and articles of association.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92" w:name="page93"/>
    <w:bookmarkEnd w:id="92"/>
    <w:p>
      <w:pPr>
        <w:ind w:left="20"/>
        <w:spacing w:after="0"/>
        <w:tabs>
          <w:tab w:leader="none" w:pos="540" w:val="left"/>
        </w:tabs>
        <w:rPr>
          <w:sz w:val="20"/>
          <w:szCs w:val="20"/>
          <w:color w:val="auto"/>
        </w:rPr>
      </w:pPr>
      <w:r>
        <w:rPr>
          <w:rFonts w:ascii="Arial" w:cs="Arial" w:eastAsia="Arial" w:hAnsi="Arial"/>
          <w:sz w:val="17"/>
          <w:szCs w:val="17"/>
          <w:b w:val="1"/>
          <w:bCs w:val="1"/>
          <w:color w:val="auto"/>
        </w:rPr>
        <w:t>6.D.</w:t>
      </w:r>
      <w:r>
        <w:rPr>
          <w:sz w:val="20"/>
          <w:szCs w:val="20"/>
          <w:color w:val="auto"/>
        </w:rPr>
        <w:tab/>
      </w:r>
      <w:r>
        <w:rPr>
          <w:rFonts w:ascii="Arial" w:cs="Arial" w:eastAsia="Arial" w:hAnsi="Arial"/>
          <w:sz w:val="13"/>
          <w:szCs w:val="13"/>
          <w:b w:val="1"/>
          <w:bCs w:val="1"/>
          <w:color w:val="auto"/>
        </w:rPr>
        <w:t>Employees</w:t>
      </w:r>
    </w:p>
    <w:p>
      <w:pPr>
        <w:spacing w:after="0" w:line="107" w:lineRule="exact"/>
        <w:rPr>
          <w:sz w:val="20"/>
          <w:szCs w:val="20"/>
          <w:color w:val="auto"/>
        </w:rPr>
      </w:pPr>
    </w:p>
    <w:p>
      <w:pPr>
        <w:ind w:left="20" w:right="160" w:firstLine="547"/>
        <w:spacing w:after="0" w:line="264" w:lineRule="auto"/>
        <w:rPr>
          <w:sz w:val="20"/>
          <w:szCs w:val="20"/>
          <w:color w:val="auto"/>
        </w:rPr>
      </w:pPr>
      <w:r>
        <w:rPr>
          <w:rFonts w:ascii="Arial" w:cs="Arial" w:eastAsia="Arial" w:hAnsi="Arial"/>
          <w:sz w:val="17"/>
          <w:szCs w:val="17"/>
          <w:color w:val="auto"/>
        </w:rPr>
        <w:t>We had 3,847, 2,880 and 7,347 full-time employees as of December 31, 2018, 2019 and 2020, respectively. As of December 31, 2020, most of our employees were in Beijing, Guangzhou, Wuhan and Shenzhen.</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number of our employees as of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Function</w:t>
            </w:r>
          </w:p>
        </w:tc>
        <w:tc>
          <w:tcPr>
            <w:tcW w:w="1840" w:type="dxa"/>
            <w:vAlign w:val="bottom"/>
            <w:gridSpan w:val="2"/>
          </w:tcPr>
          <w:p>
            <w:pPr>
              <w:ind w:left="300"/>
              <w:spacing w:after="0"/>
              <w:rPr>
                <w:sz w:val="20"/>
                <w:szCs w:val="20"/>
                <w:color w:val="auto"/>
              </w:rPr>
            </w:pPr>
            <w:r>
              <w:rPr>
                <w:rFonts w:ascii="Arial" w:cs="Arial" w:eastAsia="Arial" w:hAnsi="Arial"/>
                <w:sz w:val="13"/>
                <w:szCs w:val="13"/>
                <w:b w:val="1"/>
                <w:bCs w:val="1"/>
                <w:color w:val="auto"/>
              </w:rPr>
              <w:t>Number of Full-</w:t>
            </w:r>
          </w:p>
        </w:tc>
        <w:tc>
          <w:tcPr>
            <w:tcW w:w="1720" w:type="dxa"/>
            <w:vAlign w:val="bottom"/>
            <w:gridSpan w:val="2"/>
            <w:vMerge w:val="restart"/>
          </w:tcPr>
          <w:p>
            <w:pPr>
              <w:jc w:val="right"/>
              <w:ind w:right="620"/>
              <w:spacing w:after="0"/>
              <w:rPr>
                <w:sz w:val="20"/>
                <w:szCs w:val="20"/>
                <w:color w:val="auto"/>
              </w:rPr>
            </w:pPr>
            <w:r>
              <w:rPr>
                <w:rFonts w:ascii="Arial" w:cs="Arial" w:eastAsia="Arial" w:hAnsi="Arial"/>
                <w:sz w:val="13"/>
                <w:szCs w:val="13"/>
                <w:b w:val="1"/>
                <w:bCs w:val="1"/>
                <w:color w:val="auto"/>
              </w:rPr>
              <w:t>Percentages</w:t>
            </w:r>
          </w:p>
        </w:tc>
        <w:tc>
          <w:tcPr>
            <w:tcW w:w="0" w:type="dxa"/>
            <w:vAlign w:val="bottom"/>
          </w:tcPr>
          <w:p>
            <w:pPr>
              <w:spacing w:after="0"/>
              <w:rPr>
                <w:sz w:val="1"/>
                <w:szCs w:val="1"/>
                <w:color w:val="auto"/>
              </w:rPr>
            </w:pPr>
          </w:p>
        </w:tc>
      </w:tr>
      <w:tr>
        <w:trPr>
          <w:trHeight w:val="157"/>
        </w:trPr>
        <w:tc>
          <w:tcPr>
            <w:tcW w:w="7700" w:type="dxa"/>
            <w:vAlign w:val="bottom"/>
            <w:gridSpan w:val="4"/>
            <w:vMerge w:val="continue"/>
          </w:tcPr>
          <w:p>
            <w:pPr>
              <w:spacing w:after="0"/>
              <w:rPr>
                <w:sz w:val="13"/>
                <w:szCs w:val="13"/>
                <w:color w:val="auto"/>
              </w:rPr>
            </w:pPr>
          </w:p>
        </w:tc>
        <w:tc>
          <w:tcPr>
            <w:tcW w:w="1840" w:type="dxa"/>
            <w:vAlign w:val="bottom"/>
            <w:gridSpan w:val="2"/>
          </w:tcPr>
          <w:p>
            <w:pPr>
              <w:ind w:left="300"/>
              <w:spacing w:after="0"/>
              <w:rPr>
                <w:sz w:val="20"/>
                <w:szCs w:val="20"/>
                <w:color w:val="auto"/>
              </w:rPr>
            </w:pPr>
            <w:r>
              <w:rPr>
                <w:rFonts w:ascii="Arial" w:cs="Arial" w:eastAsia="Arial" w:hAnsi="Arial"/>
                <w:sz w:val="13"/>
                <w:szCs w:val="13"/>
                <w:b w:val="1"/>
                <w:bCs w:val="1"/>
                <w:color w:val="auto"/>
              </w:rPr>
              <w:t>Time Employees</w:t>
            </w:r>
          </w:p>
        </w:tc>
        <w:tc>
          <w:tcPr>
            <w:tcW w:w="1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Academic and administrative faculty</w:t>
            </w:r>
            <w:r>
              <w:rPr>
                <w:rFonts w:ascii="Arial" w:cs="Arial" w:eastAsia="Arial" w:hAnsi="Arial"/>
                <w:sz w:val="14"/>
                <w:szCs w:val="14"/>
                <w:color w:val="auto"/>
              </w:rPr>
              <w:t>(1)</w:t>
            </w:r>
          </w:p>
        </w:tc>
        <w:tc>
          <w:tcPr>
            <w:tcW w:w="180" w:type="dxa"/>
            <w:vAlign w:val="bottom"/>
            <w:vMerge w:val="continue"/>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1,068</w:t>
            </w:r>
          </w:p>
        </w:tc>
        <w:tc>
          <w:tcPr>
            <w:tcW w:w="2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gridSpan w:val="3"/>
          </w:tcPr>
          <w:p>
            <w:pPr>
              <w:spacing w:after="0"/>
              <w:rPr>
                <w:sz w:val="20"/>
                <w:szCs w:val="20"/>
                <w:color w:val="auto"/>
              </w:rPr>
            </w:pPr>
            <w:r>
              <w:rPr>
                <w:rFonts w:ascii="Arial" w:cs="Arial" w:eastAsia="Arial" w:hAnsi="Arial"/>
                <w:sz w:val="17"/>
                <w:szCs w:val="17"/>
                <w:color w:val="auto"/>
              </w:rPr>
              <w:t>Sales and marketing staff</w:t>
            </w:r>
          </w:p>
        </w:tc>
        <w:tc>
          <w:tcPr>
            <w:tcW w:w="1560" w:type="dxa"/>
            <w:vAlign w:val="bottom"/>
          </w:tcPr>
          <w:p>
            <w:pPr>
              <w:jc w:val="right"/>
              <w:spacing w:after="0"/>
              <w:rPr>
                <w:sz w:val="20"/>
                <w:szCs w:val="20"/>
                <w:color w:val="auto"/>
              </w:rPr>
            </w:pPr>
            <w:r>
              <w:rPr>
                <w:rFonts w:ascii="Arial" w:cs="Arial" w:eastAsia="Arial" w:hAnsi="Arial"/>
                <w:sz w:val="17"/>
                <w:szCs w:val="17"/>
                <w:color w:val="auto"/>
              </w:rPr>
              <w:t>5,220</w:t>
            </w:r>
          </w:p>
        </w:tc>
        <w:tc>
          <w:tcPr>
            <w:tcW w:w="2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Sales operation</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495</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gridSpan w:val="3"/>
          </w:tcPr>
          <w:p>
            <w:pPr>
              <w:spacing w:after="0"/>
              <w:rPr>
                <w:sz w:val="20"/>
                <w:szCs w:val="20"/>
                <w:color w:val="auto"/>
              </w:rPr>
            </w:pPr>
            <w:r>
              <w:rPr>
                <w:rFonts w:ascii="Arial" w:cs="Arial" w:eastAsia="Arial" w:hAnsi="Arial"/>
                <w:sz w:val="17"/>
                <w:szCs w:val="17"/>
                <w:color w:val="auto"/>
              </w:rPr>
              <w:t>General and administrative</w:t>
            </w:r>
          </w:p>
        </w:tc>
        <w:tc>
          <w:tcPr>
            <w:tcW w:w="1560" w:type="dxa"/>
            <w:vAlign w:val="bottom"/>
          </w:tcPr>
          <w:p>
            <w:pPr>
              <w:jc w:val="right"/>
              <w:spacing w:after="0"/>
              <w:rPr>
                <w:sz w:val="20"/>
                <w:szCs w:val="20"/>
                <w:color w:val="auto"/>
              </w:rPr>
            </w:pPr>
            <w:r>
              <w:rPr>
                <w:rFonts w:ascii="Arial" w:cs="Arial" w:eastAsia="Arial" w:hAnsi="Arial"/>
                <w:sz w:val="17"/>
                <w:szCs w:val="17"/>
                <w:color w:val="auto"/>
              </w:rPr>
              <w:t>240</w:t>
            </w:r>
          </w:p>
        </w:tc>
        <w:tc>
          <w:tcPr>
            <w:tcW w:w="2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Technology development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
        </w:trPr>
        <w:tc>
          <w:tcPr>
            <w:tcW w:w="77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w:t>
            </w:r>
          </w:p>
        </w:tc>
        <w:tc>
          <w:tcPr>
            <w:tcW w:w="1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00" w:type="dxa"/>
            <w:vAlign w:val="bottom"/>
            <w:gridSpan w:val="4"/>
            <w:vMerge w:val="continue"/>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7,347</w:t>
            </w:r>
          </w:p>
        </w:tc>
        <w:tc>
          <w:tcPr>
            <w:tcW w:w="28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Note: (1) Consists of teachers, mentors, course and educational content development professionals, and other administrative faculty members.</w:t>
      </w:r>
    </w:p>
    <w:p>
      <w:pPr>
        <w:spacing w:after="0" w:line="191" w:lineRule="exact"/>
        <w:rPr>
          <w:sz w:val="20"/>
          <w:szCs w:val="20"/>
          <w:color w:val="auto"/>
        </w:rPr>
      </w:pPr>
    </w:p>
    <w:p>
      <w:pPr>
        <w:ind w:left="20" w:firstLine="547"/>
        <w:spacing w:after="0" w:line="332" w:lineRule="auto"/>
        <w:rPr>
          <w:sz w:val="20"/>
          <w:szCs w:val="20"/>
          <w:color w:val="auto"/>
        </w:rPr>
      </w:pPr>
      <w:r>
        <w:rPr>
          <w:rFonts w:ascii="Arial" w:cs="Arial" w:eastAsia="Arial" w:hAnsi="Arial"/>
          <w:sz w:val="15"/>
          <w:szCs w:val="15"/>
          <w:color w:val="auto"/>
        </w:rPr>
        <w:t>We enter into employment contracts with our full-time employees which contain standard confidentiality and non-compete provisions. In addition to salaries and benefits, we provide performance-based bonuses for our full-time employees and commission-based compensation for our sales and marketing force.</w:t>
      </w:r>
    </w:p>
    <w:p>
      <w:pPr>
        <w:spacing w:after="0" w:line="121" w:lineRule="exact"/>
        <w:rPr>
          <w:sz w:val="20"/>
          <w:szCs w:val="20"/>
          <w:color w:val="auto"/>
        </w:rPr>
      </w:pPr>
    </w:p>
    <w:p>
      <w:pPr>
        <w:ind w:left="20" w:right="200" w:firstLine="547"/>
        <w:spacing w:after="0" w:line="295" w:lineRule="auto"/>
        <w:rPr>
          <w:sz w:val="20"/>
          <w:szCs w:val="20"/>
          <w:color w:val="auto"/>
        </w:rPr>
      </w:pPr>
      <w:r>
        <w:rPr>
          <w:rFonts w:ascii="Arial" w:cs="Arial" w:eastAsia="Arial" w:hAnsi="Arial"/>
          <w:sz w:val="15"/>
          <w:szCs w:val="15"/>
          <w:color w:val="auto"/>
        </w:rPr>
        <w:t>Under PRC law, we participate in various employee social security plans that are organized by municipal and provincial governments for our PRC-based full-time employees, including pension, unemployment insurance, childbirth insurance, work-related injury insurance, medical insurance and housing insurance. We are required under PRC law to make contributions from time to time to employee benefit plans for our PRC-based full-time employees at specified percentages of the salaries, bonuses and certain allowances of such employees, up to a maximum amount specified by the local governments in China.</w:t>
      </w:r>
    </w:p>
    <w:p>
      <w:pPr>
        <w:spacing w:after="0" w:line="149" w:lineRule="exact"/>
        <w:rPr>
          <w:sz w:val="20"/>
          <w:szCs w:val="20"/>
          <w:color w:val="auto"/>
        </w:rPr>
      </w:pPr>
    </w:p>
    <w:p>
      <w:pPr>
        <w:ind w:left="20" w:right="100" w:firstLine="547"/>
        <w:spacing w:after="0" w:line="264" w:lineRule="auto"/>
        <w:rPr>
          <w:sz w:val="20"/>
          <w:szCs w:val="20"/>
          <w:color w:val="auto"/>
        </w:rPr>
      </w:pPr>
      <w:r>
        <w:rPr>
          <w:rFonts w:ascii="Arial" w:cs="Arial" w:eastAsia="Arial" w:hAnsi="Arial"/>
          <w:sz w:val="17"/>
          <w:szCs w:val="17"/>
          <w:color w:val="auto"/>
        </w:rPr>
        <w:t>We believe that we maintain a good working relationship with our employees, and we have not experienced any material labor disputes in the past. None of our employees are represented by labor unions.</w:t>
      </w:r>
    </w:p>
    <w:p>
      <w:pPr>
        <w:spacing w:after="0" w:line="264"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7"/>
          <w:szCs w:val="17"/>
          <w:b w:val="1"/>
          <w:bCs w:val="1"/>
          <w:color w:val="auto"/>
        </w:rPr>
        <w:t>6.E.</w:t>
      </w:r>
      <w:r>
        <w:rPr>
          <w:sz w:val="20"/>
          <w:szCs w:val="20"/>
          <w:color w:val="auto"/>
        </w:rPr>
        <w:tab/>
      </w:r>
      <w:r>
        <w:rPr>
          <w:rFonts w:ascii="Arial" w:cs="Arial" w:eastAsia="Arial" w:hAnsi="Arial"/>
          <w:sz w:val="15"/>
          <w:szCs w:val="15"/>
          <w:b w:val="1"/>
          <w:bCs w:val="1"/>
          <w:color w:val="auto"/>
        </w:rPr>
        <w:t>Share Ownership</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concerning the beneficial ownership of our ordinary shares as of March 31, 2021 by:</w:t>
      </w:r>
    </w:p>
    <w:p>
      <w:pPr>
        <w:spacing w:after="0" w:line="103" w:lineRule="exact"/>
        <w:rPr>
          <w:sz w:val="20"/>
          <w:szCs w:val="20"/>
          <w:color w:val="auto"/>
        </w:rPr>
      </w:pPr>
    </w:p>
    <w:p>
      <w:pPr>
        <w:ind w:left="1100" w:hanging="545"/>
        <w:spacing w:after="0"/>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of our directors and executive officers; and</w:t>
      </w:r>
    </w:p>
    <w:p>
      <w:pPr>
        <w:spacing w:after="0" w:line="103" w:lineRule="exact"/>
        <w:rPr>
          <w:rFonts w:ascii="Arial" w:cs="Arial" w:eastAsia="Arial" w:hAnsi="Arial"/>
          <w:sz w:val="17"/>
          <w:szCs w:val="17"/>
          <w:color w:val="auto"/>
        </w:rPr>
      </w:pPr>
    </w:p>
    <w:p>
      <w:pPr>
        <w:ind w:left="1100" w:hanging="545"/>
        <w:spacing w:after="0"/>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person known to us to beneficially own more than 5% of our ordinary shares.</w:t>
      </w:r>
    </w:p>
    <w:p>
      <w:pPr>
        <w:spacing w:after="0" w:line="203" w:lineRule="exact"/>
        <w:rPr>
          <w:sz w:val="20"/>
          <w:szCs w:val="20"/>
          <w:color w:val="auto"/>
        </w:rPr>
      </w:pPr>
    </w:p>
    <w:p>
      <w:pPr>
        <w:ind w:left="20" w:right="420" w:firstLine="547"/>
        <w:spacing w:after="0" w:line="264" w:lineRule="auto"/>
        <w:rPr>
          <w:sz w:val="20"/>
          <w:szCs w:val="20"/>
          <w:color w:val="auto"/>
        </w:rPr>
      </w:pPr>
      <w:r>
        <w:rPr>
          <w:rFonts w:ascii="Arial" w:cs="Arial" w:eastAsia="Arial" w:hAnsi="Arial"/>
          <w:sz w:val="17"/>
          <w:szCs w:val="17"/>
          <w:color w:val="auto"/>
        </w:rPr>
        <w:t>The calculations in the table below are based on 6,729,197 issued and outstanding ordinary shares as of March 31, 2021, comprising (i) 1,809,878 Class A ordinary shares, (ii) 826,389 Class B ordinary shares, and (iii) 4,092,930 Class C ordinary shares.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6851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3" w:name="page94"/>
    <w:bookmarkEnd w:id="93"/>
    <w:p>
      <w:pPr>
        <w:ind w:left="20" w:right="80" w:firstLine="547"/>
        <w:spacing w:after="0" w:line="251" w:lineRule="auto"/>
        <w:rPr>
          <w:sz w:val="20"/>
          <w:szCs w:val="20"/>
          <w:color w:val="auto"/>
        </w:rPr>
      </w:pPr>
      <w:r>
        <w:rPr>
          <w:rFonts w:ascii="Arial" w:cs="Arial" w:eastAsia="Arial" w:hAnsi="Arial"/>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3"/>
              </w:rPr>
              <w:t>Ordinary Shares Beneficially Owned</w:t>
            </w: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180" w:type="dxa"/>
            <w:vAlign w:val="bottom"/>
            <w:gridSpan w:val="3"/>
            <w:vMerge w:val="restart"/>
          </w:tcPr>
          <w:p>
            <w:pPr>
              <w:ind w:left="740"/>
              <w:spacing w:after="0"/>
              <w:rPr>
                <w:sz w:val="20"/>
                <w:szCs w:val="20"/>
                <w:color w:val="auto"/>
              </w:rPr>
            </w:pPr>
            <w:r>
              <w:rPr>
                <w:rFonts w:ascii="Arial" w:cs="Arial" w:eastAsia="Arial" w:hAnsi="Arial"/>
                <w:sz w:val="13"/>
                <w:szCs w:val="13"/>
                <w:b w:val="1"/>
                <w:bCs w:val="1"/>
                <w:color w:val="auto"/>
                <w:w w:val="87"/>
              </w:rPr>
              <w:t>Class A</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vMerge w:val="restart"/>
          </w:tcPr>
          <w:p>
            <w:pPr>
              <w:jc w:val="center"/>
              <w:ind w:left="619"/>
              <w:spacing w:after="0"/>
              <w:rPr>
                <w:sz w:val="20"/>
                <w:szCs w:val="20"/>
                <w:color w:val="auto"/>
              </w:rPr>
            </w:pPr>
            <w:r>
              <w:rPr>
                <w:rFonts w:ascii="Arial" w:cs="Arial" w:eastAsia="Arial" w:hAnsi="Arial"/>
                <w:sz w:val="13"/>
                <w:szCs w:val="13"/>
                <w:b w:val="1"/>
                <w:bCs w:val="1"/>
                <w:color w:val="auto"/>
                <w:w w:val="87"/>
              </w:rPr>
              <w:t>Class B</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3"/>
            <w:vMerge w:val="restart"/>
          </w:tcPr>
          <w:p>
            <w:pPr>
              <w:ind w:left="740"/>
              <w:spacing w:after="0"/>
              <w:rPr>
                <w:sz w:val="20"/>
                <w:szCs w:val="20"/>
                <w:color w:val="auto"/>
              </w:rPr>
            </w:pPr>
            <w:r>
              <w:rPr>
                <w:rFonts w:ascii="Arial" w:cs="Arial" w:eastAsia="Arial" w:hAnsi="Arial"/>
                <w:sz w:val="13"/>
                <w:szCs w:val="13"/>
                <w:b w:val="1"/>
                <w:bCs w:val="1"/>
                <w:color w:val="auto"/>
                <w:w w:val="87"/>
              </w:rPr>
              <w:t>Class C</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3"/>
              </w:rPr>
              <w:t>Voting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Power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80" w:type="dxa"/>
            <w:vAlign w:val="bottom"/>
            <w:gridSpan w:val="3"/>
          </w:tcPr>
          <w:p>
            <w:pPr>
              <w:ind w:left="180"/>
              <w:spacing w:after="0" w:line="142" w:lineRule="exact"/>
              <w:rPr>
                <w:sz w:val="20"/>
                <w:szCs w:val="20"/>
                <w:color w:val="auto"/>
              </w:rPr>
            </w:pPr>
            <w:r>
              <w:rPr>
                <w:rFonts w:ascii="Arial" w:cs="Arial" w:eastAsia="Arial" w:hAnsi="Arial"/>
                <w:sz w:val="13"/>
                <w:szCs w:val="13"/>
                <w:b w:val="1"/>
                <w:bCs w:val="1"/>
                <w:color w:val="auto"/>
              </w:rPr>
              <w:t>Number</w:t>
            </w:r>
          </w:p>
        </w:tc>
        <w:tc>
          <w:tcPr>
            <w:tcW w:w="740" w:type="dxa"/>
            <w:vAlign w:val="bottom"/>
          </w:tcPr>
          <w:p>
            <w:pPr>
              <w:jc w:val="right"/>
              <w:ind w:right="38"/>
              <w:spacing w:after="0" w:line="142" w:lineRule="exact"/>
              <w:rPr>
                <w:sz w:val="20"/>
                <w:szCs w:val="20"/>
                <w:color w:val="auto"/>
              </w:rPr>
            </w:pPr>
            <w:r>
              <w:rPr>
                <w:rFonts w:ascii="Arial" w:cs="Arial" w:eastAsia="Arial" w:hAnsi="Arial"/>
                <w:sz w:val="13"/>
                <w:szCs w:val="13"/>
                <w:b w:val="1"/>
                <w:bCs w:val="1"/>
                <w:color w:val="auto"/>
                <w:w w:val="85"/>
              </w:rPr>
              <w:t>Percentage</w:t>
            </w:r>
          </w:p>
        </w:tc>
        <w:tc>
          <w:tcPr>
            <w:tcW w:w="260" w:type="dxa"/>
            <w:vAlign w:val="bottom"/>
          </w:tcPr>
          <w:p>
            <w:pPr>
              <w:spacing w:after="0"/>
              <w:rPr>
                <w:sz w:val="12"/>
                <w:szCs w:val="12"/>
                <w:color w:val="auto"/>
              </w:rPr>
            </w:pPr>
          </w:p>
        </w:tc>
        <w:tc>
          <w:tcPr>
            <w:tcW w:w="1160" w:type="dxa"/>
            <w:vAlign w:val="bottom"/>
            <w:gridSpan w:val="3"/>
          </w:tcPr>
          <w:p>
            <w:pPr>
              <w:ind w:left="160"/>
              <w:spacing w:after="0" w:line="142" w:lineRule="exact"/>
              <w:rPr>
                <w:sz w:val="20"/>
                <w:szCs w:val="20"/>
                <w:color w:val="auto"/>
              </w:rPr>
            </w:pPr>
            <w:r>
              <w:rPr>
                <w:rFonts w:ascii="Arial" w:cs="Arial" w:eastAsia="Arial" w:hAnsi="Arial"/>
                <w:sz w:val="13"/>
                <w:szCs w:val="13"/>
                <w:b w:val="1"/>
                <w:bCs w:val="1"/>
                <w:color w:val="auto"/>
              </w:rPr>
              <w:t>Number</w:t>
            </w:r>
          </w:p>
        </w:tc>
        <w:tc>
          <w:tcPr>
            <w:tcW w:w="740" w:type="dxa"/>
            <w:vAlign w:val="bottom"/>
          </w:tcPr>
          <w:p>
            <w:pPr>
              <w:jc w:val="right"/>
              <w:ind w:right="18"/>
              <w:spacing w:after="0" w:line="142" w:lineRule="exact"/>
              <w:rPr>
                <w:sz w:val="20"/>
                <w:szCs w:val="20"/>
                <w:color w:val="auto"/>
              </w:rPr>
            </w:pPr>
            <w:r>
              <w:rPr>
                <w:rFonts w:ascii="Arial" w:cs="Arial" w:eastAsia="Arial" w:hAnsi="Arial"/>
                <w:sz w:val="13"/>
                <w:szCs w:val="13"/>
                <w:b w:val="1"/>
                <w:bCs w:val="1"/>
                <w:color w:val="auto"/>
                <w:w w:val="88"/>
              </w:rPr>
              <w:t>Percentage</w:t>
            </w:r>
          </w:p>
        </w:tc>
        <w:tc>
          <w:tcPr>
            <w:tcW w:w="260" w:type="dxa"/>
            <w:vAlign w:val="bottom"/>
          </w:tcPr>
          <w:p>
            <w:pPr>
              <w:spacing w:after="0"/>
              <w:rPr>
                <w:sz w:val="12"/>
                <w:szCs w:val="12"/>
                <w:color w:val="auto"/>
              </w:rPr>
            </w:pPr>
          </w:p>
        </w:tc>
        <w:tc>
          <w:tcPr>
            <w:tcW w:w="1180" w:type="dxa"/>
            <w:vAlign w:val="bottom"/>
            <w:gridSpan w:val="3"/>
          </w:tcPr>
          <w:p>
            <w:pPr>
              <w:ind w:left="180"/>
              <w:spacing w:after="0" w:line="142" w:lineRule="exact"/>
              <w:rPr>
                <w:sz w:val="20"/>
                <w:szCs w:val="20"/>
                <w:color w:val="auto"/>
              </w:rPr>
            </w:pPr>
            <w:r>
              <w:rPr>
                <w:rFonts w:ascii="Arial" w:cs="Arial" w:eastAsia="Arial" w:hAnsi="Arial"/>
                <w:sz w:val="13"/>
                <w:szCs w:val="13"/>
                <w:b w:val="1"/>
                <w:bCs w:val="1"/>
                <w:color w:val="auto"/>
              </w:rPr>
              <w:t>Number</w:t>
            </w:r>
          </w:p>
        </w:tc>
        <w:tc>
          <w:tcPr>
            <w:tcW w:w="760" w:type="dxa"/>
            <w:vAlign w:val="bottom"/>
          </w:tcPr>
          <w:p>
            <w:pPr>
              <w:jc w:val="right"/>
              <w:ind w:right="38"/>
              <w:spacing w:after="0" w:line="142" w:lineRule="exact"/>
              <w:rPr>
                <w:sz w:val="20"/>
                <w:szCs w:val="20"/>
                <w:color w:val="auto"/>
              </w:rPr>
            </w:pPr>
            <w:r>
              <w:rPr>
                <w:rFonts w:ascii="Arial" w:cs="Arial" w:eastAsia="Arial" w:hAnsi="Arial"/>
                <w:sz w:val="13"/>
                <w:szCs w:val="13"/>
                <w:b w:val="1"/>
                <w:bCs w:val="1"/>
                <w:color w:val="auto"/>
                <w:w w:val="88"/>
              </w:rPr>
              <w:t>Percentage</w:t>
            </w:r>
          </w:p>
        </w:tc>
        <w:tc>
          <w:tcPr>
            <w:tcW w:w="2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Directors and Executive Officers:†</w:t>
            </w: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Peng Ou</w:t>
            </w:r>
            <w:r>
              <w:rPr>
                <w:rFonts w:ascii="Arial" w:cs="Arial" w:eastAsia="Arial" w:hAnsi="Arial"/>
                <w:sz w:val="14"/>
                <w:szCs w:val="14"/>
                <w:color w:val="auto"/>
              </w:rPr>
              <w:t>(1)</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2,833,024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Tongbo Liu</w:t>
            </w:r>
            <w:r>
              <w:rPr>
                <w:rFonts w:ascii="Arial" w:cs="Arial" w:eastAsia="Arial" w:hAnsi="Arial"/>
                <w:sz w:val="14"/>
                <w:szCs w:val="14"/>
                <w:color w:val="auto"/>
              </w:rPr>
              <w:t>(2)</w:t>
            </w:r>
          </w:p>
        </w:tc>
        <w:tc>
          <w:tcPr>
            <w:tcW w:w="118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1,027,972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Lv Lu</w:t>
            </w:r>
            <w:r>
              <w:rPr>
                <w:rFonts w:ascii="Arial" w:cs="Arial" w:eastAsia="Arial" w:hAnsi="Arial"/>
                <w:sz w:val="14"/>
                <w:szCs w:val="14"/>
                <w:color w:val="auto"/>
              </w:rPr>
              <w:t>(3)</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159,292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Zheng Zhao</w:t>
            </w:r>
          </w:p>
        </w:tc>
        <w:tc>
          <w:tcPr>
            <w:tcW w:w="118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Yang Wang</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Zheng Du</w:t>
            </w:r>
            <w:r>
              <w:rPr>
                <w:rFonts w:ascii="Arial" w:cs="Arial" w:eastAsia="Arial" w:hAnsi="Arial"/>
                <w:sz w:val="14"/>
                <w:szCs w:val="14"/>
                <w:color w:val="auto"/>
              </w:rPr>
              <w:t>(4)</w:t>
            </w:r>
          </w:p>
        </w:tc>
        <w:tc>
          <w:tcPr>
            <w:tcW w:w="118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52,675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Yifan Li</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Jing Gao</w:t>
            </w:r>
            <w:r>
              <w:rPr>
                <w:rFonts w:ascii="Arial" w:cs="Arial" w:eastAsia="Arial" w:hAnsi="Arial"/>
                <w:sz w:val="14"/>
                <w:szCs w:val="14"/>
                <w:color w:val="auto"/>
              </w:rPr>
              <w:t>(5)</w:t>
            </w:r>
          </w:p>
        </w:tc>
        <w:tc>
          <w:tcPr>
            <w:tcW w:w="118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141,035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All directors and executive officers as a group</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3,971,123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97.0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Principal Shareholders: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ELITE CONCEPT HOLDINGS LIMITED</w:t>
            </w:r>
            <w:r>
              <w:rPr>
                <w:rFonts w:ascii="Arial" w:cs="Arial" w:eastAsia="Arial" w:hAnsi="Arial"/>
                <w:sz w:val="14"/>
                <w:szCs w:val="14"/>
                <w:color w:val="auto"/>
              </w:rPr>
              <w:t>(6)</w:t>
            </w:r>
          </w:p>
        </w:tc>
        <w:tc>
          <w:tcPr>
            <w:tcW w:w="840" w:type="dxa"/>
            <w:vAlign w:val="bottom"/>
          </w:tcPr>
          <w:p>
            <w:pPr>
              <w:jc w:val="right"/>
              <w:spacing w:after="0"/>
              <w:rPr>
                <w:sz w:val="20"/>
                <w:szCs w:val="20"/>
                <w:color w:val="auto"/>
              </w:rPr>
            </w:pPr>
            <w:r>
              <w:rPr>
                <w:rFonts w:ascii="Arial" w:cs="Arial" w:eastAsia="Arial" w:hAnsi="Arial"/>
                <w:sz w:val="17"/>
                <w:szCs w:val="17"/>
                <w:color w:val="auto"/>
              </w:rPr>
              <w:t>564,209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31.2</w:t>
            </w:r>
          </w:p>
        </w:tc>
        <w:tc>
          <w:tcPr>
            <w:tcW w:w="26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Affiliates of Orchid Asia</w:t>
            </w:r>
            <w:r>
              <w:rPr>
                <w:rFonts w:ascii="Arial" w:cs="Arial" w:eastAsia="Arial" w:hAnsi="Arial"/>
                <w:sz w:val="14"/>
                <w:szCs w:val="14"/>
                <w:color w:val="auto"/>
              </w:rPr>
              <w:t>(7)</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312,802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Rainbow Land Limited Partnership</w:t>
            </w:r>
            <w:r>
              <w:rPr>
                <w:rFonts w:ascii="Arial" w:cs="Arial" w:eastAsia="Arial" w:hAnsi="Arial"/>
                <w:sz w:val="14"/>
                <w:szCs w:val="14"/>
                <w:color w:val="auto"/>
              </w:rPr>
              <w:t>(8)</w:t>
            </w:r>
          </w:p>
        </w:tc>
        <w:tc>
          <w:tcPr>
            <w:tcW w:w="840" w:type="dxa"/>
            <w:vAlign w:val="bottom"/>
          </w:tcPr>
          <w:p>
            <w:pPr>
              <w:jc w:val="right"/>
              <w:spacing w:after="0"/>
              <w:rPr>
                <w:sz w:val="20"/>
                <w:szCs w:val="20"/>
                <w:color w:val="auto"/>
              </w:rPr>
            </w:pPr>
            <w:r>
              <w:rPr>
                <w:rFonts w:ascii="Arial" w:cs="Arial" w:eastAsia="Arial" w:hAnsi="Arial"/>
                <w:sz w:val="17"/>
                <w:szCs w:val="17"/>
                <w:color w:val="auto"/>
              </w:rPr>
              <w:t>109,974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6.1</w:t>
            </w:r>
          </w:p>
        </w:tc>
        <w:tc>
          <w:tcPr>
            <w:tcW w:w="26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PV PLUTO LIMITED</w:t>
            </w:r>
            <w:r>
              <w:rPr>
                <w:rFonts w:ascii="Arial" w:cs="Arial" w:eastAsia="Arial" w:hAnsi="Arial"/>
                <w:sz w:val="14"/>
                <w:szCs w:val="14"/>
                <w:color w:val="auto"/>
              </w:rPr>
              <w:t>(9)</w:t>
            </w:r>
          </w:p>
        </w:tc>
        <w:tc>
          <w:tcPr>
            <w:tcW w:w="118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826,389</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2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Studyvip Online Education Limited</w:t>
            </w:r>
            <w:r>
              <w:rPr>
                <w:rFonts w:ascii="Arial" w:cs="Arial" w:eastAsia="Arial" w:hAnsi="Arial"/>
                <w:sz w:val="14"/>
                <w:szCs w:val="14"/>
                <w:color w:val="auto"/>
              </w:rPr>
              <w:t>(10)</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2,084,772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Studyvip E-learning Limited</w:t>
            </w:r>
            <w:r>
              <w:rPr>
                <w:rFonts w:ascii="Arial" w:cs="Arial" w:eastAsia="Arial" w:hAnsi="Arial"/>
                <w:sz w:val="14"/>
                <w:szCs w:val="14"/>
                <w:color w:val="auto"/>
              </w:rPr>
              <w:t>(11)</w:t>
            </w:r>
          </w:p>
        </w:tc>
        <w:tc>
          <w:tcPr>
            <w:tcW w:w="118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545,240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SCuPt Global Limited</w:t>
            </w:r>
            <w:r>
              <w:rPr>
                <w:rFonts w:ascii="Arial" w:cs="Arial" w:eastAsia="Arial" w:hAnsi="Arial"/>
                <w:sz w:val="14"/>
                <w:szCs w:val="14"/>
                <w:color w:val="auto"/>
              </w:rPr>
              <w:t>(12)</w:t>
            </w:r>
          </w:p>
        </w:tc>
        <w:tc>
          <w:tcPr>
            <w:tcW w:w="11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355,306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MARBLE FAITH LIMITED</w:t>
            </w:r>
            <w:r>
              <w:rPr>
                <w:rFonts w:ascii="Arial" w:cs="Arial" w:eastAsia="Arial" w:hAnsi="Arial"/>
                <w:sz w:val="14"/>
                <w:szCs w:val="14"/>
                <w:color w:val="auto"/>
              </w:rPr>
              <w:t>(13)</w:t>
            </w:r>
          </w:p>
        </w:tc>
        <w:tc>
          <w:tcPr>
            <w:tcW w:w="118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637,132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79375</wp:posOffset>
            </wp:positionV>
            <wp:extent cx="25336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3365" cy="7620"/>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Note:</w:t>
      </w:r>
    </w:p>
    <w:p>
      <w:pPr>
        <w:ind w:left="560" w:hanging="540"/>
        <w:spacing w:after="0" w:line="219" w:lineRule="auto"/>
        <w:tabs>
          <w:tab w:leader="none" w:pos="560" w:val="left"/>
        </w:tabs>
        <w:numPr>
          <w:ilvl w:val="0"/>
          <w:numId w:val="30"/>
        </w:numPr>
        <w:rPr>
          <w:rFonts w:ascii="Arial" w:cs="Arial" w:eastAsia="Arial" w:hAnsi="Arial"/>
          <w:sz w:val="13"/>
          <w:szCs w:val="13"/>
          <w:b w:val="1"/>
          <w:bCs w:val="1"/>
          <w:color w:val="auto"/>
        </w:rPr>
      </w:pPr>
      <w:r>
        <w:rPr>
          <w:rFonts w:ascii="Arial" w:cs="Arial" w:eastAsia="Arial" w:hAnsi="Arial"/>
          <w:sz w:val="13"/>
          <w:szCs w:val="13"/>
          <w:color w:val="auto"/>
        </w:rPr>
        <w:t>Less than 1% of our total outstanding shares on an as-converted basis.</w:t>
      </w:r>
    </w:p>
    <w:p>
      <w:pPr>
        <w:spacing w:after="0" w:line="1" w:lineRule="exact"/>
        <w:rPr>
          <w:sz w:val="20"/>
          <w:szCs w:val="20"/>
          <w:color w:val="auto"/>
        </w:rPr>
      </w:pPr>
    </w:p>
    <w:p>
      <w:pPr>
        <w:jc w:val="both"/>
        <w:ind w:left="560" w:right="80" w:hanging="540"/>
        <w:spacing w:after="0" w:line="219" w:lineRule="auto"/>
        <w:tabs>
          <w:tab w:leader="none" w:pos="560"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auto"/>
        </w:rPr>
        <w:t>For each person and group included in this column, percentage ownership is calculated by dividing the number of shares beneficially owned by such person or group by the sum of (i) 6,729,197, being the number of ordinary shares on an as-converted basis outstanding as of the date of this annual report and (ii) the number of ordinary shares underlying share options held by such person or group that are exercisable within 60 days after the date of this annual report.</w:t>
      </w:r>
    </w:p>
    <w:p>
      <w:pPr>
        <w:spacing w:after="0" w:line="1" w:lineRule="exact"/>
        <w:rPr>
          <w:rFonts w:ascii="Arial" w:cs="Arial" w:eastAsia="Arial" w:hAnsi="Arial"/>
          <w:sz w:val="13"/>
          <w:szCs w:val="13"/>
          <w:b w:val="1"/>
          <w:bCs w:val="1"/>
          <w:color w:val="auto"/>
        </w:rPr>
      </w:pPr>
    </w:p>
    <w:p>
      <w:pPr>
        <w:ind w:left="560" w:hanging="540"/>
        <w:spacing w:after="0"/>
        <w:tabs>
          <w:tab w:leader="none" w:pos="560" w:val="left"/>
        </w:tabs>
        <w:numPr>
          <w:ilvl w:val="0"/>
          <w:numId w:val="32"/>
        </w:numPr>
        <w:rPr>
          <w:rFonts w:ascii="Arial" w:cs="Arial" w:eastAsia="Arial" w:hAnsi="Arial"/>
          <w:sz w:val="12"/>
          <w:szCs w:val="12"/>
          <w:b w:val="1"/>
          <w:bCs w:val="1"/>
          <w:color w:val="auto"/>
        </w:rPr>
      </w:pPr>
      <w:r>
        <w:rPr>
          <w:rFonts w:ascii="Arial" w:cs="Arial" w:eastAsia="Arial" w:hAnsi="Arial"/>
          <w:sz w:val="12"/>
          <w:szCs w:val="12"/>
          <w:color w:val="auto"/>
        </w:rPr>
        <w:t>For each person and group included in this column, percentage of voting power is calculated by dividing the voting power beneficially owned by such person or group by the voting power of all of our</w:t>
      </w:r>
    </w:p>
    <w:p>
      <w:pPr>
        <w:ind w:left="560"/>
        <w:spacing w:after="0" w:line="219" w:lineRule="auto"/>
        <w:rPr>
          <w:sz w:val="20"/>
          <w:szCs w:val="20"/>
          <w:color w:val="auto"/>
        </w:rPr>
      </w:pPr>
      <w:r>
        <w:rPr>
          <w:rFonts w:ascii="Arial" w:cs="Arial" w:eastAsia="Arial" w:hAnsi="Arial"/>
          <w:sz w:val="13"/>
          <w:szCs w:val="13"/>
          <w:color w:val="auto"/>
        </w:rPr>
        <w:t>ordinary shares as a single class.</w:t>
      </w:r>
    </w:p>
    <w:p>
      <w:pPr>
        <w:spacing w:after="0" w:line="1" w:lineRule="exact"/>
        <w:rPr>
          <w:sz w:val="20"/>
          <w:szCs w:val="20"/>
          <w:color w:val="auto"/>
        </w:rPr>
      </w:pPr>
    </w:p>
    <w:p>
      <w:pPr>
        <w:ind w:left="560" w:right="180" w:hanging="540"/>
        <w:spacing w:after="0" w:line="238" w:lineRule="auto"/>
        <w:tabs>
          <w:tab w:leader="none" w:pos="5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address of our directors and executive officers Mr. Peng Ou, Mr. Tongbo Liu and Ms. Lv Lu is Building 4-6, Chaolai Science Park, No. 36 Chuangyuan Road, Chaoyang District, Beijing, China. The address of Mr. Zheng Zhao is Suite 1503, New Oriental South Building, No. 2 Haidiandongsan Street, Beijing 100080, China. The address of Mr. Yang Wang is Wickhams Cay II, Road Town,</w:t>
      </w:r>
    </w:p>
    <w:p>
      <w:pPr>
        <w:ind w:left="560" w:right="100"/>
        <w:spacing w:after="0" w:line="219" w:lineRule="auto"/>
        <w:rPr>
          <w:sz w:val="20"/>
          <w:szCs w:val="20"/>
          <w:color w:val="auto"/>
        </w:rPr>
      </w:pPr>
      <w:r>
        <w:rPr>
          <w:rFonts w:ascii="Arial" w:cs="Arial" w:eastAsia="Arial" w:hAnsi="Arial"/>
          <w:sz w:val="13"/>
          <w:szCs w:val="13"/>
          <w:color w:val="auto"/>
        </w:rPr>
        <w:t>Tortola, VG1110, the British Virgin Islands. The address of Mr. Yifan Li is 15/F, 1760 Jiangling Road, Binjiang District, Hangzhou, Zhejiang Province, China. The address of Ms. Jing Gao is Building 13, Chaolai Science and Technology Park, Chuangyuan Road, Laiguangying, Chaoyang, Beijing, China.</w:t>
      </w:r>
    </w:p>
    <w:p>
      <w:pPr>
        <w:spacing w:after="0" w:line="1" w:lineRule="exact"/>
        <w:rPr>
          <w:sz w:val="20"/>
          <w:szCs w:val="20"/>
          <w:color w:val="auto"/>
        </w:rPr>
      </w:pPr>
    </w:p>
    <w:p>
      <w:pPr>
        <w:ind w:left="560" w:right="60" w:hanging="540"/>
        <w:spacing w:after="0" w:line="219" w:lineRule="auto"/>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(i) 637,132 Class C ordinary shares held of record by MARBLE FAITH LIMITED, a British Virgin Islands company ultimately wholly owned by Vistra Trust (Hong Kong) Limited as trustee of an irrevocable trust constituted under the laws of the British Virgin Islands, with Mr. Peng Ou as the settlor and certain family members of Mr. Peng Ou as the beneficiaries; (ii) 2,084,772 Class C ordinary shares held of record by Studyvip Online Education Limited, a British Virgin Islands company wholly owned by Mr. Peng Ou; and (iii) 111,120 Class C ordinary shares held of record by Studyvip E-learning Limited, a British Virgin Islands company owned by certain of our directors, executive officers and employees, including Mr. Peng Ou, in which Mr. Peng Ou holds an equity interest of approximately 20.4%.</w:t>
      </w:r>
    </w:p>
    <w:p>
      <w:pPr>
        <w:spacing w:after="0" w:line="3" w:lineRule="exact"/>
        <w:rPr>
          <w:rFonts w:ascii="Arial" w:cs="Arial" w:eastAsia="Arial" w:hAnsi="Arial"/>
          <w:sz w:val="13"/>
          <w:szCs w:val="13"/>
          <w:color w:val="auto"/>
        </w:rPr>
      </w:pPr>
    </w:p>
    <w:p>
      <w:pPr>
        <w:ind w:left="560" w:hanging="540"/>
        <w:spacing w:after="0" w:line="219" w:lineRule="auto"/>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(i) 355,306 Class C ordinary shares held of record by SCuPt Global Limited, a British Virgin Islands company wholly owned by Mr. Tongbo Liu; (ii) 127,426 Class C ordinary shares held of record by The TwinPeak Limited, a British Virgin Islands company ultimately wholly owned by Vistra Trust (Hong Kong) Limited, as trustee of an irrevocable trust constituted under the laws of the British Virgin Islands, with Mr. Tongbo Liu as the settlor and certain family members of Mr. Tongbo Liu as the beneficiaries; and (iii) 545,240 Class C ordinary shares held by Studyvip E-learning Limited, a British Virgin Islands company owned by certain of our directors, executive officers and employees, including Mr. Tongbo Liu. Mr. Tongbo Liu may be deemed to beneficially own these 545,240 Class C ordinary shares as he has the right to direct the voting powers of these Class C ordinary shares held of record by Studyvip E-learning Limited pursuant to certain contractual arrangements under which each of the shareholders of Studyvip E-learning Limited, except Mr. Tongbo Liu, has given Mr. Tongbo Liu the right to vote their respective shares in Studyvip E-learning Limited in the sole discretion of Mr. Tongbo Liu. Mr. Tongbo Liu disclaims beneficial ownership of such Class C ordinary shares held by Studyvip E-learning Limited except to the extent of his indirect pecuniary interest in such ordinary shares.</w:t>
      </w:r>
    </w:p>
    <w:p>
      <w:pPr>
        <w:spacing w:after="0" w:line="4" w:lineRule="exact"/>
        <w:rPr>
          <w:rFonts w:ascii="Arial" w:cs="Arial" w:eastAsia="Arial" w:hAnsi="Arial"/>
          <w:sz w:val="13"/>
          <w:szCs w:val="13"/>
          <w:color w:val="auto"/>
        </w:rPr>
      </w:pPr>
    </w:p>
    <w:p>
      <w:pPr>
        <w:ind w:left="560" w:right="100" w:hanging="540"/>
        <w:spacing w:after="0" w:line="231" w:lineRule="auto"/>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(i) 127,426 Class C ordinary shares held of record by Summer Sea Investment Limited, a British Virgin Islands company ultimately wholly owned by Vistra Trust (Hong Kong) Limited, as trustee of an irrevocable trust constituted under the laws of the British Virgin Islands, with Ms. Lu as the settlor and certain family members of Ms. Lv Lu as the beneficiaries; and (ii) 31,866 Class C ordinary shares held of record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6851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326" w:right="339" w:bottom="1440" w:gutter="0" w:footer="0" w:header="0"/>
        </w:sectPr>
      </w:pPr>
    </w:p>
    <w:bookmarkStart w:id="94" w:name="page95"/>
    <w:bookmarkEnd w:id="94"/>
    <w:p>
      <w:pPr>
        <w:ind w:left="540" w:right="20"/>
        <w:spacing w:after="0" w:line="229" w:lineRule="auto"/>
        <w:rPr>
          <w:sz w:val="20"/>
          <w:szCs w:val="20"/>
          <w:color w:val="auto"/>
        </w:rPr>
      </w:pPr>
      <w:r>
        <w:rPr>
          <w:rFonts w:ascii="Arial" w:cs="Arial" w:eastAsia="Arial" w:hAnsi="Arial"/>
          <w:sz w:val="13"/>
          <w:szCs w:val="13"/>
          <w:color w:val="auto"/>
        </w:rPr>
        <w:t>Studyvip E-learning Limited, a British Virgin Islands company owned by certain of our directors, executive officers and employees, including Ms. Lv Lu, in which Ms. Lv Lu holds an equity interest of approximately 5.8%.</w:t>
      </w:r>
    </w:p>
    <w:p>
      <w:pPr>
        <w:spacing w:after="0" w:line="1" w:lineRule="exact"/>
        <w:rPr>
          <w:sz w:val="20"/>
          <w:szCs w:val="20"/>
          <w:color w:val="auto"/>
        </w:rPr>
      </w:pPr>
    </w:p>
    <w:p>
      <w:pPr>
        <w:ind w:left="540" w:right="440" w:hanging="540"/>
        <w:spacing w:after="0" w:line="219" w:lineRule="auto"/>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52,675 Class C ordinary shares held of record by Studyvip E-learning Limited, a British Virgin Islands company owned by certain of our directors, executive officers and employees, including Mr. Zheng Du, in which Mr. Zheng Du holds an equity interest of approximately 9.7%.</w:t>
      </w:r>
    </w:p>
    <w:p>
      <w:pPr>
        <w:spacing w:after="0" w:line="1" w:lineRule="exact"/>
        <w:rPr>
          <w:rFonts w:ascii="Arial" w:cs="Arial" w:eastAsia="Arial" w:hAnsi="Arial"/>
          <w:sz w:val="13"/>
          <w:szCs w:val="13"/>
          <w:color w:val="auto"/>
        </w:rPr>
      </w:pPr>
    </w:p>
    <w:p>
      <w:pPr>
        <w:ind w:left="540" w:right="100" w:hanging="540"/>
        <w:spacing w:after="0" w:line="219" w:lineRule="auto"/>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(i) 47,214 Class C ordinary shares held of record by Studyvip E-learning Limited, a British Virgin Islands company owned by certain of our directors, executive officers and employees, including Ms. Jing Gao, in which Ms. Jing Gao holds an equity interest of approximately 8.7%; and (ii) 93,821 Class C ordinary shares held by Sunlands Combination Co., Limited, a British Virgin Islands company. Ms. Jing Gao may be deemed to beneficially own these 93,821 Class C ordinary shares as she has the right to direct the voting powers of these Class C ordinary shares held of record by Sunlands Combination Co., Limited pursuant to certain contractual arrangements under which each of the shareholders of Sunlands Combination Co., Limited has given Ms. Jing Gao the right to vote their respective shares in Sunlands Combination Co., Limited in the sole discretion of Ms. Jing Gao.</w:t>
      </w:r>
    </w:p>
    <w:p>
      <w:pPr>
        <w:spacing w:after="0" w:line="3" w:lineRule="exact"/>
        <w:rPr>
          <w:rFonts w:ascii="Arial" w:cs="Arial" w:eastAsia="Arial" w:hAnsi="Arial"/>
          <w:sz w:val="13"/>
          <w:szCs w:val="13"/>
          <w:color w:val="auto"/>
        </w:rPr>
      </w:pPr>
    </w:p>
    <w:p>
      <w:pPr>
        <w:ind w:left="540" w:right="280" w:hanging="540"/>
        <w:spacing w:after="0" w:line="219" w:lineRule="auto"/>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564,209 Class A ordinary shares directly held of record by ELITE CONCEPT HOLDINGS LIMITED, a Hong Kong company. The business address of ELITE CONCEPT HOLDINGS LIMITED is Flat/RM 4308B 43 AIA Tower, 183 Electric Road North Point, Hong Kong.</w:t>
      </w:r>
    </w:p>
    <w:p>
      <w:pPr>
        <w:spacing w:after="0" w:line="1" w:lineRule="exact"/>
        <w:rPr>
          <w:rFonts w:ascii="Arial" w:cs="Arial" w:eastAsia="Arial" w:hAnsi="Arial"/>
          <w:sz w:val="13"/>
          <w:szCs w:val="13"/>
          <w:color w:val="auto"/>
        </w:rPr>
      </w:pPr>
    </w:p>
    <w:p>
      <w:pPr>
        <w:ind w:left="540" w:right="280" w:hanging="540"/>
        <w:spacing w:after="0" w:line="219" w:lineRule="auto"/>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(i) 309,326 Class A ordinary shares directly held by Diamond Tower Investments Limited; and (ii) 86,900 ADSs beneficially owned Ms. Lam Lai Ming. Diamond Tower Investments Limited is part of Orchid Asia V Group, Limited, an investment complex that focuses on companies in Asia and China in particular. Orchid Asia V Group, Limited is a wholly-owned subsidiary of AREO Holdings Limited. AREO Holdings Limited is wholly-owned by Ms. Lam Lai Ming. The business address of Diamond Tower Investments Limited is Vistra Corporate Services Centre, Wickhams Cay II, Road Town Tortola, VG1110, British Virgin Islands.</w:t>
      </w:r>
    </w:p>
    <w:p>
      <w:pPr>
        <w:spacing w:after="0" w:line="2" w:lineRule="exact"/>
        <w:rPr>
          <w:rFonts w:ascii="Arial" w:cs="Arial" w:eastAsia="Arial" w:hAnsi="Arial"/>
          <w:sz w:val="13"/>
          <w:szCs w:val="13"/>
          <w:color w:val="auto"/>
        </w:rPr>
      </w:pPr>
    </w:p>
    <w:p>
      <w:pPr>
        <w:ind w:left="540" w:right="340" w:hanging="540"/>
        <w:spacing w:after="0" w:line="237" w:lineRule="auto"/>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109,974 Class A ordinary shares held of record by Rainbow Land Limited Partnership. The business address of Rainbow Land Limited Partnership is Rm 1203, Park Center, NO. l088, Fangdian Road, Pudong NewArea, Shanghai, China.</w:t>
      </w:r>
    </w:p>
    <w:p>
      <w:pPr>
        <w:spacing w:after="0" w:line="31" w:lineRule="exact"/>
        <w:rPr>
          <w:rFonts w:ascii="Arial" w:cs="Arial" w:eastAsia="Arial" w:hAnsi="Arial"/>
          <w:sz w:val="13"/>
          <w:szCs w:val="13"/>
          <w:color w:val="auto"/>
        </w:rPr>
      </w:pPr>
    </w:p>
    <w:p>
      <w:pPr>
        <w:ind w:left="540" w:right="40" w:hanging="540"/>
        <w:spacing w:after="0" w:line="228" w:lineRule="auto"/>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826,389 Class B ordinary shares held of record by PV PLUTO LIMITED, a British Virgin Islands company. The sole shareholder of PV PLUTO LIMITED is Primavera Capital Fund II L.P. The business address of PV PLUTO LIMITED is Wickhams Cay II, Road Town, Tortola, VG1110, the British Virgin Islands.</w:t>
      </w:r>
    </w:p>
    <w:p>
      <w:pPr>
        <w:ind w:left="540" w:right="60" w:hanging="540"/>
        <w:spacing w:after="0" w:line="219" w:lineRule="auto"/>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2,084,772 Class C ordinary shares held of record by Studyvip Online Education Limited, a British Virgin Islands company wholly owned by Mr. Peng Ou. The business address of Studyvip Online Education Limited is Start Chambers, Wickham’s Cay II, P. O. Box 2221, Road Town, Tortola, the British Virgin Islands.</w:t>
      </w:r>
    </w:p>
    <w:p>
      <w:pPr>
        <w:spacing w:after="0" w:line="1" w:lineRule="exact"/>
        <w:rPr>
          <w:rFonts w:ascii="Arial" w:cs="Arial" w:eastAsia="Arial" w:hAnsi="Arial"/>
          <w:sz w:val="13"/>
          <w:szCs w:val="13"/>
          <w:color w:val="auto"/>
        </w:rPr>
      </w:pPr>
    </w:p>
    <w:p>
      <w:pPr>
        <w:ind w:left="540" w:right="300" w:hanging="540"/>
        <w:spacing w:after="0" w:line="231" w:lineRule="auto"/>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545,240 Class C ordinary shares held of record by Studyvip E-learning Limited, a British Virgin Islands company owned by certain of our directors, executive officers and employees, including Mr. Peng Ou, Ms. Lu Lv, Ms. Jing Gao and Mr. Tongbo Liu. The business address of Studyvip E-learning Limited is Trinity Chambers, PO Box 4301, Road Town, Tortola, British Virgin Islands.</w:t>
      </w:r>
    </w:p>
    <w:p>
      <w:pPr>
        <w:spacing w:after="0" w:line="31" w:lineRule="exact"/>
        <w:rPr>
          <w:rFonts w:ascii="Arial" w:cs="Arial" w:eastAsia="Arial" w:hAnsi="Arial"/>
          <w:sz w:val="13"/>
          <w:szCs w:val="13"/>
          <w:color w:val="auto"/>
        </w:rPr>
      </w:pPr>
    </w:p>
    <w:p>
      <w:pPr>
        <w:ind w:left="540" w:hanging="540"/>
        <w:spacing w:after="0" w:line="250" w:lineRule="auto"/>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355,306 Class C ordinary shares held of record by SCuPt Global Limited, a British Virgin Islands company wholly owned by Mr. Tongbo Liu. The business address of SCuPt Global Limited is Trinity Chambers, PO Box 4301, Road Town, Tortola, the British Virgin Islands.</w:t>
      </w:r>
    </w:p>
    <w:p>
      <w:pPr>
        <w:spacing w:after="0" w:line="24" w:lineRule="exact"/>
        <w:rPr>
          <w:rFonts w:ascii="Arial" w:cs="Arial" w:eastAsia="Arial" w:hAnsi="Arial"/>
          <w:sz w:val="13"/>
          <w:szCs w:val="13"/>
          <w:color w:val="auto"/>
        </w:rPr>
      </w:pPr>
    </w:p>
    <w:p>
      <w:pPr>
        <w:jc w:val="both"/>
        <w:ind w:left="540" w:right="80" w:hanging="540"/>
        <w:spacing w:after="0" w:line="236" w:lineRule="auto"/>
        <w:tabs>
          <w:tab w:leader="none" w:pos="5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637,132 Class C ordinary shares held of record by MARBLE FAITH LIMITED, a British Virgin Islands company ultimately wholly owned by Vistra Trust (Hong Kong) Limited, as trustee of an irrevocable trust constituted under the laws of the British Virgin Islands, with Mr. Peng Ou as the settlor and certain family members of Mr. Peng Ou as the beneficiaries. The business address of MARBLE FAITH LIMITED is Vistra Corporate Services Centre, Wickhams Cay II, Road Town, Tortola, VG 1110, the British Virgin Islands.</w:t>
      </w:r>
    </w:p>
    <w:p>
      <w:pPr>
        <w:spacing w:after="0" w:line="169" w:lineRule="exact"/>
        <w:rPr>
          <w:sz w:val="20"/>
          <w:szCs w:val="20"/>
          <w:color w:val="auto"/>
        </w:rPr>
      </w:pPr>
    </w:p>
    <w:p>
      <w:pPr>
        <w:ind w:right="120" w:firstLine="547"/>
        <w:spacing w:after="0" w:line="291" w:lineRule="auto"/>
        <w:rPr>
          <w:sz w:val="20"/>
          <w:szCs w:val="20"/>
          <w:color w:val="auto"/>
        </w:rPr>
      </w:pPr>
      <w:r>
        <w:rPr>
          <w:rFonts w:ascii="Arial" w:cs="Arial" w:eastAsia="Arial" w:hAnsi="Arial"/>
          <w:sz w:val="12"/>
          <w:szCs w:val="12"/>
          <w:color w:val="auto"/>
        </w:rPr>
        <w:t>To our knowledge, as of March 31, 2021, 899,503 of our Class A ordinary shares were held by one record holder in the United States, which was The Bank of New York Mellon, the depositary of our ADR program. The number of beneficial owners of our ADSs in the United States is likely to be much larger than the number of record holders of our ordinary shares in the United States.</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are not aware of any arrangement that may, at a subsequent date, result in a change of control of our company.</w:t>
      </w:r>
    </w:p>
    <w:p>
      <w:pPr>
        <w:spacing w:after="0" w:line="299" w:lineRule="exact"/>
        <w:rPr>
          <w:sz w:val="20"/>
          <w:szCs w:val="20"/>
          <w:color w:val="auto"/>
        </w:rPr>
      </w:pPr>
    </w:p>
    <w:p>
      <w:pPr>
        <w:ind w:right="4940"/>
        <w:spacing w:after="0" w:line="369" w:lineRule="auto"/>
        <w:rPr>
          <w:sz w:val="20"/>
          <w:szCs w:val="20"/>
          <w:color w:val="auto"/>
        </w:rPr>
      </w:pPr>
      <w:r>
        <w:rPr>
          <w:rFonts w:ascii="Arial" w:cs="Arial" w:eastAsia="Arial" w:hAnsi="Arial"/>
          <w:sz w:val="17"/>
          <w:szCs w:val="17"/>
          <w:b w:val="1"/>
          <w:bCs w:val="1"/>
          <w:color w:val="auto"/>
        </w:rPr>
        <w:t>ITEM 7. MAJOR SHAREHOLDERS AND RELATED PARTY TRANSACTIONS 7.A. Major Shareholders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Please refer to “Item 6. Directors, Senior Management and Employees—6.E. Share Ownership.”</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7.B.</w:t>
      </w:r>
      <w:r>
        <w:rPr>
          <w:sz w:val="20"/>
          <w:szCs w:val="20"/>
          <w:color w:val="auto"/>
        </w:rPr>
        <w:tab/>
      </w:r>
      <w:r>
        <w:rPr>
          <w:rFonts w:ascii="Arial" w:cs="Arial" w:eastAsia="Arial" w:hAnsi="Arial"/>
          <w:sz w:val="13"/>
          <w:szCs w:val="13"/>
          <w:b w:val="1"/>
          <w:bCs w:val="1"/>
          <w:color w:val="auto"/>
        </w:rPr>
        <w:t>Related Party Transactions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Arrangements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See “Item 4. Information on the Company—4.C. Organizational Structure.”</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and Indemnification Agreements</w:t>
      </w:r>
    </w:p>
    <w:p>
      <w:pPr>
        <w:spacing w:after="0" w:line="107" w:lineRule="exact"/>
        <w:rPr>
          <w:sz w:val="20"/>
          <w:szCs w:val="20"/>
          <w:color w:val="auto"/>
        </w:rPr>
      </w:pPr>
    </w:p>
    <w:p>
      <w:pPr>
        <w:ind w:right="700" w:firstLine="547"/>
        <w:spacing w:after="0" w:line="264" w:lineRule="auto"/>
        <w:rPr>
          <w:sz w:val="20"/>
          <w:szCs w:val="20"/>
          <w:color w:val="auto"/>
        </w:rPr>
      </w:pPr>
      <w:r>
        <w:rPr>
          <w:rFonts w:ascii="Arial" w:cs="Arial" w:eastAsia="Arial" w:hAnsi="Arial"/>
          <w:sz w:val="17"/>
          <w:szCs w:val="17"/>
          <w:color w:val="auto"/>
        </w:rPr>
        <w:t>See “Item 6. Directors, Senior Management and Employees—6.A. Directors and Senior Management—Employment Agreements and Indemnification Agreements.”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Incentives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See “Item 6. Directors, Senior Management and Employees—6.B. Compensation—Share Incentive Plan.”</w:t>
      </w:r>
    </w:p>
    <w:p>
      <w:pPr>
        <w:spacing w:after="0" w:line="50"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7.C.</w:t>
      </w:r>
      <w:r>
        <w:rPr>
          <w:sz w:val="20"/>
          <w:szCs w:val="20"/>
          <w:color w:val="auto"/>
        </w:rPr>
        <w:tab/>
      </w:r>
      <w:r>
        <w:rPr>
          <w:rFonts w:ascii="Arial" w:cs="Arial" w:eastAsia="Arial" w:hAnsi="Arial"/>
          <w:sz w:val="13"/>
          <w:szCs w:val="13"/>
          <w:b w:val="1"/>
          <w:bCs w:val="1"/>
          <w:color w:val="auto"/>
        </w:rPr>
        <w:t>Interests of Experts and Counsel</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tabs>
          <w:tab w:leader="none" w:pos="1060" w:val="left"/>
        </w:tabs>
        <w:rPr>
          <w:sz w:val="20"/>
          <w:szCs w:val="20"/>
          <w:color w:val="auto"/>
        </w:rPr>
      </w:pPr>
      <w:r>
        <w:rPr>
          <w:rFonts w:ascii="Arial" w:cs="Arial" w:eastAsia="Arial" w:hAnsi="Arial"/>
          <w:sz w:val="17"/>
          <w:szCs w:val="17"/>
          <w:b w:val="1"/>
          <w:bCs w:val="1"/>
          <w:color w:val="181717"/>
        </w:rPr>
        <w:t>ITEM 8.</w:t>
      </w:r>
      <w:r>
        <w:rPr>
          <w:sz w:val="20"/>
          <w:szCs w:val="20"/>
          <w:color w:val="auto"/>
        </w:rPr>
        <w:tab/>
      </w:r>
      <w:r>
        <w:rPr>
          <w:rFonts w:ascii="Arial" w:cs="Arial" w:eastAsia="Arial" w:hAnsi="Arial"/>
          <w:sz w:val="17"/>
          <w:szCs w:val="17"/>
          <w:b w:val="1"/>
          <w:bCs w:val="1"/>
          <w:color w:val="181717"/>
        </w:rPr>
        <w:t>FINANCIAL INFORMATION</w:t>
      </w:r>
    </w:p>
    <w:p>
      <w:pPr>
        <w:spacing w:after="0" w:line="10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8.A.</w:t>
      </w:r>
      <w:r>
        <w:rPr>
          <w:sz w:val="20"/>
          <w:szCs w:val="20"/>
          <w:color w:val="auto"/>
        </w:rPr>
        <w:tab/>
      </w:r>
      <w:r>
        <w:rPr>
          <w:rFonts w:ascii="Arial" w:cs="Arial" w:eastAsia="Arial" w:hAnsi="Arial"/>
          <w:sz w:val="15"/>
          <w:szCs w:val="15"/>
          <w:b w:val="1"/>
          <w:bCs w:val="1"/>
          <w:color w:val="auto"/>
        </w:rPr>
        <w:t>Consolidated Statements and Other Financial Information</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have appended consolidated financial statements filed as part of this annual report on Form 20-F.</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07" w:lineRule="exact"/>
        <w:rPr>
          <w:sz w:val="20"/>
          <w:szCs w:val="20"/>
          <w:color w:val="auto"/>
        </w:rPr>
      </w:pPr>
    </w:p>
    <w:p>
      <w:pPr>
        <w:ind w:right="140" w:firstLine="547"/>
        <w:spacing w:after="0" w:line="254" w:lineRule="auto"/>
        <w:rPr>
          <w:sz w:val="20"/>
          <w:szCs w:val="20"/>
          <w:color w:val="auto"/>
        </w:rPr>
      </w:pPr>
      <w:r>
        <w:rPr>
          <w:rFonts w:ascii="Arial" w:cs="Arial" w:eastAsia="Arial" w:hAnsi="Arial"/>
          <w:sz w:val="17"/>
          <w:szCs w:val="17"/>
          <w:color w:val="auto"/>
        </w:rPr>
        <w:t>From time to time, we may become a party to various legal or administrative proceedings arising in the ordinary course of our business. We are currently not a party to, and we are not aware of any threat of, any legal or administrative proceedings that, in the opinion of our management, are likely to have any material and adverse effect on our business, financial condition, cash flow or results of operations.</w:t>
      </w:r>
    </w:p>
    <w:p>
      <w:pPr>
        <w:spacing w:after="0" w:line="177" w:lineRule="exact"/>
        <w:rPr>
          <w:sz w:val="20"/>
          <w:szCs w:val="20"/>
          <w:color w:val="auto"/>
        </w:rPr>
      </w:pPr>
    </w:p>
    <w:p>
      <w:pPr>
        <w:ind w:firstLine="547"/>
        <w:spacing w:after="0" w:line="285" w:lineRule="auto"/>
        <w:rPr>
          <w:sz w:val="20"/>
          <w:szCs w:val="20"/>
          <w:color w:val="auto"/>
        </w:rPr>
      </w:pPr>
      <w:r>
        <w:rPr>
          <w:rFonts w:ascii="Arial" w:cs="Arial" w:eastAsia="Arial" w:hAnsi="Arial"/>
          <w:sz w:val="15"/>
          <w:szCs w:val="15"/>
          <w:color w:val="auto"/>
        </w:rPr>
        <w:t>In June 2019, we, and certain of our current and former directors and officers and our underwriters in our initial public offering were named as defendants in a securities class action filed in the U.S. District Court for the Eastern District of New York. Amended complaints in this class action were filed in November 2019. The action, purportedly brought on behalf of a class of persons who allegedly suffered damages as a result of their trading in the ADSs, alleges that our registration statement on Form F-1 in connection with our March 2018 initial public offering contains material misstatements and omissions in violation of the U.S. federal securities laws. We filed a motion to dismiss the action in March 2020, which was denied by an order dated March 31, 2021. We are currently unable to estimate the potential loss, if any, associated with the resolution of the lawsuit. We intend to defend the actions vigorously. For risks and uncertainties relating to pending cases against us, see “Item 3. Key Information—3.D. Risk Factors—Risks Related to Our Business—We and certain of our directors and officers have been named as defendants in several shareholder class action lawsuits, which could have a material adverse impact on our business, financial condition, results of operation, cash flows and reputation.”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07" w:lineRule="exact"/>
        <w:rPr>
          <w:sz w:val="20"/>
          <w:szCs w:val="20"/>
          <w:color w:val="auto"/>
        </w:rPr>
      </w:pPr>
    </w:p>
    <w:p>
      <w:pPr>
        <w:ind w:right="480" w:firstLine="547"/>
        <w:spacing w:after="0" w:line="254" w:lineRule="auto"/>
        <w:rPr>
          <w:sz w:val="20"/>
          <w:szCs w:val="20"/>
          <w:color w:val="auto"/>
        </w:rPr>
      </w:pPr>
      <w:r>
        <w:rPr>
          <w:rFonts w:ascii="Arial" w:cs="Arial" w:eastAsia="Arial" w:hAnsi="Arial"/>
          <w:sz w:val="17"/>
          <w:szCs w:val="17"/>
          <w:color w:val="auto"/>
        </w:rPr>
        <w:t>We have not previously declared or paid cash dividends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77" w:lineRule="exact"/>
        <w:rPr>
          <w:sz w:val="20"/>
          <w:szCs w:val="20"/>
          <w:color w:val="auto"/>
        </w:rPr>
      </w:pPr>
    </w:p>
    <w:p>
      <w:pPr>
        <w:ind w:right="420" w:firstLine="547"/>
        <w:spacing w:after="0" w:line="278" w:lineRule="auto"/>
        <w:rPr>
          <w:sz w:val="20"/>
          <w:szCs w:val="20"/>
          <w:color w:val="auto"/>
        </w:rPr>
      </w:pPr>
      <w:r>
        <w:rPr>
          <w:rFonts w:ascii="Arial" w:cs="Arial" w:eastAsia="Arial" w:hAnsi="Arial"/>
          <w:sz w:val="16"/>
          <w:szCs w:val="16"/>
          <w:color w:val="auto"/>
        </w:rPr>
        <w:t>We are an exempted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 Information on the Company—4.B. Business Overview—Regulation—Regulations on Foreign Exchange—Dividend Distribution.”</w:t>
      </w:r>
    </w:p>
    <w:p>
      <w:pPr>
        <w:spacing w:after="0" w:line="158" w:lineRule="exact"/>
        <w:rPr>
          <w:sz w:val="20"/>
          <w:szCs w:val="20"/>
          <w:color w:val="auto"/>
        </w:rPr>
      </w:pPr>
    </w:p>
    <w:p>
      <w:pPr>
        <w:ind w:firstLine="547"/>
        <w:spacing w:after="0" w:line="265" w:lineRule="auto"/>
        <w:rPr>
          <w:sz w:val="20"/>
          <w:szCs w:val="20"/>
          <w:color w:val="auto"/>
        </w:rPr>
      </w:pPr>
      <w:r>
        <w:rPr>
          <w:rFonts w:ascii="Arial" w:cs="Arial" w:eastAsia="Arial" w:hAnsi="Arial"/>
          <w:sz w:val="16"/>
          <w:szCs w:val="16"/>
          <w:color w:val="auto"/>
        </w:rPr>
        <w:t>Our Board of Directors has discretion as to whether to distribute dividends, subject to certain requirements of Cayman Islands law.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spacing w:after="0" w:line="264"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8.B.</w:t>
      </w:r>
      <w:r>
        <w:rPr>
          <w:sz w:val="20"/>
          <w:szCs w:val="20"/>
          <w:color w:val="auto"/>
        </w:rPr>
        <w:tab/>
      </w:r>
      <w:r>
        <w:rPr>
          <w:rFonts w:ascii="Arial" w:cs="Arial" w:eastAsia="Arial" w:hAnsi="Arial"/>
          <w:sz w:val="13"/>
          <w:szCs w:val="13"/>
          <w:b w:val="1"/>
          <w:bCs w:val="1"/>
          <w:color w:val="auto"/>
        </w:rPr>
        <w:t>Significant Changes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Except as otherwise disclosed in this report, we have not experienced any significant changes since the date of the annual financial statements included herein.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6" w:name="page97"/>
    <w:bookmarkEnd w:id="96"/>
    <w:p>
      <w:pPr>
        <w:spacing w:after="0"/>
        <w:tabs>
          <w:tab w:leader="none" w:pos="10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THE OFFER AND LISTING</w:t>
      </w:r>
    </w:p>
    <w:p>
      <w:pPr>
        <w:spacing w:after="0" w:line="10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9.A.</w:t>
      </w:r>
      <w:r>
        <w:rPr>
          <w:sz w:val="20"/>
          <w:szCs w:val="20"/>
          <w:color w:val="auto"/>
        </w:rPr>
        <w:tab/>
      </w:r>
      <w:r>
        <w:rPr>
          <w:rFonts w:ascii="Arial" w:cs="Arial" w:eastAsia="Arial" w:hAnsi="Arial"/>
          <w:sz w:val="15"/>
          <w:szCs w:val="15"/>
          <w:b w:val="1"/>
          <w:bCs w:val="1"/>
          <w:color w:val="auto"/>
        </w:rPr>
        <w:t>Offering and Listing Details</w:t>
      </w:r>
    </w:p>
    <w:p>
      <w:pPr>
        <w:spacing w:after="0" w:line="107" w:lineRule="exact"/>
        <w:rPr>
          <w:sz w:val="20"/>
          <w:szCs w:val="20"/>
          <w:color w:val="auto"/>
        </w:rPr>
      </w:pPr>
    </w:p>
    <w:p>
      <w:pPr>
        <w:ind w:firstLine="547"/>
        <w:spacing w:after="0" w:line="264" w:lineRule="auto"/>
        <w:rPr>
          <w:sz w:val="20"/>
          <w:szCs w:val="20"/>
          <w:color w:val="auto"/>
        </w:rPr>
      </w:pPr>
      <w:r>
        <w:rPr>
          <w:rFonts w:ascii="Arial" w:cs="Arial" w:eastAsia="Arial" w:hAnsi="Arial"/>
          <w:sz w:val="17"/>
          <w:szCs w:val="17"/>
          <w:color w:val="auto"/>
        </w:rPr>
        <w:t>The ADSs representing our Class A ordinary shares have been listed on the New York Stock Exchange since March 23, 2018 under the symbol “STG.” Each 25 ADSs represent one Class A ordinary share, par value US$0.00005 per share.</w:t>
      </w:r>
    </w:p>
    <w:p>
      <w:pPr>
        <w:spacing w:after="0" w:line="326"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9.B.</w:t>
      </w:r>
      <w:r>
        <w:rPr>
          <w:sz w:val="20"/>
          <w:szCs w:val="20"/>
          <w:color w:val="auto"/>
        </w:rPr>
        <w:tab/>
      </w:r>
      <w:r>
        <w:rPr>
          <w:rFonts w:ascii="Arial" w:cs="Arial" w:eastAsia="Arial" w:hAnsi="Arial"/>
          <w:sz w:val="15"/>
          <w:szCs w:val="15"/>
          <w:b w:val="1"/>
          <w:bCs w:val="1"/>
          <w:color w:val="auto"/>
        </w:rPr>
        <w:t>Plan of Distribution</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9.C.</w:t>
      </w:r>
      <w:r>
        <w:rPr>
          <w:sz w:val="20"/>
          <w:szCs w:val="20"/>
          <w:color w:val="auto"/>
        </w:rPr>
        <w:tab/>
      </w:r>
      <w:r>
        <w:rPr>
          <w:rFonts w:ascii="Arial" w:cs="Arial" w:eastAsia="Arial" w:hAnsi="Arial"/>
          <w:sz w:val="15"/>
          <w:szCs w:val="15"/>
          <w:b w:val="1"/>
          <w:bCs w:val="1"/>
          <w:color w:val="auto"/>
        </w:rPr>
        <w:t>Markets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ADSs representing our Class A ordinary shares have been listed on the New York Stock Exchange since March 23, 2018 under the symbol “STG.”</w:t>
      </w: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9.D.</w:t>
      </w:r>
      <w:r>
        <w:rPr>
          <w:sz w:val="20"/>
          <w:szCs w:val="20"/>
          <w:color w:val="auto"/>
        </w:rPr>
        <w:tab/>
      </w:r>
      <w:r>
        <w:rPr>
          <w:rFonts w:ascii="Arial" w:cs="Arial" w:eastAsia="Arial" w:hAnsi="Arial"/>
          <w:sz w:val="13"/>
          <w:szCs w:val="13"/>
          <w:b w:val="1"/>
          <w:bCs w:val="1"/>
          <w:color w:val="auto"/>
        </w:rPr>
        <w:t>Selling Shareholders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9.E.</w:t>
      </w:r>
      <w:r>
        <w:rPr>
          <w:sz w:val="20"/>
          <w:szCs w:val="20"/>
          <w:color w:val="auto"/>
        </w:rPr>
        <w:tab/>
      </w:r>
      <w:r>
        <w:rPr>
          <w:rFonts w:ascii="Arial" w:cs="Arial" w:eastAsia="Arial" w:hAnsi="Arial"/>
          <w:sz w:val="15"/>
          <w:szCs w:val="15"/>
          <w:b w:val="1"/>
          <w:bCs w:val="1"/>
          <w:color w:val="auto"/>
        </w:rPr>
        <w:t>Dilution</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9.F.</w:t>
      </w:r>
      <w:r>
        <w:rPr>
          <w:sz w:val="20"/>
          <w:szCs w:val="20"/>
          <w:color w:val="auto"/>
        </w:rPr>
        <w:tab/>
      </w:r>
      <w:r>
        <w:rPr>
          <w:rFonts w:ascii="Arial" w:cs="Arial" w:eastAsia="Arial" w:hAnsi="Arial"/>
          <w:sz w:val="13"/>
          <w:szCs w:val="13"/>
          <w:b w:val="1"/>
          <w:bCs w:val="1"/>
          <w:color w:val="auto"/>
        </w:rPr>
        <w:t>Expenses of the Issue</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ADDITIONAL INFORMATION</w:t>
      </w:r>
    </w:p>
    <w:p>
      <w:pPr>
        <w:spacing w:after="0" w:line="10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10.A.</w:t>
      </w:r>
      <w:r>
        <w:rPr>
          <w:sz w:val="20"/>
          <w:szCs w:val="20"/>
          <w:color w:val="auto"/>
        </w:rPr>
        <w:tab/>
      </w:r>
      <w:r>
        <w:rPr>
          <w:rFonts w:ascii="Arial" w:cs="Arial" w:eastAsia="Arial" w:hAnsi="Arial"/>
          <w:sz w:val="15"/>
          <w:szCs w:val="15"/>
          <w:b w:val="1"/>
          <w:bCs w:val="1"/>
          <w:color w:val="auto"/>
        </w:rPr>
        <w:t>Share Capital</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10.B.</w:t>
      </w:r>
      <w:r>
        <w:rPr>
          <w:sz w:val="20"/>
          <w:szCs w:val="20"/>
          <w:color w:val="auto"/>
        </w:rPr>
        <w:tab/>
      </w:r>
      <w:r>
        <w:rPr>
          <w:rFonts w:ascii="Arial" w:cs="Arial" w:eastAsia="Arial" w:hAnsi="Arial"/>
          <w:sz w:val="15"/>
          <w:szCs w:val="15"/>
          <w:b w:val="1"/>
          <w:bCs w:val="1"/>
          <w:color w:val="auto"/>
        </w:rPr>
        <w:t>Memorandum and Articles of Association</w:t>
      </w:r>
    </w:p>
    <w:p>
      <w:pPr>
        <w:spacing w:after="0" w:line="107" w:lineRule="exact"/>
        <w:rPr>
          <w:sz w:val="20"/>
          <w:szCs w:val="20"/>
          <w:color w:val="auto"/>
        </w:rPr>
      </w:pPr>
    </w:p>
    <w:p>
      <w:pPr>
        <w:ind w:right="220" w:firstLine="547"/>
        <w:spacing w:after="0" w:line="332" w:lineRule="auto"/>
        <w:rPr>
          <w:sz w:val="20"/>
          <w:szCs w:val="20"/>
          <w:color w:val="auto"/>
        </w:rPr>
      </w:pPr>
      <w:r>
        <w:rPr>
          <w:rFonts w:ascii="Arial" w:cs="Arial" w:eastAsia="Arial" w:hAnsi="Arial"/>
          <w:sz w:val="15"/>
          <w:szCs w:val="15"/>
          <w:color w:val="auto"/>
        </w:rPr>
        <w:t>The following are summaries of material provisions of our fourth amended and restated memorandum and articles of association and the Companies Act (As Revised) of the Cayman Islands which we refer to as the “Companies Act” below insofar as they relate to the material terms of our ordinary shares.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Shares</w:t>
      </w:r>
    </w:p>
    <w:p>
      <w:pPr>
        <w:spacing w:after="0" w:line="107" w:lineRule="exact"/>
        <w:rPr>
          <w:sz w:val="20"/>
          <w:szCs w:val="20"/>
          <w:color w:val="auto"/>
        </w:rPr>
      </w:pPr>
    </w:p>
    <w:p>
      <w:pPr>
        <w:ind w:right="80" w:firstLine="547"/>
        <w:spacing w:after="0" w:line="248"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Our authorized share capital is US$50,000 divided into 1,000,000,000 shares with a par value of US$0.00005 each, comprising (i) 796,062,195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ordinary shares with a par value of US$0.00005 each, (ii) 826,389 Class B ordinary shares with a par value of US$0.00005 each, and (iii) 203,111,416 Class C ordinary shares with a par value of US$0.00005 each. Holders of ordinary shares have the same rights except for voting and conversion rights as set out in our fourth amended and restated memorandum and articles of association.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183" w:lineRule="exact"/>
        <w:rPr>
          <w:sz w:val="20"/>
          <w:szCs w:val="20"/>
          <w:color w:val="auto"/>
        </w:rPr>
      </w:pPr>
    </w:p>
    <w:p>
      <w:pPr>
        <w:ind w:right="80" w:firstLine="547"/>
        <w:spacing w:after="0" w:line="27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subject to our fourth amended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restated memorandum and articles of association and the Companies Act. Our fourth amended and restated memorandum and articles of association provide that dividends may be declared and paid out of our profits, realized or unrealized. Dividends may also be declared and paid out of share premium account or any other fund or account which can be authorized for this purpose in accordance with the Companies Act.</w:t>
      </w:r>
    </w:p>
    <w:p>
      <w:pPr>
        <w:spacing w:after="0" w:line="162" w:lineRule="exact"/>
        <w:rPr>
          <w:sz w:val="20"/>
          <w:szCs w:val="20"/>
          <w:color w:val="auto"/>
        </w:rPr>
      </w:pPr>
    </w:p>
    <w:p>
      <w:pPr>
        <w:ind w:right="20" w:firstLine="547"/>
        <w:spacing w:after="0" w:line="264"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In respect of all matters subject to shareholder vote, each Class A ordinary share is entitled to one vote, each Class B ordinary share is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seven votes, and each Class C ordinary share is entitled to ten votes.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97" w:name="page98"/>
    <w:bookmarkEnd w:id="97"/>
    <w:p>
      <w:pPr>
        <w:ind w:right="100" w:firstLine="547"/>
        <w:spacing w:after="0" w:line="282" w:lineRule="auto"/>
        <w:rPr>
          <w:sz w:val="20"/>
          <w:szCs w:val="20"/>
          <w:color w:val="auto"/>
        </w:rPr>
      </w:pPr>
      <w:r>
        <w:rPr>
          <w:rFonts w:ascii="Arial" w:cs="Arial" w:eastAsia="Arial" w:hAnsi="Arial"/>
          <w:sz w:val="15"/>
          <w:szCs w:val="15"/>
          <w:color w:val="auto"/>
        </w:rPr>
        <w:t>A quorum required for a meeting of shareholders consists of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fourth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NYSE. Each general meeting, other than an annual general meeting, shall be an extraordinary general meeting. Shareholders’ annual general meetings and any other general meetings of our shareholders may be called by a majority of our Board of Directors or our chairman and a majority of our Board of Directors or our chairman shall, upon requisition of shareholders holding not less 10% of all votes attaching to all issued and outstanding ordinary shares entitled to vote at general meetings, convene an extraordinary general meeting; however, our fourth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159" w:lineRule="exact"/>
        <w:rPr>
          <w:sz w:val="20"/>
          <w:szCs w:val="20"/>
          <w:color w:val="auto"/>
        </w:rPr>
      </w:pPr>
    </w:p>
    <w:p>
      <w:pPr>
        <w:ind w:right="60" w:firstLine="547"/>
        <w:spacing w:after="0" w:line="249" w:lineRule="auto"/>
        <w:rPr>
          <w:sz w:val="20"/>
          <w:szCs w:val="20"/>
          <w:color w:val="auto"/>
        </w:rPr>
      </w:pPr>
      <w:r>
        <w:rPr>
          <w:rFonts w:ascii="Arial" w:cs="Arial" w:eastAsia="Arial" w:hAnsi="Arial"/>
          <w:sz w:val="17"/>
          <w:szCs w:val="17"/>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making changes to our fourth amended and restated memorandum and articles of association.</w:t>
      </w:r>
    </w:p>
    <w:p>
      <w:pPr>
        <w:spacing w:after="0" w:line="182" w:lineRule="exact"/>
        <w:rPr>
          <w:sz w:val="20"/>
          <w:szCs w:val="20"/>
          <w:color w:val="auto"/>
        </w:rPr>
      </w:pPr>
    </w:p>
    <w:p>
      <w:pPr>
        <w:ind w:right="20" w:firstLine="547"/>
        <w:spacing w:after="0" w:line="254" w:lineRule="auto"/>
        <w:rPr>
          <w:sz w:val="20"/>
          <w:szCs w:val="20"/>
          <w:color w:val="auto"/>
        </w:rPr>
      </w:pPr>
      <w:r>
        <w:rPr>
          <w:rFonts w:ascii="Arial" w:cs="Arial" w:eastAsia="Arial" w:hAnsi="Arial"/>
          <w:sz w:val="17"/>
          <w:szCs w:val="17"/>
          <w:b w:val="1"/>
          <w:bCs w:val="1"/>
          <w:i w:val="1"/>
          <w:iCs w:val="1"/>
          <w:color w:val="auto"/>
        </w:rPr>
        <w:t xml:space="preserve">Transfer of Ordinary Shares. </w:t>
      </w:r>
      <w:r>
        <w:rPr>
          <w:rFonts w:ascii="Arial" w:cs="Arial" w:eastAsia="Arial" w:hAnsi="Arial"/>
          <w:sz w:val="17"/>
          <w:szCs w:val="17"/>
          <w:color w:val="auto"/>
        </w:rPr>
        <w:t>Subject to the restrictions in our fourth amended and restated memorandum and articles of association as set out below,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may transfer all or any of his or her ordinary shares by an instrument of transfer in the usual or common form or any other form approved by our Board of Directors.</w:t>
      </w:r>
    </w:p>
    <w:p>
      <w:pPr>
        <w:spacing w:after="0" w:line="177" w:lineRule="exact"/>
        <w:rPr>
          <w:sz w:val="20"/>
          <w:szCs w:val="20"/>
          <w:color w:val="auto"/>
        </w:rPr>
      </w:pPr>
    </w:p>
    <w:p>
      <w:pPr>
        <w:ind w:right="280" w:firstLine="547"/>
        <w:spacing w:after="0" w:line="264" w:lineRule="auto"/>
        <w:rPr>
          <w:sz w:val="20"/>
          <w:szCs w:val="20"/>
          <w:color w:val="auto"/>
        </w:rPr>
      </w:pPr>
      <w:r>
        <w:rPr>
          <w:rFonts w:ascii="Arial" w:cs="Arial" w:eastAsia="Arial" w:hAnsi="Arial"/>
          <w:sz w:val="17"/>
          <w:szCs w:val="17"/>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8" w:lineRule="exact"/>
        <w:rPr>
          <w:sz w:val="20"/>
          <w:szCs w:val="20"/>
          <w:color w:val="auto"/>
        </w:rPr>
      </w:pPr>
    </w:p>
    <w:p>
      <w:pPr>
        <w:ind w:left="1080" w:right="340" w:hanging="545"/>
        <w:spacing w:after="0" w:line="264"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instrument of transfer is in respect of only one class of shares;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instrument of transfer is properly stamped, if required;</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14" w:lineRule="exact"/>
        <w:rPr>
          <w:rFonts w:ascii="Arial" w:cs="Arial" w:eastAsia="Arial" w:hAnsi="Arial"/>
          <w:sz w:val="16"/>
          <w:szCs w:val="16"/>
          <w:color w:val="auto"/>
        </w:rPr>
      </w:pPr>
    </w:p>
    <w:p>
      <w:pPr>
        <w:ind w:left="1080" w:right="40" w:hanging="545"/>
        <w:spacing w:after="0" w:line="264"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fee of such maximum sum as the NYSE may determine to be payable or such lesser sum as our directors may from time to time require is paid to us in respect thereof.</w:t>
      </w:r>
    </w:p>
    <w:p>
      <w:pPr>
        <w:spacing w:after="0" w:line="168" w:lineRule="exact"/>
        <w:rPr>
          <w:sz w:val="20"/>
          <w:szCs w:val="20"/>
          <w:color w:val="auto"/>
        </w:rPr>
      </w:pPr>
    </w:p>
    <w:p>
      <w:pPr>
        <w:ind w:right="280" w:firstLine="547"/>
        <w:spacing w:after="0" w:line="264" w:lineRule="auto"/>
        <w:rPr>
          <w:sz w:val="20"/>
          <w:szCs w:val="20"/>
          <w:color w:val="auto"/>
        </w:rPr>
      </w:pPr>
      <w:r>
        <w:rPr>
          <w:rFonts w:ascii="Arial" w:cs="Arial" w:eastAsia="Arial" w:hAnsi="Arial"/>
          <w:sz w:val="17"/>
          <w:szCs w:val="17"/>
          <w:color w:val="auto"/>
        </w:rPr>
        <w:t>If our directors refuse to register a transfer of any share they shall, within two calendar months after the date on which the instrument of transfer was lodged, send to each of the transferor and the transferee notice of such refusal.</w:t>
      </w:r>
    </w:p>
    <w:p>
      <w:pPr>
        <w:spacing w:after="0" w:line="168" w:lineRule="exact"/>
        <w:rPr>
          <w:sz w:val="20"/>
          <w:szCs w:val="20"/>
          <w:color w:val="auto"/>
        </w:rPr>
      </w:pPr>
    </w:p>
    <w:p>
      <w:pPr>
        <w:ind w:right="20" w:firstLine="547"/>
        <w:spacing w:after="0" w:line="254" w:lineRule="auto"/>
        <w:rPr>
          <w:sz w:val="20"/>
          <w:szCs w:val="20"/>
          <w:color w:val="auto"/>
        </w:rPr>
      </w:pPr>
      <w:r>
        <w:rPr>
          <w:rFonts w:ascii="Arial" w:cs="Arial" w:eastAsia="Arial" w:hAnsi="Arial"/>
          <w:sz w:val="17"/>
          <w:szCs w:val="17"/>
          <w:color w:val="auto"/>
        </w:rPr>
        <w:t xml:space="preserve">The registration of transfers may, after compliance with any notice required of the NYSE, be suspended and the register closed at such times and for such periods as our Board of Directors may from time to time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registration of transfers shall not be suspended nor the register closed for more than 30 days in any year.</w:t>
      </w:r>
    </w:p>
    <w:p>
      <w:pPr>
        <w:spacing w:after="0" w:line="177" w:lineRule="exact"/>
        <w:rPr>
          <w:sz w:val="20"/>
          <w:szCs w:val="20"/>
          <w:color w:val="auto"/>
        </w:rPr>
      </w:pPr>
    </w:p>
    <w:p>
      <w:pPr>
        <w:ind w:firstLine="547"/>
        <w:spacing w:after="0" w:line="288" w:lineRule="auto"/>
        <w:rPr>
          <w:sz w:val="20"/>
          <w:szCs w:val="20"/>
          <w:color w:val="auto"/>
        </w:rPr>
      </w:pPr>
      <w:r>
        <w:rPr>
          <w:rFonts w:ascii="Arial" w:cs="Arial" w:eastAsia="Arial" w:hAnsi="Arial"/>
          <w:sz w:val="15"/>
          <w:szCs w:val="15"/>
          <w:b w:val="1"/>
          <w:bCs w:val="1"/>
          <w:i w:val="1"/>
          <w:iCs w:val="1"/>
          <w:color w:val="auto"/>
        </w:rPr>
        <w:t xml:space="preserve">Liquidation. </w:t>
      </w:r>
      <w:r>
        <w:rPr>
          <w:rFonts w:ascii="Arial" w:cs="Arial" w:eastAsia="Arial" w:hAnsi="Arial"/>
          <w:sz w:val="15"/>
          <w:szCs w:val="15"/>
          <w:color w:val="auto"/>
        </w:rPr>
        <w:t>On a return of capital on winding up or otherwise (other than on conversion, redemption or purchase of ordinary shares), if the assets available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98" w:name="page99"/>
    <w:bookmarkEnd w:id="98"/>
    <w:p>
      <w:pPr>
        <w:ind w:firstLine="547"/>
        <w:spacing w:after="0" w:line="285" w:lineRule="auto"/>
        <w:rPr>
          <w:sz w:val="20"/>
          <w:szCs w:val="20"/>
          <w:color w:val="auto"/>
        </w:rPr>
      </w:pPr>
      <w:r>
        <w:rPr>
          <w:rFonts w:ascii="Arial" w:cs="Arial" w:eastAsia="Arial" w:hAnsi="Arial"/>
          <w:sz w:val="15"/>
          <w:szCs w:val="15"/>
          <w:b w:val="1"/>
          <w:bCs w:val="1"/>
          <w:i w:val="1"/>
          <w:iCs w:val="1"/>
          <w:color w:val="auto"/>
        </w:rPr>
        <w:t xml:space="preserve">Redemption, Repurchase and Surrender of Ordinary Shares. </w:t>
      </w:r>
      <w:r>
        <w:rPr>
          <w:rFonts w:ascii="Arial" w:cs="Arial" w:eastAsia="Arial" w:hAnsi="Arial"/>
          <w:sz w:val="15"/>
          <w:szCs w:val="15"/>
          <w:color w:val="auto"/>
        </w:rPr>
        <w:t>We may issue shares on terms that such shares are subject to redemption, at our option or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fourth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55" w:lineRule="exact"/>
        <w:rPr>
          <w:sz w:val="20"/>
          <w:szCs w:val="20"/>
          <w:color w:val="auto"/>
        </w:rPr>
      </w:pPr>
    </w:p>
    <w:p>
      <w:pPr>
        <w:ind w:right="120" w:firstLine="547"/>
        <w:spacing w:after="0" w:line="291" w:lineRule="auto"/>
        <w:rPr>
          <w:sz w:val="20"/>
          <w:szCs w:val="20"/>
          <w:color w:val="auto"/>
        </w:rPr>
      </w:pPr>
      <w:r>
        <w:rPr>
          <w:rFonts w:ascii="Arial" w:cs="Arial" w:eastAsia="Arial" w:hAnsi="Arial"/>
          <w:sz w:val="15"/>
          <w:szCs w:val="15"/>
          <w:b w:val="1"/>
          <w:bCs w:val="1"/>
          <w:i w:val="1"/>
          <w:iCs w:val="1"/>
          <w:color w:val="auto"/>
        </w:rPr>
        <w:t xml:space="preserve">Variations of Rights of Shares. </w:t>
      </w:r>
      <w:r>
        <w:rPr>
          <w:rFonts w:ascii="Arial" w:cs="Arial" w:eastAsia="Arial" w:hAnsi="Arial"/>
          <w:sz w:val="15"/>
          <w:szCs w:val="15"/>
          <w:color w:val="auto"/>
        </w:rPr>
        <w:t>If at any time our share capital is divided into different classes or series of shares, the rights attached to any class or series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shares (unless otherwise provided by the terms of issue of the shares of that class or series), whether or not our company is being wound-up, may be varied with the consent in writing of a majority the holders of the issued shares of that class or series or with the sanction of an ordinary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such existing class of shares.</w:t>
      </w:r>
    </w:p>
    <w:p>
      <w:pPr>
        <w:spacing w:after="0" w:line="150" w:lineRule="exact"/>
        <w:rPr>
          <w:sz w:val="20"/>
          <w:szCs w:val="20"/>
          <w:color w:val="auto"/>
        </w:rPr>
      </w:pPr>
    </w:p>
    <w:p>
      <w:pPr>
        <w:ind w:right="380" w:firstLine="547"/>
        <w:spacing w:after="0" w:line="304" w:lineRule="auto"/>
        <w:rPr>
          <w:sz w:val="20"/>
          <w:szCs w:val="20"/>
          <w:color w:val="auto"/>
        </w:rPr>
      </w:pPr>
      <w:r>
        <w:rPr>
          <w:rFonts w:ascii="Arial" w:cs="Arial" w:eastAsia="Arial" w:hAnsi="Arial"/>
          <w:sz w:val="15"/>
          <w:szCs w:val="15"/>
          <w:b w:val="1"/>
          <w:bCs w:val="1"/>
          <w:i w:val="1"/>
          <w:iCs w:val="1"/>
          <w:color w:val="auto"/>
        </w:rPr>
        <w:t xml:space="preserve">Inspection of Books and Records. </w:t>
      </w:r>
      <w:r>
        <w:rPr>
          <w:rFonts w:ascii="Arial" w:cs="Arial" w:eastAsia="Arial" w:hAnsi="Arial"/>
          <w:sz w:val="15"/>
          <w:szCs w:val="15"/>
          <w:color w:val="auto"/>
        </w:rPr>
        <w:t>Holders of our ordinary shares have no general right under Cayman Islands law to inspect or obtain copies of our list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shareholders or our corporate records (other than copies of our memorandum and articles of association, our register of mortgages and charges, and any special resolutions passed by our shareholders). However, we will provide our shareholders with annual audited financial statements. See “—10.H. Document on Display.”</w:t>
      </w:r>
    </w:p>
    <w:p>
      <w:pPr>
        <w:spacing w:after="0" w:line="142" w:lineRule="exact"/>
        <w:rPr>
          <w:sz w:val="20"/>
          <w:szCs w:val="20"/>
          <w:color w:val="auto"/>
        </w:rPr>
      </w:pPr>
    </w:p>
    <w:p>
      <w:pPr>
        <w:ind w:right="120" w:firstLine="547"/>
        <w:spacing w:after="0" w:line="296" w:lineRule="auto"/>
        <w:rPr>
          <w:sz w:val="20"/>
          <w:szCs w:val="20"/>
          <w:color w:val="auto"/>
        </w:rPr>
      </w:pPr>
      <w:r>
        <w:rPr>
          <w:rFonts w:ascii="Arial" w:cs="Arial" w:eastAsia="Arial" w:hAnsi="Arial"/>
          <w:sz w:val="16"/>
          <w:szCs w:val="16"/>
          <w:b w:val="1"/>
          <w:bCs w:val="1"/>
          <w:i w:val="1"/>
          <w:iCs w:val="1"/>
          <w:color w:val="auto"/>
        </w:rPr>
        <w:t xml:space="preserve">Issuance of Additional Shares. </w:t>
      </w:r>
      <w:r>
        <w:rPr>
          <w:rFonts w:ascii="Arial" w:cs="Arial" w:eastAsia="Arial" w:hAnsi="Arial"/>
          <w:sz w:val="16"/>
          <w:szCs w:val="16"/>
          <w:color w:val="auto"/>
        </w:rPr>
        <w:t>Our fourth amended and restated memorandum and articles of association authorizes our Board of Directors to issue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ordinary shares from time to time as our Board of Directors shall determine, to the extent of available authorized but unissued shares.</w:t>
      </w:r>
    </w:p>
    <w:p>
      <w:pPr>
        <w:spacing w:after="0" w:line="144" w:lineRule="exact"/>
        <w:rPr>
          <w:sz w:val="20"/>
          <w:szCs w:val="20"/>
          <w:color w:val="auto"/>
        </w:rPr>
      </w:pPr>
    </w:p>
    <w:p>
      <w:pPr>
        <w:ind w:right="200" w:firstLine="547"/>
        <w:spacing w:after="0" w:line="254" w:lineRule="auto"/>
        <w:rPr>
          <w:sz w:val="20"/>
          <w:szCs w:val="20"/>
          <w:color w:val="auto"/>
        </w:rPr>
      </w:pPr>
      <w:r>
        <w:rPr>
          <w:rFonts w:ascii="Arial" w:cs="Arial" w:eastAsia="Arial" w:hAnsi="Arial"/>
          <w:sz w:val="17"/>
          <w:szCs w:val="17"/>
          <w:color w:val="auto"/>
        </w:rPr>
        <w:t>Our fourth amended and restated memorandum and articles of association also authorizes our Board of Directors to, without the approval of our shareholders, establish from time to time one or more series of preferred shares and to determine, with respect to any series of preferred shares, the terms and rights of that series, including, among other things:</w:t>
      </w:r>
    </w:p>
    <w:p>
      <w:pPr>
        <w:spacing w:after="0" w:line="77" w:lineRule="exact"/>
        <w:rPr>
          <w:sz w:val="20"/>
          <w:szCs w:val="20"/>
          <w:color w:val="auto"/>
        </w:rPr>
      </w:pPr>
    </w:p>
    <w:p>
      <w:pPr>
        <w:ind w:left="1080" w:hanging="545"/>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number of shares of the series;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dividend rights, conversion rights, and voting rights; and</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rights and terms of redemption and liquidation preferences.</w:t>
      </w:r>
    </w:p>
    <w:p>
      <w:pPr>
        <w:spacing w:after="0" w:line="203" w:lineRule="exact"/>
        <w:rPr>
          <w:sz w:val="20"/>
          <w:szCs w:val="20"/>
          <w:color w:val="auto"/>
        </w:rPr>
      </w:pPr>
    </w:p>
    <w:p>
      <w:pPr>
        <w:ind w:right="100" w:firstLine="547"/>
        <w:spacing w:after="0" w:line="264" w:lineRule="auto"/>
        <w:rPr>
          <w:sz w:val="20"/>
          <w:szCs w:val="20"/>
          <w:color w:val="auto"/>
        </w:rPr>
      </w:pPr>
      <w:r>
        <w:rPr>
          <w:rFonts w:ascii="Arial" w:cs="Arial" w:eastAsia="Arial" w:hAnsi="Arial"/>
          <w:sz w:val="17"/>
          <w:szCs w:val="17"/>
          <w:color w:val="auto"/>
        </w:rPr>
        <w:t>Our Board of Directors may issue preferred shares without action by our shareholders to the extent authorized but unissued. Issuance of these shares may dilute the voting power of holders of ordinary shares.</w:t>
      </w:r>
    </w:p>
    <w:p>
      <w:pPr>
        <w:spacing w:after="0" w:line="168" w:lineRule="exact"/>
        <w:rPr>
          <w:sz w:val="20"/>
          <w:szCs w:val="20"/>
          <w:color w:val="auto"/>
        </w:rPr>
      </w:pPr>
    </w:p>
    <w:p>
      <w:pPr>
        <w:ind w:right="200" w:firstLine="547"/>
        <w:spacing w:after="0" w:line="251" w:lineRule="auto"/>
        <w:rPr>
          <w:sz w:val="20"/>
          <w:szCs w:val="20"/>
          <w:color w:val="auto"/>
        </w:rPr>
      </w:pPr>
      <w:r>
        <w:rPr>
          <w:rFonts w:ascii="Arial" w:cs="Arial" w:eastAsia="Arial" w:hAnsi="Arial"/>
          <w:sz w:val="17"/>
          <w:szCs w:val="17"/>
          <w:b w:val="1"/>
          <w:bCs w:val="1"/>
          <w:i w:val="1"/>
          <w:iCs w:val="1"/>
          <w:color w:val="auto"/>
        </w:rPr>
        <w:t xml:space="preserve">Anti-Takeover Provisions. </w:t>
      </w:r>
      <w:r>
        <w:rPr>
          <w:rFonts w:ascii="Arial" w:cs="Arial" w:eastAsia="Arial" w:hAnsi="Arial"/>
          <w:sz w:val="17"/>
          <w:szCs w:val="17"/>
          <w:color w:val="auto"/>
        </w:rPr>
        <w:t>Some provisions of our fourth amended and restated memorandum and articles of association may discourage, delay or prevent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 of control of our company or management that shareholders may consider favorable, including provisions that authorize our Board of Directors to issue authorized preferred shares in one or more series and to designate the price, rights, preferences, privileges and restrictions of such preferred shares without any further vote or action by our shareholders.</w:t>
      </w:r>
    </w:p>
    <w:p>
      <w:pPr>
        <w:spacing w:after="0" w:line="179" w:lineRule="exact"/>
        <w:rPr>
          <w:sz w:val="20"/>
          <w:szCs w:val="20"/>
          <w:color w:val="auto"/>
        </w:rPr>
      </w:pPr>
    </w:p>
    <w:p>
      <w:pPr>
        <w:ind w:right="20" w:firstLine="547"/>
        <w:spacing w:after="0" w:line="251" w:lineRule="auto"/>
        <w:rPr>
          <w:sz w:val="20"/>
          <w:szCs w:val="20"/>
          <w:color w:val="auto"/>
        </w:rPr>
      </w:pPr>
      <w:r>
        <w:rPr>
          <w:rFonts w:ascii="Arial" w:cs="Arial" w:eastAsia="Arial" w:hAnsi="Arial"/>
          <w:sz w:val="17"/>
          <w:szCs w:val="17"/>
          <w:b w:val="1"/>
          <w:bCs w:val="1"/>
          <w:i w:val="1"/>
          <w:iCs w:val="1"/>
          <w:color w:val="auto"/>
        </w:rPr>
        <w:t xml:space="preserve">Exempted Company. </w:t>
      </w:r>
      <w:r>
        <w:rPr>
          <w:rFonts w:ascii="Arial" w:cs="Arial" w:eastAsia="Arial" w:hAnsi="Arial"/>
          <w:sz w:val="17"/>
          <w:szCs w:val="17"/>
          <w:color w:val="auto"/>
        </w:rPr>
        <w:t>We are an exempted company with limited liability under the Companies Act. The Companies Act distinguishes between ordinary 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9" w:lineRule="exact"/>
        <w:rPr>
          <w:sz w:val="20"/>
          <w:szCs w:val="20"/>
          <w:color w:val="auto"/>
        </w:rPr>
      </w:pPr>
    </w:p>
    <w:p>
      <w:pPr>
        <w:ind w:left="1080" w:hanging="545"/>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does not have to file an annual return of its shareholders with the Registrar of Companies;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 not required to open its register of members for inspection;</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does not have to hold an annual general meeting;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99" w:name="page100"/>
    <w:bookmarkEnd w:id="99"/>
    <w:p>
      <w:pPr>
        <w:ind w:left="1080" w:hanging="545"/>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may issue negotiable or bearer shares or shares with no par value;</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14" w:lineRule="exact"/>
        <w:rPr>
          <w:rFonts w:ascii="Arial" w:cs="Arial" w:eastAsia="Arial" w:hAnsi="Arial"/>
          <w:sz w:val="16"/>
          <w:szCs w:val="16"/>
          <w:color w:val="auto"/>
        </w:rPr>
      </w:pPr>
    </w:p>
    <w:p>
      <w:pPr>
        <w:ind w:left="1080" w:hanging="545"/>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may register by way of continuation in another jurisdiction and be deregistered in the Cayman Islands;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may register as a limited duration company; and</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may register as a segregated portfolio company.</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“Limited liability” means that the liability of each shareholder is limited to the amount unpaid by the shareholder on that shareholder’s shares of the company.</w:t>
      </w: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10.C.</w:t>
      </w:r>
      <w:r>
        <w:rPr>
          <w:sz w:val="20"/>
          <w:szCs w:val="20"/>
          <w:color w:val="auto"/>
        </w:rPr>
        <w:tab/>
      </w:r>
      <w:r>
        <w:rPr>
          <w:rFonts w:ascii="Arial" w:cs="Arial" w:eastAsia="Arial" w:hAnsi="Arial"/>
          <w:sz w:val="15"/>
          <w:szCs w:val="15"/>
          <w:b w:val="1"/>
          <w:bCs w:val="1"/>
          <w:color w:val="auto"/>
        </w:rPr>
        <w:t>Material Contracts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have not entered into any material contracts other than in the ordinary course of business and other than those described in this annual report on Form 20-F.</w:t>
      </w: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10.D.</w:t>
      </w:r>
      <w:r>
        <w:rPr>
          <w:sz w:val="20"/>
          <w:szCs w:val="20"/>
          <w:color w:val="auto"/>
        </w:rPr>
        <w:tab/>
      </w:r>
      <w:r>
        <w:rPr>
          <w:rFonts w:ascii="Arial" w:cs="Arial" w:eastAsia="Arial" w:hAnsi="Arial"/>
          <w:sz w:val="13"/>
          <w:szCs w:val="13"/>
          <w:b w:val="1"/>
          <w:bCs w:val="1"/>
          <w:color w:val="auto"/>
        </w:rPr>
        <w:t>Exchange Controls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See “Item 4. Information of the Company—4.B. Business Overview—Regulation—Regulations Relating to Foreign Exchange.”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10.E.</w:t>
      </w:r>
      <w:r>
        <w:rPr>
          <w:sz w:val="20"/>
          <w:szCs w:val="20"/>
          <w:color w:val="auto"/>
        </w:rPr>
        <w:tab/>
      </w:r>
      <w:r>
        <w:rPr>
          <w:rFonts w:ascii="Arial" w:cs="Arial" w:eastAsia="Arial" w:hAnsi="Arial"/>
          <w:sz w:val="15"/>
          <w:szCs w:val="15"/>
          <w:b w:val="1"/>
          <w:bCs w:val="1"/>
          <w:color w:val="auto"/>
        </w:rPr>
        <w:t>Taxation</w:t>
      </w:r>
    </w:p>
    <w:p>
      <w:pPr>
        <w:spacing w:after="0" w:line="107" w:lineRule="exact"/>
        <w:rPr>
          <w:sz w:val="20"/>
          <w:szCs w:val="20"/>
          <w:color w:val="auto"/>
        </w:rPr>
      </w:pPr>
    </w:p>
    <w:p>
      <w:pPr>
        <w:ind w:firstLine="547"/>
        <w:spacing w:after="0" w:line="291" w:lineRule="auto"/>
        <w:rPr>
          <w:sz w:val="20"/>
          <w:szCs w:val="20"/>
          <w:color w:val="auto"/>
        </w:rPr>
      </w:pPr>
      <w:r>
        <w:rPr>
          <w:rFonts w:ascii="Arial" w:cs="Arial" w:eastAsia="Arial" w:hAnsi="Arial"/>
          <w:sz w:val="15"/>
          <w:szCs w:val="15"/>
          <w:color w:val="auto"/>
        </w:rPr>
        <w:t>The following discussion of Cayman Islands, PRC and United States federal income tax consequences of an investment in the ADSs or ordinary shares is based upon laws and relevant interpretations thereof in effect as of the date of this annual report, all of which are subject to change. This discussion does not deal with all possible tax consequences relating to an investment in the ADSs or ordinary shares, such as the tax consequences under state, local and other tax laws. To the extent that the discussion relates to matters of Cayman Islands tax law, it represents the opinion of Maples and Calder (Hong Kong) LLP, our Cayman Islands counsel. To the extent that the discussion relates to matters of PRC tax law, it represents the opinion of Tian Yuan Law Firm, our PRC legal counsel.</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Cayman Islands Taxation</w:t>
      </w:r>
    </w:p>
    <w:p>
      <w:pPr>
        <w:spacing w:after="0" w:line="107" w:lineRule="exact"/>
        <w:rPr>
          <w:sz w:val="20"/>
          <w:szCs w:val="20"/>
          <w:color w:val="auto"/>
        </w:rPr>
      </w:pPr>
    </w:p>
    <w:p>
      <w:pPr>
        <w:ind w:right="40" w:firstLine="547"/>
        <w:spacing w:after="0" w:line="249"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2" w:lineRule="exact"/>
        <w:rPr>
          <w:sz w:val="20"/>
          <w:szCs w:val="20"/>
          <w:color w:val="auto"/>
        </w:rPr>
      </w:pPr>
    </w:p>
    <w:p>
      <w:pPr>
        <w:jc w:val="both"/>
        <w:ind w:right="160" w:firstLine="547"/>
        <w:spacing w:after="0" w:line="254" w:lineRule="auto"/>
        <w:rPr>
          <w:sz w:val="20"/>
          <w:szCs w:val="20"/>
          <w:color w:val="auto"/>
        </w:rPr>
      </w:pPr>
      <w:r>
        <w:rPr>
          <w:rFonts w:ascii="Arial" w:cs="Arial" w:eastAsia="Arial" w:hAnsi="Arial"/>
          <w:sz w:val="17"/>
          <w:szCs w:val="17"/>
          <w:color w:val="auto"/>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corporation tax.</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People’s Republic of China Taxation</w:t>
      </w:r>
    </w:p>
    <w:p>
      <w:pPr>
        <w:spacing w:after="0" w:line="107" w:lineRule="exact"/>
        <w:rPr>
          <w:sz w:val="20"/>
          <w:szCs w:val="20"/>
          <w:color w:val="auto"/>
        </w:rPr>
      </w:pPr>
    </w:p>
    <w:p>
      <w:pPr>
        <w:ind w:right="20" w:firstLine="547"/>
        <w:spacing w:after="0" w:line="249" w:lineRule="auto"/>
        <w:rPr>
          <w:sz w:val="20"/>
          <w:szCs w:val="20"/>
          <w:color w:val="auto"/>
        </w:rPr>
      </w:pPr>
      <w:r>
        <w:rPr>
          <w:rFonts w:ascii="Arial" w:cs="Arial" w:eastAsia="Arial" w:hAnsi="Arial"/>
          <w:sz w:val="17"/>
          <w:szCs w:val="17"/>
          <w:color w:val="auto"/>
        </w:rPr>
        <w:t>Under the PRC EIT Law, which became effective on January 1, 2008 and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182" w:lineRule="exact"/>
        <w:rPr>
          <w:sz w:val="20"/>
          <w:szCs w:val="20"/>
          <w:color w:val="auto"/>
        </w:rPr>
      </w:pPr>
    </w:p>
    <w:p>
      <w:pPr>
        <w:ind w:right="140" w:firstLine="552"/>
        <w:spacing w:after="0" w:line="254" w:lineRule="auto"/>
        <w:rPr>
          <w:sz w:val="20"/>
          <w:szCs w:val="20"/>
          <w:color w:val="auto"/>
        </w:rPr>
      </w:pPr>
      <w:r>
        <w:rPr>
          <w:rFonts w:ascii="Arial" w:cs="Arial" w:eastAsia="Arial" w:hAnsi="Arial"/>
          <w:sz w:val="17"/>
          <w:szCs w:val="17"/>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0" w:name="page101"/>
    <w:bookmarkEnd w:id="100"/>
    <w:p>
      <w:pPr>
        <w:spacing w:after="0" w:line="280" w:lineRule="auto"/>
        <w:rPr>
          <w:sz w:val="20"/>
          <w:szCs w:val="20"/>
          <w:color w:val="auto"/>
        </w:rPr>
      </w:pPr>
      <w:r>
        <w:rPr>
          <w:rFonts w:ascii="Arial" w:cs="Arial" w:eastAsia="Arial" w:hAnsi="Arial"/>
          <w:sz w:val="15"/>
          <w:szCs w:val="15"/>
          <w:color w:val="auto"/>
        </w:rPr>
        <w:t>production, operation and management; (b) financial and personnel decision 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In addition, non-resident enterprise shareholders (including the ADS holders) may be subject to PRC tax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See “Item 3. Key Information—3.D.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U.S. Federal Income Tax Considerations</w:t>
      </w:r>
    </w:p>
    <w:p>
      <w:pPr>
        <w:spacing w:after="0" w:line="107" w:lineRule="exact"/>
        <w:rPr>
          <w:sz w:val="20"/>
          <w:szCs w:val="20"/>
          <w:color w:val="auto"/>
        </w:rPr>
      </w:pPr>
    </w:p>
    <w:p>
      <w:pPr>
        <w:ind w:right="20" w:firstLine="547"/>
        <w:spacing w:after="0" w:line="291" w:lineRule="auto"/>
        <w:rPr>
          <w:sz w:val="20"/>
          <w:szCs w:val="20"/>
          <w:color w:val="auto"/>
        </w:rPr>
      </w:pPr>
      <w:r>
        <w:rPr>
          <w:rFonts w:ascii="Arial" w:cs="Arial" w:eastAsia="Arial" w:hAnsi="Arial"/>
          <w:sz w:val="15"/>
          <w:szCs w:val="15"/>
          <w:color w:val="auto"/>
        </w:rPr>
        <w:t>The following is a discussion of the material U.S. federal income tax consequences to the U.S. Holders described below of owning and disposing of ADSs or ordinary shares, but it does not purport to be a comprehensive description of all of the tax considerations that may be relevant to a particular person’s decision to acquire ADSs or ordinary shares. This discussion applies only to a U.S. Holder that holds ADSs or ordinary shares as capital assets for U.S. federal income tax purposes. In addition, it does not describe all of the tax consequences that may be relevant in light of a U.S. Holder’s particular circumstances, including alternative minimum tax and Medicare contribution tax consequences, and tax consequences applicable to U.S. Holders subject to special rules, such as:</w:t>
      </w:r>
    </w:p>
    <w:p>
      <w:pPr>
        <w:spacing w:after="0" w:line="51" w:lineRule="exact"/>
        <w:rPr>
          <w:sz w:val="20"/>
          <w:szCs w:val="20"/>
          <w:color w:val="auto"/>
        </w:rPr>
      </w:pPr>
    </w:p>
    <w:p>
      <w:pPr>
        <w:ind w:left="1080" w:hanging="545"/>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financial institutions;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dealers or traders in securities that use a mark-to-market method of tax accounting;</w:t>
      </w:r>
    </w:p>
    <w:p>
      <w:pPr>
        <w:spacing w:after="0" w:line="103" w:lineRule="exact"/>
        <w:rPr>
          <w:rFonts w:ascii="Arial" w:cs="Arial" w:eastAsia="Arial" w:hAnsi="Arial"/>
          <w:sz w:val="17"/>
          <w:szCs w:val="17"/>
          <w:color w:val="auto"/>
        </w:rPr>
      </w:pPr>
    </w:p>
    <w:p>
      <w:pPr>
        <w:ind w:left="1080" w:right="60" w:hanging="545"/>
        <w:spacing w:after="0" w:line="26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persons holding ADSs or ordinary shares as part of a straddle, wash sale, hedging or conversion transaction or integrated transaction or persons entering into a constructive sale with respect to the ADSs or ordinary shares;</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persons whose functional currency for U.S. federal income tax purposes is not the U.S. dollar;</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entities classified as partnerships for U.S. federal income tax purposes (and investors therein);</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tax-exempt entities, “individual retirement accounts” or “Roth IRAs”;</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persons that own or are deemed to own ADSs or ordinary shares representing ten percent or more of our voting power or value; or</w:t>
      </w:r>
    </w:p>
    <w:p>
      <w:pPr>
        <w:spacing w:after="0" w:line="103" w:lineRule="exact"/>
        <w:rPr>
          <w:rFonts w:ascii="Arial" w:cs="Arial" w:eastAsia="Arial" w:hAnsi="Arial"/>
          <w:sz w:val="17"/>
          <w:szCs w:val="17"/>
          <w:color w:val="auto"/>
        </w:rPr>
      </w:pPr>
    </w:p>
    <w:p>
      <w:pPr>
        <w:ind w:left="1080" w:hanging="545"/>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persons holding ADSs or ordinary shares in connection with a trade or business conducted outside of the United States.</w:t>
      </w:r>
    </w:p>
    <w:p>
      <w:pPr>
        <w:spacing w:after="0" w:line="203" w:lineRule="exact"/>
        <w:rPr>
          <w:sz w:val="20"/>
          <w:szCs w:val="20"/>
          <w:color w:val="auto"/>
        </w:rPr>
      </w:pPr>
    </w:p>
    <w:p>
      <w:pPr>
        <w:ind w:right="280" w:firstLine="547"/>
        <w:spacing w:after="0" w:line="304" w:lineRule="auto"/>
        <w:rPr>
          <w:sz w:val="20"/>
          <w:szCs w:val="20"/>
          <w:color w:val="auto"/>
        </w:rPr>
      </w:pPr>
      <w:r>
        <w:rPr>
          <w:rFonts w:ascii="Arial" w:cs="Arial" w:eastAsia="Arial" w:hAnsi="Arial"/>
          <w:sz w:val="15"/>
          <w:szCs w:val="15"/>
          <w:color w:val="auto"/>
        </w:rPr>
        <w:t>If an entity that is classified as a partnership for U.S. federal income tax purposes owns ADSs or ordinary shares, the U.S. federal income tax treatment of its partners will generally depend on the status of such partners and the activities of the partnership. Partnerships owning ADSs or ordinary shares and partners in such partnerships should consult their tax advisers as to the particular U.S. federal income tax consequences of owning and disposing of ADSs or ordinary shares.</w:t>
      </w:r>
    </w:p>
    <w:p>
      <w:pPr>
        <w:spacing w:after="0" w:line="142" w:lineRule="exact"/>
        <w:rPr>
          <w:sz w:val="20"/>
          <w:szCs w:val="20"/>
          <w:color w:val="auto"/>
        </w:rPr>
      </w:pPr>
    </w:p>
    <w:p>
      <w:pPr>
        <w:ind w:firstLine="547"/>
        <w:spacing w:after="0" w:line="251" w:lineRule="auto"/>
        <w:rPr>
          <w:sz w:val="20"/>
          <w:szCs w:val="20"/>
          <w:color w:val="auto"/>
        </w:rPr>
      </w:pPr>
      <w:r>
        <w:rPr>
          <w:rFonts w:ascii="Arial" w:cs="Arial" w:eastAsia="Arial" w:hAnsi="Arial"/>
          <w:sz w:val="17"/>
          <w:szCs w:val="17"/>
          <w:color w:val="auto"/>
        </w:rPr>
        <w:t>This discussion is based on the Internal Revenue Code of 1986, as amended, or the Code, administrative pronouncements, judicial decisions and final, temporary and proposed Treasury regulations, and the income tax treaty between the United States and the PRC, or the Treaty, all as of the date hereof, any of which is subject to change, possibly with retroactive effect. This discussion is also based, in part, on representations by the Depositary and assumes that each obligation under the deposit agreement and any related agreement will be performed in accordance with its terms.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01" w:name="page102"/>
    <w:bookmarkEnd w:id="101"/>
    <w:p>
      <w:pPr>
        <w:ind w:left="540"/>
        <w:spacing w:after="0"/>
        <w:rPr>
          <w:sz w:val="20"/>
          <w:szCs w:val="20"/>
          <w:color w:val="auto"/>
        </w:rPr>
      </w:pPr>
      <w:r>
        <w:rPr>
          <w:rFonts w:ascii="Arial" w:cs="Arial" w:eastAsia="Arial" w:hAnsi="Arial"/>
          <w:sz w:val="17"/>
          <w:szCs w:val="17"/>
          <w:color w:val="auto"/>
        </w:rPr>
        <w:t>For purposes of this discussion, a “U.S. Holder” is a beneficial owner of ADSs or ordinary shares that for U.S. federal income tax purposes is:</w:t>
      </w:r>
    </w:p>
    <w:p>
      <w:pPr>
        <w:spacing w:after="0" w:line="103" w:lineRule="exact"/>
        <w:rPr>
          <w:sz w:val="20"/>
          <w:szCs w:val="20"/>
          <w:color w:val="auto"/>
        </w:rPr>
      </w:pPr>
    </w:p>
    <w:p>
      <w:pPr>
        <w:ind w:left="1080" w:hanging="545"/>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citizen or individual resident of the United States;</w:t>
      </w:r>
    </w:p>
    <w:p>
      <w:pPr>
        <w:spacing w:after="0" w:line="103" w:lineRule="exact"/>
        <w:rPr>
          <w:rFonts w:ascii="Arial" w:cs="Arial" w:eastAsia="Arial" w:hAnsi="Arial"/>
          <w:sz w:val="17"/>
          <w:szCs w:val="17"/>
          <w:color w:val="auto"/>
        </w:rPr>
      </w:pPr>
    </w:p>
    <w:p>
      <w:pPr>
        <w:ind w:left="1080" w:right="180" w:hanging="545"/>
        <w:spacing w:after="0" w:line="264"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or under the laws of the United States, any state therein or the District of Columbia; or</w:t>
      </w:r>
    </w:p>
    <w:p>
      <w:pPr>
        <w:spacing w:after="0" w:line="68" w:lineRule="exact"/>
        <w:rPr>
          <w:rFonts w:ascii="Arial" w:cs="Arial" w:eastAsia="Arial" w:hAnsi="Arial"/>
          <w:sz w:val="17"/>
          <w:szCs w:val="17"/>
          <w:color w:val="auto"/>
        </w:rPr>
      </w:pPr>
    </w:p>
    <w:p>
      <w:pPr>
        <w:ind w:left="1080" w:hanging="545"/>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estate or trust the income of which is subject to U.S. federal income taxation regardless of its source.</w:t>
      </w:r>
    </w:p>
    <w:p>
      <w:pPr>
        <w:spacing w:after="0" w:line="203" w:lineRule="exact"/>
        <w:rPr>
          <w:sz w:val="20"/>
          <w:szCs w:val="20"/>
          <w:color w:val="auto"/>
        </w:rPr>
      </w:pPr>
    </w:p>
    <w:p>
      <w:pPr>
        <w:ind w:right="400" w:firstLine="547"/>
        <w:spacing w:after="0" w:line="264" w:lineRule="auto"/>
        <w:rPr>
          <w:sz w:val="20"/>
          <w:szCs w:val="20"/>
          <w:color w:val="auto"/>
        </w:rPr>
      </w:pPr>
      <w:r>
        <w:rPr>
          <w:rFonts w:ascii="Arial" w:cs="Arial" w:eastAsia="Arial" w:hAnsi="Arial"/>
          <w:sz w:val="17"/>
          <w:szCs w:val="17"/>
          <w:color w:val="auto"/>
        </w:rPr>
        <w:t>U.S. Holders should consult their tax advisers concerning the U.S. federal, state, local and non-U.S. tax consequences of owning and disposing of ADSs or ordinary shares in their particular circumstances.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general, a U.S. Holder who owns ADSs will be treated as the owner of the underlying shares represented by those ADSs for U.S. federal income tax purposes.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Accordingly, no gain or loss will be recognized if a U.S. Holder exchanges ADSs for the underlying shares represented by those ADSs.</w:t>
      </w:r>
    </w:p>
    <w:p>
      <w:pPr>
        <w:spacing w:after="0" w:line="191" w:lineRule="exact"/>
        <w:rPr>
          <w:sz w:val="20"/>
          <w:szCs w:val="20"/>
          <w:color w:val="auto"/>
        </w:rPr>
      </w:pPr>
    </w:p>
    <w:p>
      <w:pPr>
        <w:ind w:right="320" w:firstLine="547"/>
        <w:spacing w:after="0" w:line="264" w:lineRule="auto"/>
        <w:rPr>
          <w:sz w:val="20"/>
          <w:szCs w:val="20"/>
          <w:color w:val="auto"/>
        </w:rPr>
      </w:pPr>
      <w:r>
        <w:rPr>
          <w:rFonts w:ascii="Arial" w:cs="Arial" w:eastAsia="Arial" w:hAnsi="Arial"/>
          <w:sz w:val="17"/>
          <w:szCs w:val="17"/>
          <w:color w:val="auto"/>
        </w:rPr>
        <w:t>Except as described in “Passive Foreign Investment Company Rules” below, this discussion assumes that we are not, and will not become, a passive foreign investment company, or PFIC.</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Distributions</w:t>
      </w:r>
    </w:p>
    <w:p>
      <w:pPr>
        <w:spacing w:after="0" w:line="103" w:lineRule="exact"/>
        <w:rPr>
          <w:sz w:val="20"/>
          <w:szCs w:val="20"/>
          <w:color w:val="auto"/>
        </w:rPr>
      </w:pPr>
    </w:p>
    <w:p>
      <w:pPr>
        <w:ind w:right="80" w:firstLine="547"/>
        <w:spacing w:after="0" w:line="267" w:lineRule="auto"/>
        <w:rPr>
          <w:sz w:val="20"/>
          <w:szCs w:val="20"/>
          <w:color w:val="auto"/>
        </w:rPr>
      </w:pPr>
      <w:r>
        <w:rPr>
          <w:rFonts w:ascii="Arial" w:cs="Arial" w:eastAsia="Arial" w:hAnsi="Arial"/>
          <w:sz w:val="16"/>
          <w:szCs w:val="16"/>
          <w:color w:val="auto"/>
        </w:rPr>
        <w:t>Distributions paid on the ADSs or ordinary shares, other than certain pro rata distributions of ADSs or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for U.S. federal income tax purposes. Such dividends will not be eligible for the dividends-received deduction generally available to U.S. corporations under the Code. Subject to applicable limitations, dividends paid to certain non-corporate U.S. Holders may be taxable at reduced rates. Non-corporate U.S. Holders should consult their tax advisers regarding the availability of the reduced tax rate on dividends in their particular circumstances.</w:t>
      </w:r>
    </w:p>
    <w:p>
      <w:pPr>
        <w:spacing w:after="0" w:line="167" w:lineRule="exact"/>
        <w:rPr>
          <w:sz w:val="20"/>
          <w:szCs w:val="20"/>
          <w:color w:val="auto"/>
        </w:rPr>
      </w:pPr>
    </w:p>
    <w:p>
      <w:pPr>
        <w:ind w:right="160" w:firstLine="547"/>
        <w:spacing w:after="0" w:line="269" w:lineRule="auto"/>
        <w:rPr>
          <w:sz w:val="20"/>
          <w:szCs w:val="20"/>
          <w:color w:val="auto"/>
        </w:rPr>
      </w:pPr>
      <w:r>
        <w:rPr>
          <w:rFonts w:ascii="Arial" w:cs="Arial" w:eastAsia="Arial" w:hAnsi="Arial"/>
          <w:sz w:val="16"/>
          <w:szCs w:val="16"/>
          <w:color w:val="auto"/>
        </w:rPr>
        <w:t>Dividends will be included in a U.S. Holder’s income generally on the date of the U.S. Holder’s, or in the case of ADSs, the Depositary’s, receipt. The amount of any dividend income paid in currency other than U.S. dollars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65" w:lineRule="exact"/>
        <w:rPr>
          <w:sz w:val="20"/>
          <w:szCs w:val="20"/>
          <w:color w:val="auto"/>
        </w:rPr>
      </w:pPr>
    </w:p>
    <w:p>
      <w:pPr>
        <w:ind w:right="40" w:firstLine="547"/>
        <w:spacing w:after="0" w:line="265" w:lineRule="auto"/>
        <w:rPr>
          <w:sz w:val="20"/>
          <w:szCs w:val="20"/>
          <w:color w:val="auto"/>
        </w:rPr>
      </w:pPr>
      <w:r>
        <w:rPr>
          <w:rFonts w:ascii="Arial" w:cs="Arial" w:eastAsia="Arial" w:hAnsi="Arial"/>
          <w:sz w:val="16"/>
          <w:szCs w:val="16"/>
          <w:color w:val="auto"/>
        </w:rPr>
        <w:t>Dividends will be treated as foreign-source income for foreign tax credit purposes. As described in “—People’s Republic of China Taxation,” dividends paid by us may be subject to PRC withholding tax. For U.S. federal income tax purposes, the amount of the dividend income will include amounts withheld in respect of the PRC withholding tax. Subject to applicable limitations, which vary depending upon the U.S. Holder’s circumstances, PRC taxes withheld from dividend payments (at a rate not exceeding the applicable rate provided in the Treaty in the case of a U.S. Holder that is eligible for the benefits of the Treaty) generally will be creditable against a U.S. Holder’s U.S. federal income tax liability. The rules governing foreign tax credits are complex and U.S. Holders should consult their tax advisers regarding the creditability of foreign tax credits in their particular circumstances. In lieu of claiming a credit, a U.S. Holder may elect to deduct such PRC taxes in computing its taxable income, subject to applicable limitations. An election to deduct foreign taxes instead of claiming foreign tax credits must apply to all foreign taxes paid or accrued in the taxable year.</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or Other Disposition of ADSs or ordinary shares</w:t>
      </w:r>
    </w:p>
    <w:p>
      <w:pPr>
        <w:spacing w:after="0" w:line="103" w:lineRule="exact"/>
        <w:rPr>
          <w:sz w:val="20"/>
          <w:szCs w:val="20"/>
          <w:color w:val="auto"/>
        </w:rPr>
      </w:pPr>
    </w:p>
    <w:p>
      <w:pPr>
        <w:ind w:firstLine="547"/>
        <w:spacing w:after="0" w:line="304" w:lineRule="auto"/>
        <w:rPr>
          <w:sz w:val="20"/>
          <w:szCs w:val="20"/>
          <w:color w:val="auto"/>
        </w:rPr>
      </w:pPr>
      <w:r>
        <w:rPr>
          <w:rFonts w:ascii="Arial" w:cs="Arial" w:eastAsia="Arial" w:hAnsi="Arial"/>
          <w:sz w:val="15"/>
          <w:szCs w:val="15"/>
          <w:color w:val="auto"/>
        </w:rPr>
        <w:t>For U.S. federal income tax purposes, gain or loss realized on the sale or other taxable disposition of ADSs or ordinary shares will be capital gain or loss, and will be long-term capital gain or loss if the U.S. Holder held the ADSs or ordinary shares for more than one year. The amount of the gain or loss will equal the difference between the U.S. Holder’s tax basis in the ADSs or ordinary shares disposed of and the amount realized on the disposition, in each case as determined in U.S. dollars.</w:t>
      </w:r>
    </w:p>
    <w:p>
      <w:pPr>
        <w:spacing w:after="0" w:line="142" w:lineRule="exact"/>
        <w:rPr>
          <w:sz w:val="20"/>
          <w:szCs w:val="20"/>
          <w:color w:val="auto"/>
        </w:rPr>
      </w:pPr>
    </w:p>
    <w:p>
      <w:pPr>
        <w:ind w:right="20" w:firstLine="547"/>
        <w:spacing w:after="0" w:line="249" w:lineRule="auto"/>
        <w:rPr>
          <w:sz w:val="20"/>
          <w:szCs w:val="20"/>
          <w:color w:val="auto"/>
        </w:rPr>
      </w:pPr>
      <w:r>
        <w:rPr>
          <w:rFonts w:ascii="Arial" w:cs="Arial" w:eastAsia="Arial" w:hAnsi="Arial"/>
          <w:sz w:val="17"/>
          <w:szCs w:val="17"/>
          <w:color w:val="auto"/>
        </w:rPr>
        <w:t>As described in “—People’s Republic of China Taxation” above, gains on the sale of ADSs or ordinary shares may be subject to PRC taxes if we are treated as a PRC resident enterprise for PRC tax purposes. A U.S. Holder will be entitled to use foreign tax credits to offset only the portion of its U.S. federal income tax liability that is attributable to foreign-source income. Because under the Code capital gains of U.S. persons are generally treated as U.S.-source income, this limitation may preclude a U.S. Holder from claiming a credit for all or a portion of any PRC taxes imposed on any such gains. However, U.S. Holders that are eligible for the benefits of the Treaty may be able to elect to treat the gain as PRC-source income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02" w:name="page103"/>
    <w:bookmarkEnd w:id="102"/>
    <w:p>
      <w:pPr>
        <w:ind w:right="160"/>
        <w:spacing w:after="0" w:line="251" w:lineRule="auto"/>
        <w:rPr>
          <w:sz w:val="20"/>
          <w:szCs w:val="20"/>
          <w:color w:val="auto"/>
        </w:rPr>
      </w:pPr>
      <w:r>
        <w:rPr>
          <w:rFonts w:ascii="Arial" w:cs="Arial" w:eastAsia="Arial" w:hAnsi="Arial"/>
          <w:sz w:val="17"/>
          <w:szCs w:val="17"/>
          <w:color w:val="auto"/>
        </w:rPr>
        <w:t>foreign tax credit purposes and therefore claim foreign tax credits in respect of PRC taxes on such disposition gains (to the extent such gains are not exempt from Chinese taxation under the Treaty). If such an election is made, the gain so treated will be treated as a separate “basket” of income for foreign tax credit purposes. U.S. Holders should consult their tax advisers regarding their eligibility for the benefits of the Treaty and the creditability of any PRC tax on disposition gains in their particular circumstances.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Foreign Investment Company Rules</w:t>
      </w:r>
    </w:p>
    <w:p>
      <w:pPr>
        <w:spacing w:after="0" w:line="103" w:lineRule="exact"/>
        <w:rPr>
          <w:sz w:val="20"/>
          <w:szCs w:val="20"/>
          <w:color w:val="auto"/>
        </w:rPr>
      </w:pPr>
    </w:p>
    <w:p>
      <w:pPr>
        <w:ind w:firstLine="547"/>
        <w:spacing w:after="0" w:line="282" w:lineRule="auto"/>
        <w:rPr>
          <w:sz w:val="20"/>
          <w:szCs w:val="20"/>
          <w:color w:val="auto"/>
        </w:rPr>
      </w:pPr>
      <w:r>
        <w:rPr>
          <w:rFonts w:ascii="Arial" w:cs="Arial" w:eastAsia="Arial" w:hAnsi="Arial"/>
          <w:sz w:val="15"/>
          <w:szCs w:val="15"/>
          <w:color w:val="auto"/>
        </w:rPr>
        <w:t>In general, a non-U.S. corporation is a PFIC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 Based on the composition of our income and assets and the value of our assets, including goodwill, which is based on the price of the ADSs, we believe that we were not a PFIC for the 2020 taxable year and we do not expect to be a PFIC for our current taxable year. However, it is not entirely clear how the contractual arrangements between our wholly-owned PRC subsidiaries, our consolidated affiliated entities and the shareholders of our consolidated affiliated entities will be treated for purposes of the PFIC rules. Because the treatment of the contractual arrangements is not entirely clear, because we hold a substantial amount of cash, and because PFIC status depends upon the composition of our income and assets and the value of our assets from time to time (which may be determined, in part, by reference to the market price of the ADSs or ordinary shares, which could be volatile), there can be no assurance that we will not be a PFIC for our current taxable year or any future taxable year.</w:t>
      </w:r>
    </w:p>
    <w:p>
      <w:pPr>
        <w:spacing w:after="0" w:line="162" w:lineRule="exact"/>
        <w:rPr>
          <w:sz w:val="20"/>
          <w:szCs w:val="20"/>
          <w:color w:val="auto"/>
        </w:rPr>
      </w:pPr>
    </w:p>
    <w:p>
      <w:pPr>
        <w:ind w:right="20" w:firstLine="547"/>
        <w:spacing w:after="0" w:line="249" w:lineRule="auto"/>
        <w:rPr>
          <w:sz w:val="20"/>
          <w:szCs w:val="20"/>
          <w:color w:val="auto"/>
        </w:rPr>
      </w:pPr>
      <w:r>
        <w:rPr>
          <w:rFonts w:ascii="Arial" w:cs="Arial" w:eastAsia="Arial" w:hAnsi="Arial"/>
          <w:sz w:val="17"/>
          <w:szCs w:val="17"/>
          <w:color w:val="auto"/>
        </w:rPr>
        <w:t>If we were a PFIC for any taxable year and any of our subsidiaries, consolidated affiliated entity or other companies in which we own or are treated as owning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82" w:lineRule="exact"/>
        <w:rPr>
          <w:sz w:val="20"/>
          <w:szCs w:val="20"/>
          <w:color w:val="auto"/>
        </w:rPr>
      </w:pPr>
    </w:p>
    <w:p>
      <w:pPr>
        <w:ind w:right="60" w:firstLine="547"/>
        <w:spacing w:after="0" w:line="284" w:lineRule="auto"/>
        <w:rPr>
          <w:sz w:val="20"/>
          <w:szCs w:val="20"/>
          <w:color w:val="auto"/>
        </w:rPr>
      </w:pPr>
      <w:r>
        <w:rPr>
          <w:rFonts w:ascii="Arial" w:cs="Arial" w:eastAsia="Arial" w:hAnsi="Arial"/>
          <w:sz w:val="15"/>
          <w:szCs w:val="15"/>
          <w:color w:val="auto"/>
        </w:rPr>
        <w:t>In general, if we were a PFIC for any taxable year during which a U.S. Holder holds ADSs or ordinary shares, gain recognized by such U.S. Holder on a sale or other disposition (including certain pledges) of its ADSs or ordinary shares would be allocated ratably over that U.S. Holder’s holding period. The amounts allocated to the taxable year of the sale or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resulting tax liability for each such year. Furthermore, to the extent that distributions received by a U.S. Holder in any year on its ADSs or ordinary shares exceed 125% of the average of the annual distributions on the ADSs or ordinary shares received during the preceding three taxable years or the U.S. Holder’s holding period for the ADSs or ordinary shares, whichever is shorter, such distributions would be subject to taxation in the same manner. 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56" w:lineRule="exact"/>
        <w:rPr>
          <w:sz w:val="20"/>
          <w:szCs w:val="20"/>
          <w:color w:val="auto"/>
        </w:rPr>
      </w:pPr>
    </w:p>
    <w:p>
      <w:pPr>
        <w:ind w:firstLine="547"/>
        <w:spacing w:after="0" w:line="288" w:lineRule="auto"/>
        <w:rPr>
          <w:sz w:val="20"/>
          <w:szCs w:val="20"/>
          <w:color w:val="auto"/>
        </w:rPr>
      </w:pPr>
      <w:r>
        <w:rPr>
          <w:rFonts w:ascii="Arial" w:cs="Arial" w:eastAsia="Arial" w:hAnsi="Arial"/>
          <w:sz w:val="15"/>
          <w:szCs w:val="15"/>
          <w:color w:val="auto"/>
        </w:rPr>
        <w:t>Alternatively, if we were a PFIC and if the ADSs were “regularly traded” on a “qualified exchange,” as defined in applicable Treasury regulations, a U.S. Holder could make a mark-to-market election that would result in tax treatment different from the general tax treatment for PFICs described in the preceding paragraph. The ADSs would be treated as “regularly traded” for any calendar year in which more than a de minimis quantity of the ADSs were traded on a qualified exchange on at least 15 days during each calendar quarter. The New York Stock Exchange, where our ADSs are listed, is a qualified exchange for this purpose. U.S. Holders will not be able to make a mark-to-market election with respect to Lower-tier PFICs, if any. Accordingly, if we were a PFIC for any taxable year, a U.S. Holder that makes the mark-to-market election may continue to be subject to the general PFIC rules with respect to such U.S. Holder’s indirect interest in any Lower-tier PFICs.</w:t>
      </w:r>
    </w:p>
    <w:p>
      <w:pPr>
        <w:spacing w:after="0" w:line="153" w:lineRule="exact"/>
        <w:rPr>
          <w:sz w:val="20"/>
          <w:szCs w:val="20"/>
          <w:color w:val="auto"/>
        </w:rPr>
      </w:pPr>
    </w:p>
    <w:p>
      <w:pPr>
        <w:ind w:firstLine="547"/>
        <w:spacing w:after="0" w:line="288" w:lineRule="auto"/>
        <w:rPr>
          <w:sz w:val="20"/>
          <w:szCs w:val="20"/>
          <w:color w:val="auto"/>
        </w:rPr>
      </w:pPr>
      <w:r>
        <w:rPr>
          <w:rFonts w:ascii="Arial" w:cs="Arial" w:eastAsia="Arial" w:hAnsi="Arial"/>
          <w:sz w:val="15"/>
          <w:szCs w:val="15"/>
          <w:color w:val="auto"/>
        </w:rPr>
        <w:t>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year when we are a PFIC will be treated as ordinary income and any loss will be treated as an ordinary loss (but only to the extent of the net amount of income previously included as a result of the mark-to-market election, with any excess treated as capital loss). If a U.S.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t>Holder makes the mark-to-market election, distributions paid on ADSs will be treated as discussed under “—Taxation of Distributions” above.</w:t>
      </w:r>
    </w:p>
    <w:p>
      <w:pPr>
        <w:spacing w:after="0" w:line="203" w:lineRule="exact"/>
        <w:rPr>
          <w:sz w:val="20"/>
          <w:szCs w:val="20"/>
          <w:color w:val="auto"/>
        </w:rPr>
      </w:pPr>
    </w:p>
    <w:p>
      <w:pPr>
        <w:ind w:right="40" w:firstLine="547"/>
        <w:spacing w:after="0" w:line="254" w:lineRule="auto"/>
        <w:rPr>
          <w:sz w:val="20"/>
          <w:szCs w:val="20"/>
          <w:color w:val="auto"/>
        </w:rPr>
      </w:pPr>
      <w:r>
        <w:rPr>
          <w:rFonts w:ascii="Arial" w:cs="Arial" w:eastAsia="Arial" w:hAnsi="Arial"/>
          <w:sz w:val="17"/>
          <w:szCs w:val="17"/>
          <w:color w:val="auto"/>
        </w:rPr>
        <w:t>If we are a PFIC for any taxable year during which a U.S. Holder owns ADSs or ordinary shares, we will generally continue to be treated as a PFIC with respect to the U.S. Holder for all succeeding years during which the U.S. Holder owns ADSs or ordinary shares, even if we cease to meet the threshold requirements for PFIC status.</w:t>
      </w:r>
    </w:p>
    <w:p>
      <w:pPr>
        <w:spacing w:after="0" w:line="177" w:lineRule="exact"/>
        <w:rPr>
          <w:sz w:val="20"/>
          <w:szCs w:val="20"/>
          <w:color w:val="auto"/>
        </w:rPr>
      </w:pPr>
    </w:p>
    <w:p>
      <w:pPr>
        <w:ind w:right="140" w:firstLine="547"/>
        <w:spacing w:after="0" w:line="264" w:lineRule="auto"/>
        <w:rPr>
          <w:sz w:val="20"/>
          <w:szCs w:val="20"/>
          <w:color w:val="auto"/>
        </w:rPr>
      </w:pPr>
      <w:r>
        <w:rPr>
          <w:rFonts w:ascii="Arial" w:cs="Arial" w:eastAsia="Arial" w:hAnsi="Arial"/>
          <w:sz w:val="17"/>
          <w:szCs w:val="17"/>
          <w:color w:val="auto"/>
        </w:rPr>
        <w:t>We do not intend to provide the information that would otherwise enable U.S. Holders to make a “qualified electing fund election”, which would have resulted in alternate treatment if we were a PFIC for any taxable year.</w:t>
      </w:r>
    </w:p>
    <w:p>
      <w:pPr>
        <w:spacing w:after="0" w:line="168" w:lineRule="exact"/>
        <w:rPr>
          <w:sz w:val="20"/>
          <w:szCs w:val="20"/>
          <w:color w:val="auto"/>
        </w:rPr>
      </w:pPr>
    </w:p>
    <w:p>
      <w:pPr>
        <w:ind w:right="320" w:firstLine="547"/>
        <w:spacing w:after="0" w:line="264" w:lineRule="auto"/>
        <w:rPr>
          <w:sz w:val="20"/>
          <w:szCs w:val="20"/>
          <w:color w:val="auto"/>
        </w:rPr>
      </w:pPr>
      <w:r>
        <w:rPr>
          <w:rFonts w:ascii="Arial" w:cs="Arial" w:eastAsia="Arial" w:hAnsi="Arial"/>
          <w:sz w:val="17"/>
          <w:szCs w:val="17"/>
          <w:color w:val="auto"/>
        </w:rPr>
        <w:t>If we were a PFIC for any taxable year during which a U.S. Holder owned any ADSs or ordinary shares, the U.S. Holder would generally be required to file annual reports with the Internal Revenue Service.</w:t>
      </w:r>
    </w:p>
    <w:p>
      <w:pPr>
        <w:spacing w:after="0" w:line="168" w:lineRule="exact"/>
        <w:rPr>
          <w:sz w:val="20"/>
          <w:szCs w:val="20"/>
          <w:color w:val="auto"/>
        </w:rPr>
      </w:pPr>
    </w:p>
    <w:p>
      <w:pPr>
        <w:ind w:right="300" w:firstLine="547"/>
        <w:spacing w:after="0" w:line="264" w:lineRule="auto"/>
        <w:rPr>
          <w:sz w:val="20"/>
          <w:szCs w:val="20"/>
          <w:color w:val="auto"/>
        </w:rPr>
      </w:pPr>
      <w:r>
        <w:rPr>
          <w:rFonts w:ascii="Arial" w:cs="Arial" w:eastAsia="Arial" w:hAnsi="Arial"/>
          <w:sz w:val="17"/>
          <w:szCs w:val="17"/>
          <w:color w:val="auto"/>
        </w:rPr>
        <w:t>U.S. Holders should consult their tax advisers regarding the determination of whether we are a PFIC for any taxable year and the potential application of the PFIC rules to their ownership of ADSs or ordinary shares.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103" w:lineRule="exact"/>
        <w:rPr>
          <w:sz w:val="20"/>
          <w:szCs w:val="20"/>
          <w:color w:val="auto"/>
        </w:rPr>
      </w:pPr>
    </w:p>
    <w:p>
      <w:pPr>
        <w:ind w:right="20" w:firstLine="547"/>
        <w:spacing w:after="0" w:line="267" w:lineRule="auto"/>
        <w:rPr>
          <w:sz w:val="20"/>
          <w:szCs w:val="20"/>
          <w:color w:val="auto"/>
        </w:rPr>
      </w:pPr>
      <w:r>
        <w:rPr>
          <w:rFonts w:ascii="Arial" w:cs="Arial" w:eastAsia="Arial" w:hAnsi="Arial"/>
          <w:sz w:val="16"/>
          <w:szCs w:val="16"/>
          <w:color w:val="auto"/>
        </w:rPr>
        <w:t>Payments of dividends and sales proceeds from the sale or exchange of our ADSs or ordinary shares,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generally on Internal Revenue Service Form W-9. 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Internal Revenue Service.</w:t>
      </w:r>
    </w:p>
    <w:p>
      <w:pPr>
        <w:spacing w:after="0" w:line="167" w:lineRule="exact"/>
        <w:rPr>
          <w:sz w:val="20"/>
          <w:szCs w:val="20"/>
          <w:color w:val="auto"/>
        </w:rPr>
      </w:pPr>
    </w:p>
    <w:p>
      <w:pPr>
        <w:ind w:right="200" w:firstLine="547"/>
        <w:spacing w:after="0" w:line="251" w:lineRule="auto"/>
        <w:rPr>
          <w:sz w:val="20"/>
          <w:szCs w:val="20"/>
          <w:color w:val="auto"/>
        </w:rPr>
      </w:pPr>
      <w:r>
        <w:rPr>
          <w:rFonts w:ascii="Arial" w:cs="Arial" w:eastAsia="Arial" w:hAnsi="Arial"/>
          <w:sz w:val="17"/>
          <w:szCs w:val="17"/>
          <w:color w:val="auto"/>
        </w:rPr>
        <w:t>Certain U.S. Holders who are individuals (or entities formed or availed of to hold certain “specified foreign financial assets”) may be required to report information relating to their ownership of ADSs or ordinary shares, unless the ADSs or ordinary shares are held in accounts at financial institutions (in which case the accounts may be reportable if maintained by non-U.S. financial institutions). U.S. Holders should consult their tax advisers regarding their reporting obligations with respect to the ADSs or ordinary shares.</w:t>
      </w:r>
    </w:p>
    <w:p>
      <w:pPr>
        <w:spacing w:after="0" w:line="274"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10.F.</w:t>
      </w:r>
      <w:r>
        <w:rPr>
          <w:sz w:val="20"/>
          <w:szCs w:val="20"/>
          <w:color w:val="auto"/>
        </w:rPr>
        <w:tab/>
      </w:r>
      <w:r>
        <w:rPr>
          <w:rFonts w:ascii="Arial" w:cs="Arial" w:eastAsia="Arial" w:hAnsi="Arial"/>
          <w:sz w:val="13"/>
          <w:szCs w:val="13"/>
          <w:b w:val="1"/>
          <w:bCs w:val="1"/>
          <w:color w:val="auto"/>
        </w:rPr>
        <w:t>Dividends and Paying Agents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jc w:val="center"/>
        <w:ind w:right="9180"/>
        <w:spacing w:after="0"/>
        <w:tabs>
          <w:tab w:leader="none" w:pos="140" w:val="left"/>
        </w:tabs>
        <w:rPr>
          <w:sz w:val="20"/>
          <w:szCs w:val="20"/>
          <w:color w:val="auto"/>
        </w:rPr>
      </w:pPr>
      <w:r>
        <w:rPr>
          <w:rFonts w:ascii="Arial" w:cs="Arial" w:eastAsia="Arial" w:hAnsi="Arial"/>
          <w:sz w:val="17"/>
          <w:szCs w:val="17"/>
          <w:b w:val="1"/>
          <w:bCs w:val="1"/>
          <w:color w:val="auto"/>
        </w:rPr>
        <w:t>10.G.</w:t>
      </w:r>
      <w:r>
        <w:rPr>
          <w:sz w:val="20"/>
          <w:szCs w:val="20"/>
          <w:color w:val="auto"/>
        </w:rPr>
        <w:tab/>
      </w:r>
      <w:r>
        <w:rPr>
          <w:rFonts w:ascii="Arial" w:cs="Arial" w:eastAsia="Arial" w:hAnsi="Arial"/>
          <w:sz w:val="13"/>
          <w:szCs w:val="13"/>
          <w:b w:val="1"/>
          <w:bCs w:val="1"/>
          <w:color w:val="auto"/>
        </w:rPr>
        <w:t>Statement by Experts</w:t>
      </w:r>
    </w:p>
    <w:p>
      <w:pPr>
        <w:spacing w:after="0" w:line="107" w:lineRule="exact"/>
        <w:rPr>
          <w:sz w:val="20"/>
          <w:szCs w:val="20"/>
          <w:color w:val="auto"/>
        </w:rPr>
      </w:pPr>
    </w:p>
    <w:p>
      <w:pPr>
        <w:jc w:val="center"/>
        <w:ind w:right="91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10.H.</w:t>
      </w:r>
      <w:r>
        <w:rPr>
          <w:sz w:val="20"/>
          <w:szCs w:val="20"/>
          <w:color w:val="auto"/>
        </w:rPr>
        <w:tab/>
      </w:r>
      <w:r>
        <w:rPr>
          <w:rFonts w:ascii="Arial" w:cs="Arial" w:eastAsia="Arial" w:hAnsi="Arial"/>
          <w:sz w:val="13"/>
          <w:szCs w:val="13"/>
          <w:b w:val="1"/>
          <w:bCs w:val="1"/>
          <w:color w:val="auto"/>
        </w:rPr>
        <w:t>Documents on Display</w:t>
      </w:r>
    </w:p>
    <w:p>
      <w:pPr>
        <w:spacing w:after="0" w:line="107" w:lineRule="exact"/>
        <w:rPr>
          <w:sz w:val="20"/>
          <w:szCs w:val="20"/>
          <w:color w:val="auto"/>
        </w:rPr>
      </w:pPr>
    </w:p>
    <w:p>
      <w:pPr>
        <w:ind w:firstLine="547"/>
        <w:spacing w:after="0" w:line="265" w:lineRule="auto"/>
        <w:rPr>
          <w:sz w:val="20"/>
          <w:szCs w:val="20"/>
          <w:color w:val="auto"/>
        </w:rPr>
      </w:pPr>
      <w:r>
        <w:rPr>
          <w:rFonts w:ascii="Arial" w:cs="Arial" w:eastAsia="Arial" w:hAnsi="Arial"/>
          <w:sz w:val="16"/>
          <w:szCs w:val="16"/>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04" w:name="page105"/>
    <w:bookmarkEnd w:id="104"/>
    <w:p>
      <w:pPr>
        <w:ind w:right="100" w:firstLine="547"/>
        <w:spacing w:after="0" w:line="295" w:lineRule="auto"/>
        <w:rPr>
          <w:sz w:val="20"/>
          <w:szCs w:val="20"/>
          <w:color w:val="auto"/>
        </w:rPr>
      </w:pPr>
      <w:r>
        <w:rPr>
          <w:rFonts w:ascii="Arial" w:cs="Arial" w:eastAsia="Arial" w:hAnsi="Arial"/>
          <w:sz w:val="15"/>
          <w:szCs w:val="15"/>
          <w:color w:val="auto"/>
        </w:rPr>
        <w:t>We will furnish The Bank of New York Mellon,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244"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10.I.</w:t>
      </w:r>
      <w:r>
        <w:rPr>
          <w:sz w:val="20"/>
          <w:szCs w:val="20"/>
          <w:color w:val="auto"/>
        </w:rPr>
        <w:tab/>
      </w:r>
      <w:r>
        <w:rPr>
          <w:rFonts w:ascii="Arial" w:cs="Arial" w:eastAsia="Arial" w:hAnsi="Arial"/>
          <w:sz w:val="15"/>
          <w:szCs w:val="15"/>
          <w:b w:val="1"/>
          <w:bCs w:val="1"/>
          <w:color w:val="auto"/>
        </w:rPr>
        <w:t>Subsidiary Information</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03" w:lineRule="exact"/>
        <w:rPr>
          <w:sz w:val="20"/>
          <w:szCs w:val="20"/>
          <w:color w:val="auto"/>
        </w:rPr>
      </w:pPr>
    </w:p>
    <w:p>
      <w:pPr>
        <w:ind w:firstLine="547"/>
        <w:spacing w:after="0" w:line="251" w:lineRule="auto"/>
        <w:rPr>
          <w:sz w:val="20"/>
          <w:szCs w:val="20"/>
          <w:color w:val="auto"/>
        </w:rPr>
      </w:pPr>
      <w:r>
        <w:rPr>
          <w:rFonts w:ascii="Arial" w:cs="Arial" w:eastAsia="Arial" w:hAnsi="Arial"/>
          <w:sz w:val="17"/>
          <w:szCs w:val="17"/>
          <w:color w:val="auto"/>
        </w:rPr>
        <w:t>Our exposure to interest rate risk primarily relates to the interest income generated by excess cash, which is mostly held in interest-bearing bank deposits.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179" w:lineRule="exact"/>
        <w:rPr>
          <w:sz w:val="20"/>
          <w:szCs w:val="20"/>
          <w:color w:val="auto"/>
        </w:rPr>
      </w:pPr>
    </w:p>
    <w:p>
      <w:pPr>
        <w:ind w:right="80" w:firstLine="547"/>
        <w:spacing w:after="0" w:line="267" w:lineRule="auto"/>
        <w:rPr>
          <w:sz w:val="20"/>
          <w:szCs w:val="20"/>
          <w:color w:val="auto"/>
        </w:rPr>
      </w:pPr>
      <w:r>
        <w:rPr>
          <w:rFonts w:ascii="Arial" w:cs="Arial" w:eastAsia="Arial" w:hAnsi="Arial"/>
          <w:sz w:val="16"/>
          <w:szCs w:val="16"/>
          <w:color w:val="auto"/>
        </w:rPr>
        <w:t>We may also be subject to interest rate risk in relation to the installment payment option that we offer to our students that enables them to finance all or part of their tuition from loans provided by third-party credit providers. The borrowing student is obligated to repay the loan principal in installments over a period ranging from three to 18 months, while we are generally obligated to pay the full amount of interest payable to the credit providers at the very beginning of the loan. We may be subject to risks associated with an increase in interest rates to the extent that we continue to agree to make the interest payments under such loans. In 2018, 2019 and 2020, our student loan coverage ratio was 78.3%, 70.4% and 54.9%, respectively. For the same periods, we made interest payments of RMB159.9 million, RMB118.0 million and RMB83.3 million (US$12.8 million), respectively, to the credit providers.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Risk</w:t>
      </w:r>
    </w:p>
    <w:p>
      <w:pPr>
        <w:spacing w:after="0" w:line="103" w:lineRule="exact"/>
        <w:rPr>
          <w:sz w:val="20"/>
          <w:szCs w:val="20"/>
          <w:color w:val="auto"/>
        </w:rPr>
      </w:pPr>
    </w:p>
    <w:p>
      <w:pPr>
        <w:ind w:right="140" w:firstLine="547"/>
        <w:spacing w:after="0" w:line="248" w:lineRule="auto"/>
        <w:rPr>
          <w:sz w:val="20"/>
          <w:szCs w:val="20"/>
          <w:color w:val="auto"/>
        </w:rPr>
      </w:pPr>
      <w:r>
        <w:rPr>
          <w:rFonts w:ascii="Arial" w:cs="Arial" w:eastAsia="Arial" w:hAnsi="Arial"/>
          <w:sz w:val="17"/>
          <w:szCs w:val="17"/>
          <w:color w:val="auto"/>
        </w:rPr>
        <w:t>Substantially all of our revenues are denominated in Renminbi. The Renminbi is not freely convertible into foreign currencies for capital account transactions. The value of the Renminbi against the U.S. dollar and other currencies is affected by, among other things, changes in China’s political and economic conditions and China’s foreign exchange policies. On July 21, 2005, the PRC government changed its decade-old policy of pegging the value of the RMB to the U.S. dollar, and the Renminbi appreciated more than 20% against the U.S. dollar over the following three years. Since June 2010, the RMB has fluctuated against the U.S. dollar, at times significantly and unpredictably. It is difficult to predict how market forces or PRC or U.S. government policy may impact the exchange rate between the Renminbi and the U.S. dollar in the future.</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To date, we have not entered into any hedging transactions in an effort to reduce our exposure to foreign currency exchange risk.</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103" w:lineRule="exact"/>
        <w:rPr>
          <w:sz w:val="20"/>
          <w:szCs w:val="20"/>
          <w:color w:val="auto"/>
        </w:rPr>
      </w:pPr>
    </w:p>
    <w:p>
      <w:pPr>
        <w:jc w:val="both"/>
        <w:ind w:right="120" w:firstLine="547"/>
        <w:spacing w:after="0" w:line="251" w:lineRule="auto"/>
        <w:rPr>
          <w:sz w:val="20"/>
          <w:szCs w:val="20"/>
          <w:color w:val="auto"/>
        </w:rPr>
      </w:pPr>
      <w:r>
        <w:rPr>
          <w:rFonts w:ascii="Arial" w:cs="Arial" w:eastAsia="Arial" w:hAnsi="Arial"/>
          <w:sz w:val="17"/>
          <w:szCs w:val="17"/>
          <w:color w:val="auto"/>
        </w:rPr>
        <w:t>Since our inception, inflation in China has not materially impacted our results of operations. According to the National Bureau of Statistics of China, the year-over-year percent changes in the consumer price index for December 2018, 2019 and 2020 were increases of 1.8%, 1.9% and 2.9% respectively. Although we have not in the past been materially affected by inflation since our inception, we can provide no assurance that we will not be affected in the future by higher rates of inflation in China.</w:t>
      </w:r>
    </w:p>
    <w:p>
      <w:pPr>
        <w:spacing w:after="0" w:line="274" w:lineRule="exact"/>
        <w:rPr>
          <w:sz w:val="20"/>
          <w:szCs w:val="20"/>
          <w:color w:val="auto"/>
        </w:rPr>
      </w:pPr>
    </w:p>
    <w:p>
      <w:pPr>
        <w:ind w:right="4780"/>
        <w:spacing w:after="0" w:line="369" w:lineRule="auto"/>
        <w:rPr>
          <w:sz w:val="20"/>
          <w:szCs w:val="20"/>
          <w:color w:val="auto"/>
        </w:rPr>
      </w:pPr>
      <w:r>
        <w:rPr>
          <w:rFonts w:ascii="Arial" w:cs="Arial" w:eastAsia="Arial" w:hAnsi="Arial"/>
          <w:sz w:val="17"/>
          <w:szCs w:val="17"/>
          <w:b w:val="1"/>
          <w:bCs w:val="1"/>
          <w:color w:val="auto"/>
        </w:rPr>
        <w:t>ITEM 12. DESCRIPTION OF SECURITIES OTHER THAN EQUITY SECURITIES 12.A. Debt Securities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12.B.</w:t>
      </w:r>
      <w:r>
        <w:rPr>
          <w:sz w:val="20"/>
          <w:szCs w:val="20"/>
          <w:color w:val="auto"/>
        </w:rPr>
        <w:tab/>
      </w:r>
      <w:r>
        <w:rPr>
          <w:rFonts w:ascii="Arial" w:cs="Arial" w:eastAsia="Arial" w:hAnsi="Arial"/>
          <w:sz w:val="15"/>
          <w:szCs w:val="15"/>
          <w:b w:val="1"/>
          <w:bCs w:val="1"/>
          <w:color w:val="auto"/>
        </w:rPr>
        <w:t>Warrants and Rights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05" w:name="page106"/>
    <w:bookmarkEnd w:id="105"/>
    <w:p>
      <w:pPr>
        <w:spacing w:after="0"/>
        <w:tabs>
          <w:tab w:leader="none" w:pos="520" w:val="left"/>
        </w:tabs>
        <w:rPr>
          <w:sz w:val="20"/>
          <w:szCs w:val="20"/>
          <w:color w:val="auto"/>
        </w:rPr>
      </w:pPr>
      <w:r>
        <w:rPr>
          <w:rFonts w:ascii="Arial" w:cs="Arial" w:eastAsia="Arial" w:hAnsi="Arial"/>
          <w:sz w:val="17"/>
          <w:szCs w:val="17"/>
          <w:b w:val="1"/>
          <w:bCs w:val="1"/>
          <w:color w:val="auto"/>
        </w:rPr>
        <w:t>12.C.</w:t>
      </w:r>
      <w:r>
        <w:rPr>
          <w:sz w:val="20"/>
          <w:szCs w:val="20"/>
          <w:color w:val="auto"/>
        </w:rPr>
        <w:tab/>
      </w:r>
      <w:r>
        <w:rPr>
          <w:rFonts w:ascii="Arial" w:cs="Arial" w:eastAsia="Arial" w:hAnsi="Arial"/>
          <w:sz w:val="15"/>
          <w:szCs w:val="15"/>
          <w:b w:val="1"/>
          <w:bCs w:val="1"/>
          <w:color w:val="auto"/>
        </w:rPr>
        <w:t>Other Securities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12.D.</w:t>
      </w:r>
      <w:r>
        <w:rPr>
          <w:sz w:val="20"/>
          <w:szCs w:val="20"/>
          <w:color w:val="auto"/>
        </w:rPr>
        <w:tab/>
      </w:r>
      <w:r>
        <w:rPr>
          <w:rFonts w:ascii="Arial" w:cs="Arial" w:eastAsia="Arial" w:hAnsi="Arial"/>
          <w:sz w:val="13"/>
          <w:szCs w:val="13"/>
          <w:b w:val="1"/>
          <w:bCs w:val="1"/>
          <w:color w:val="auto"/>
        </w:rPr>
        <w:t>American Depositary Shares</w:t>
      </w:r>
    </w:p>
    <w:p>
      <w:pPr>
        <w:spacing w:after="0" w:line="224" w:lineRule="exact"/>
        <w:rPr>
          <w:sz w:val="20"/>
          <w:szCs w:val="20"/>
          <w:color w:val="auto"/>
        </w:rPr>
      </w:pPr>
    </w:p>
    <w:p>
      <w:pPr>
        <w:ind w:left="800"/>
        <w:spacing w:after="0"/>
        <w:tabs>
          <w:tab w:leader="none" w:pos="8360" w:val="left"/>
        </w:tabs>
        <w:rPr>
          <w:sz w:val="20"/>
          <w:szCs w:val="20"/>
          <w:color w:val="auto"/>
        </w:rPr>
      </w:pPr>
      <w:r>
        <w:rPr>
          <w:rFonts w:ascii="Arial" w:cs="Arial" w:eastAsia="Arial" w:hAnsi="Arial"/>
          <w:sz w:val="13"/>
          <w:szCs w:val="13"/>
          <w:b w:val="1"/>
          <w:bCs w:val="1"/>
          <w:color w:val="auto"/>
        </w:rPr>
        <w:t>Persons depositing or withdrawing shares or ADS holders must pay:</w:t>
      </w:r>
      <w:r>
        <w:rPr>
          <w:sz w:val="20"/>
          <w:szCs w:val="20"/>
          <w:color w:val="auto"/>
        </w:rPr>
        <w:tab/>
      </w:r>
      <w:r>
        <w:rPr>
          <w:rFonts w:ascii="Arial" w:cs="Arial" w:eastAsia="Arial" w:hAnsi="Arial"/>
          <w:sz w:val="13"/>
          <w:szCs w:val="13"/>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311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37" w:lineRule="exact"/>
        <w:rPr>
          <w:sz w:val="20"/>
          <w:szCs w:val="20"/>
          <w:color w:val="auto"/>
        </w:rPr>
      </w:pPr>
    </w:p>
    <w:p>
      <w:pPr>
        <w:ind w:left="220" w:hanging="220"/>
        <w:spacing w:after="0"/>
        <w:tabs>
          <w:tab w:leader="none" w:pos="2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US$5.00 (or less) per 100 ADSs (or portion of 100 ADSs)</w:t>
      </w:r>
    </w:p>
    <w:p>
      <w:pPr>
        <w:spacing w:after="0" w:line="200" w:lineRule="exact"/>
        <w:rPr>
          <w:rFonts w:ascii="Arial" w:cs="Arial" w:eastAsia="Arial" w:hAnsi="Arial"/>
          <w:sz w:val="15"/>
          <w:szCs w:val="15"/>
          <w:color w:val="auto"/>
        </w:rPr>
      </w:pPr>
    </w:p>
    <w:p>
      <w:pPr>
        <w:spacing w:after="0" w:line="399" w:lineRule="exact"/>
        <w:rPr>
          <w:rFonts w:ascii="Arial" w:cs="Arial" w:eastAsia="Arial" w:hAnsi="Arial"/>
          <w:sz w:val="15"/>
          <w:szCs w:val="15"/>
          <w:color w:val="auto"/>
        </w:rPr>
      </w:pPr>
    </w:p>
    <w:p>
      <w:pPr>
        <w:ind w:left="220" w:hanging="220"/>
        <w:spacing w:after="0"/>
        <w:tabs>
          <w:tab w:leader="none" w:pos="2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US$0.05 (or less) per ADS</w:t>
      </w:r>
    </w:p>
    <w:p>
      <w:pPr>
        <w:spacing w:after="0" w:line="26" w:lineRule="exact"/>
        <w:rPr>
          <w:rFonts w:ascii="Arial" w:cs="Arial" w:eastAsia="Arial" w:hAnsi="Arial"/>
          <w:sz w:val="15"/>
          <w:szCs w:val="15"/>
          <w:color w:val="auto"/>
        </w:rPr>
      </w:pPr>
    </w:p>
    <w:p>
      <w:pPr>
        <w:ind w:left="240" w:right="240" w:hanging="240"/>
        <w:spacing w:after="0" w:line="287" w:lineRule="auto"/>
        <w:tabs>
          <w:tab w:leader="none" w:pos="226"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fee equivalent to the fee that would be payable if securities distributed to you had been shares and the shares had been deposited for issuance of ADSs</w:t>
      </w:r>
    </w:p>
    <w:p>
      <w:pPr>
        <w:spacing w:after="0" w:line="1" w:lineRule="exact"/>
        <w:rPr>
          <w:rFonts w:ascii="Arial" w:cs="Arial" w:eastAsia="Arial" w:hAnsi="Arial"/>
          <w:sz w:val="14"/>
          <w:szCs w:val="14"/>
          <w:color w:val="auto"/>
        </w:rPr>
      </w:pPr>
    </w:p>
    <w:p>
      <w:pPr>
        <w:ind w:left="220" w:hanging="220"/>
        <w:spacing w:after="0"/>
        <w:tabs>
          <w:tab w:leader="none" w:pos="2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$0.05 (or less) per ADS per calendar year</w:t>
      </w:r>
    </w:p>
    <w:p>
      <w:pPr>
        <w:spacing w:after="0" w:line="26" w:lineRule="exact"/>
        <w:rPr>
          <w:rFonts w:ascii="Arial" w:cs="Arial" w:eastAsia="Arial" w:hAnsi="Arial"/>
          <w:sz w:val="15"/>
          <w:szCs w:val="15"/>
          <w:color w:val="auto"/>
        </w:rPr>
      </w:pPr>
    </w:p>
    <w:p>
      <w:pPr>
        <w:ind w:left="220" w:hanging="220"/>
        <w:spacing w:after="0"/>
        <w:tabs>
          <w:tab w:leader="none" w:pos="2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Registration or transfer fees</w:t>
      </w:r>
    </w:p>
    <w:p>
      <w:pPr>
        <w:spacing w:after="0" w:line="213" w:lineRule="exact"/>
        <w:rPr>
          <w:rFonts w:ascii="Arial" w:cs="Arial" w:eastAsia="Arial" w:hAnsi="Arial"/>
          <w:sz w:val="15"/>
          <w:szCs w:val="15"/>
          <w:color w:val="auto"/>
        </w:rPr>
      </w:pPr>
    </w:p>
    <w:p>
      <w:pPr>
        <w:ind w:left="220" w:hanging="220"/>
        <w:spacing w:after="0"/>
        <w:tabs>
          <w:tab w:leader="none" w:pos="2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Expenses of the depositary</w:t>
      </w:r>
    </w:p>
    <w:p>
      <w:pPr>
        <w:spacing w:after="0" w:line="226" w:lineRule="exact"/>
        <w:rPr>
          <w:rFonts w:ascii="Arial" w:cs="Arial" w:eastAsia="Arial" w:hAnsi="Arial"/>
          <w:sz w:val="15"/>
          <w:szCs w:val="15"/>
          <w:color w:val="auto"/>
        </w:rPr>
      </w:pPr>
    </w:p>
    <w:p>
      <w:pPr>
        <w:ind w:left="240" w:hanging="240"/>
        <w:spacing w:after="0" w:line="265" w:lineRule="auto"/>
        <w:tabs>
          <w:tab w:leader="none" w:pos="226" w:val="left"/>
        </w:tabs>
        <w:numPr>
          <w:ilvl w:val="0"/>
          <w:numId w:val="42"/>
        </w:numPr>
        <w:rPr>
          <w:rFonts w:ascii="Arial" w:cs="Arial" w:eastAsia="Arial" w:hAnsi="Arial"/>
          <w:sz w:val="15"/>
          <w:szCs w:val="15"/>
          <w:color w:val="auto"/>
        </w:rPr>
      </w:pPr>
      <w:r>
        <w:rPr>
          <w:rFonts w:ascii="Arial" w:cs="Arial" w:eastAsia="Arial" w:hAnsi="Arial"/>
          <w:sz w:val="15"/>
          <w:szCs w:val="15"/>
          <w:color w:val="auto"/>
        </w:rPr>
        <w:t>Taxes and other governmental charges the depositary or the custodian has to pay on any ADSs or shares underlying ADSs, such as stock transfer taxes, stamp duty or withholding taxes</w:t>
      </w:r>
    </w:p>
    <w:p>
      <w:pPr>
        <w:spacing w:after="0" w:line="1" w:lineRule="exact"/>
        <w:rPr>
          <w:rFonts w:ascii="Arial" w:cs="Arial" w:eastAsia="Arial" w:hAnsi="Arial"/>
          <w:sz w:val="15"/>
          <w:szCs w:val="15"/>
          <w:color w:val="auto"/>
        </w:rPr>
      </w:pPr>
    </w:p>
    <w:p>
      <w:pPr>
        <w:ind w:left="240" w:right="500" w:hanging="240"/>
        <w:spacing w:after="0" w:line="283" w:lineRule="auto"/>
        <w:tabs>
          <w:tab w:leader="none" w:pos="226"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240" w:right="100" w:hanging="240"/>
        <w:spacing w:after="0" w:line="268" w:lineRule="auto"/>
        <w:tabs>
          <w:tab w:leader="none" w:pos="226" w:val="left"/>
        </w:tabs>
        <w:numPr>
          <w:ilvl w:val="0"/>
          <w:numId w:val="43"/>
        </w:numPr>
        <w:rPr>
          <w:rFonts w:ascii="Arial" w:cs="Arial" w:eastAsia="Arial" w:hAnsi="Arial"/>
          <w:sz w:val="15"/>
          <w:szCs w:val="15"/>
          <w:color w:val="auto"/>
        </w:rPr>
      </w:pPr>
      <w:r>
        <w:rPr>
          <w:rFonts w:ascii="Arial" w:cs="Arial" w:eastAsia="Arial" w:hAnsi="Arial"/>
          <w:sz w:val="15"/>
          <w:szCs w:val="15"/>
          <w:color w:val="auto"/>
        </w:rPr>
        <w:t>Issuance of ADSs, including issuances resulting from a distribution of shares or rights or other property</w:t>
      </w:r>
    </w:p>
    <w:p>
      <w:pPr>
        <w:ind w:left="240" w:hanging="240"/>
        <w:spacing w:after="0" w:line="268" w:lineRule="auto"/>
        <w:tabs>
          <w:tab w:leader="none" w:pos="226" w:val="left"/>
        </w:tabs>
        <w:numPr>
          <w:ilvl w:val="0"/>
          <w:numId w:val="43"/>
        </w:numPr>
        <w:rPr>
          <w:rFonts w:ascii="Arial" w:cs="Arial" w:eastAsia="Arial" w:hAnsi="Arial"/>
          <w:sz w:val="15"/>
          <w:szCs w:val="15"/>
          <w:color w:val="auto"/>
        </w:rPr>
      </w:pPr>
      <w:r>
        <w:rPr>
          <w:rFonts w:ascii="Arial" w:cs="Arial" w:eastAsia="Arial" w:hAnsi="Arial"/>
          <w:sz w:val="15"/>
          <w:szCs w:val="15"/>
          <w:color w:val="auto"/>
        </w:rPr>
        <w:t>Cancellation of ADSs for the purpose of withdrawal, including if the deposit agreement terminates</w:t>
      </w:r>
    </w:p>
    <w:p>
      <w:pPr>
        <w:ind w:left="220" w:hanging="220"/>
        <w:spacing w:after="0"/>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Any cash distribution to ADS holders</w:t>
      </w:r>
    </w:p>
    <w:p>
      <w:pPr>
        <w:spacing w:after="0" w:line="26" w:lineRule="exact"/>
        <w:rPr>
          <w:rFonts w:ascii="Arial" w:cs="Arial" w:eastAsia="Arial" w:hAnsi="Arial"/>
          <w:sz w:val="15"/>
          <w:szCs w:val="15"/>
          <w:color w:val="auto"/>
        </w:rPr>
      </w:pPr>
    </w:p>
    <w:p>
      <w:pPr>
        <w:ind w:left="240" w:hanging="240"/>
        <w:spacing w:after="0" w:line="268" w:lineRule="auto"/>
        <w:tabs>
          <w:tab w:leader="none" w:pos="226" w:val="left"/>
        </w:tabs>
        <w:numPr>
          <w:ilvl w:val="0"/>
          <w:numId w:val="43"/>
        </w:numPr>
        <w:rPr>
          <w:rFonts w:ascii="Arial" w:cs="Arial" w:eastAsia="Arial" w:hAnsi="Arial"/>
          <w:sz w:val="15"/>
          <w:szCs w:val="15"/>
          <w:color w:val="auto"/>
        </w:rPr>
      </w:pPr>
      <w:r>
        <w:rPr>
          <w:rFonts w:ascii="Arial" w:cs="Arial" w:eastAsia="Arial" w:hAnsi="Arial"/>
          <w:sz w:val="15"/>
          <w:szCs w:val="15"/>
          <w:color w:val="auto"/>
        </w:rPr>
        <w:t>Distribution of securities distributed to holders of deposited securities (including rights) that are distributed by the depositary to ADS holders</w:t>
      </w:r>
    </w:p>
    <w:p>
      <w:pPr>
        <w:ind w:left="220" w:hanging="220"/>
        <w:spacing w:after="0"/>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Depositary services</w:t>
      </w:r>
    </w:p>
    <w:p>
      <w:pPr>
        <w:spacing w:after="0" w:line="26" w:lineRule="exact"/>
        <w:rPr>
          <w:rFonts w:ascii="Arial" w:cs="Arial" w:eastAsia="Arial" w:hAnsi="Arial"/>
          <w:sz w:val="15"/>
          <w:szCs w:val="15"/>
          <w:color w:val="auto"/>
        </w:rPr>
      </w:pPr>
    </w:p>
    <w:p>
      <w:pPr>
        <w:ind w:left="240" w:right="320" w:hanging="240"/>
        <w:spacing w:after="0" w:line="268" w:lineRule="auto"/>
        <w:tabs>
          <w:tab w:leader="none" w:pos="226" w:val="left"/>
        </w:tabs>
        <w:numPr>
          <w:ilvl w:val="0"/>
          <w:numId w:val="43"/>
        </w:numPr>
        <w:rPr>
          <w:rFonts w:ascii="Arial" w:cs="Arial" w:eastAsia="Arial" w:hAnsi="Arial"/>
          <w:sz w:val="15"/>
          <w:szCs w:val="15"/>
          <w:color w:val="auto"/>
        </w:rPr>
      </w:pPr>
      <w:r>
        <w:rPr>
          <w:rFonts w:ascii="Arial" w:cs="Arial" w:eastAsia="Arial" w:hAnsi="Arial"/>
          <w:sz w:val="15"/>
          <w:szCs w:val="15"/>
          <w:color w:val="auto"/>
        </w:rPr>
        <w:t>Transfer and registration of shares on our share register to or from the name of the depositary or its agent when you deposit or withdraw shares</w:t>
      </w:r>
    </w:p>
    <w:p>
      <w:pPr>
        <w:ind w:left="220" w:hanging="220"/>
        <w:spacing w:after="0"/>
        <w:tabs>
          <w:tab w:leader="none" w:pos="2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Cable and facsimile transmissions (when expressly provided in the deposit agreement)</w:t>
      </w:r>
    </w:p>
    <w:p>
      <w:pPr>
        <w:spacing w:after="0" w:line="49" w:lineRule="exact"/>
        <w:rPr>
          <w:rFonts w:ascii="Arial" w:cs="Arial" w:eastAsia="Arial" w:hAnsi="Arial"/>
          <w:sz w:val="13"/>
          <w:szCs w:val="13"/>
          <w:color w:val="auto"/>
        </w:rPr>
      </w:pPr>
    </w:p>
    <w:p>
      <w:pPr>
        <w:ind w:left="220" w:hanging="220"/>
        <w:spacing w:after="0"/>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Converting foreign currency to U.S. dollars</w:t>
      </w:r>
    </w:p>
    <w:p>
      <w:pPr>
        <w:spacing w:after="0" w:line="26" w:lineRule="exact"/>
        <w:rPr>
          <w:rFonts w:ascii="Arial" w:cs="Arial" w:eastAsia="Arial" w:hAnsi="Arial"/>
          <w:sz w:val="15"/>
          <w:szCs w:val="15"/>
          <w:color w:val="auto"/>
        </w:rPr>
      </w:pPr>
    </w:p>
    <w:p>
      <w:pPr>
        <w:ind w:left="220" w:hanging="220"/>
        <w:spacing w:after="0"/>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As necessary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ind w:left="220" w:hanging="220"/>
        <w:spacing w:after="0"/>
        <w:tabs>
          <w:tab w:leader="none" w:pos="2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As necessary</w:t>
      </w:r>
    </w:p>
    <w:p>
      <w:pPr>
        <w:spacing w:after="0" w:line="396" w:lineRule="exact"/>
        <w:rPr>
          <w:sz w:val="20"/>
          <w:szCs w:val="20"/>
          <w:color w:val="auto"/>
        </w:rPr>
      </w:pPr>
    </w:p>
    <w:p>
      <w:pPr>
        <w:sectPr>
          <w:pgSz w:w="11900" w:h="16838" w:orient="portrait"/>
          <w:cols w:equalWidth="0" w:num="2">
            <w:col w:w="5460" w:space="320"/>
            <w:col w:w="5460"/>
          </w:cols>
          <w:pgMar w:left="320" w:top="123" w:right="339" w:bottom="1440" w:gutter="0" w:footer="0" w:header="0"/>
          <w:type w:val="continuous"/>
        </w:sectPr>
      </w:pPr>
    </w:p>
    <w:p>
      <w:pPr>
        <w:ind w:firstLine="547"/>
        <w:spacing w:after="0" w:line="267"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67" w:lineRule="exact"/>
        <w:rPr>
          <w:sz w:val="20"/>
          <w:szCs w:val="20"/>
          <w:color w:val="auto"/>
        </w:rPr>
      </w:pPr>
    </w:p>
    <w:p>
      <w:pPr>
        <w:jc w:val="both"/>
        <w:ind w:right="160" w:firstLine="547"/>
        <w:spacing w:after="0" w:line="251"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9" w:lineRule="exact"/>
        <w:rPr>
          <w:sz w:val="20"/>
          <w:szCs w:val="20"/>
          <w:color w:val="auto"/>
        </w:rPr>
      </w:pPr>
    </w:p>
    <w:p>
      <w:pPr>
        <w:ind w:firstLine="547"/>
        <w:spacing w:after="0" w:line="266"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06" w:name="page107"/>
    <w:bookmarkEnd w:id="106"/>
    <w:p>
      <w:pPr>
        <w:ind w:left="5320"/>
        <w:spacing w:after="0"/>
        <w:rPr>
          <w:sz w:val="20"/>
          <w:szCs w:val="20"/>
          <w:color w:val="auto"/>
        </w:rPr>
      </w:pPr>
      <w:r>
        <w:rPr>
          <w:rFonts w:ascii="Arial" w:cs="Arial" w:eastAsia="Arial" w:hAnsi="Arial"/>
          <w:sz w:val="17"/>
          <w:szCs w:val="17"/>
          <w:b w:val="1"/>
          <w:bCs w:val="1"/>
          <w:color w:val="auto"/>
        </w:rPr>
        <w:t>PART II</w:t>
      </w:r>
    </w:p>
    <w:p>
      <w:pPr>
        <w:spacing w:after="0" w:line="20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299" w:lineRule="exact"/>
        <w:rPr>
          <w:sz w:val="20"/>
          <w:szCs w:val="20"/>
          <w:color w:val="auto"/>
        </w:rPr>
      </w:pPr>
    </w:p>
    <w:p>
      <w:pPr>
        <w:ind w:right="2620"/>
        <w:spacing w:after="0" w:line="369" w:lineRule="auto"/>
        <w:rPr>
          <w:sz w:val="20"/>
          <w:szCs w:val="20"/>
          <w:color w:val="auto"/>
        </w:rPr>
      </w:pPr>
      <w:r>
        <w:rPr>
          <w:rFonts w:ascii="Arial" w:cs="Arial" w:eastAsia="Arial" w:hAnsi="Arial"/>
          <w:sz w:val="17"/>
          <w:szCs w:val="17"/>
          <w:b w:val="1"/>
          <w:bCs w:val="1"/>
          <w:color w:val="auto"/>
        </w:rPr>
        <w:t>ITEM 14. MATERIAL MODIFICATIONS TO THE RIGHTS OF SECURITY HOLDERS AND USE OF PROCEEDS 14.A. – 14.D.Material Modifications to the Rights of Security Holders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See “Item 10. Additional Information” for a description of the rights of shareholders, which remain unchanged.</w:t>
      </w:r>
    </w:p>
    <w:p>
      <w:pPr>
        <w:spacing w:after="0" w:line="29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14.E.</w:t>
      </w:r>
      <w:r>
        <w:rPr>
          <w:sz w:val="20"/>
          <w:szCs w:val="20"/>
          <w:color w:val="auto"/>
        </w:rPr>
        <w:tab/>
      </w:r>
      <w:r>
        <w:rPr>
          <w:rFonts w:ascii="Arial" w:cs="Arial" w:eastAsia="Arial" w:hAnsi="Arial"/>
          <w:sz w:val="13"/>
          <w:szCs w:val="13"/>
          <w:b w:val="1"/>
          <w:bCs w:val="1"/>
          <w:color w:val="auto"/>
        </w:rPr>
        <w:t>Use of Proceeds</w:t>
      </w:r>
    </w:p>
    <w:p>
      <w:pPr>
        <w:spacing w:after="0" w:line="107" w:lineRule="exact"/>
        <w:rPr>
          <w:sz w:val="20"/>
          <w:szCs w:val="20"/>
          <w:color w:val="auto"/>
        </w:rPr>
      </w:pPr>
    </w:p>
    <w:p>
      <w:pPr>
        <w:ind w:right="40" w:firstLine="547"/>
        <w:spacing w:after="0" w:line="251" w:lineRule="auto"/>
        <w:rPr>
          <w:sz w:val="20"/>
          <w:szCs w:val="20"/>
          <w:color w:val="auto"/>
        </w:rPr>
      </w:pPr>
      <w:r>
        <w:rPr>
          <w:rFonts w:ascii="Arial" w:cs="Arial" w:eastAsia="Arial" w:hAnsi="Arial"/>
          <w:sz w:val="17"/>
          <w:szCs w:val="17"/>
          <w:color w:val="auto"/>
        </w:rPr>
        <w:t>The following “Use of Proceeds” information relates to the registration statement on Form F-1, as amended (File No. 333-223190) (the “F-1 Registration Statement”) in relation to our initial public offering of 13,000,000 ADSs representing 520,000 Class A ordinary shares, at an initial offering price of US$11.50 per ADS. Our initial public offering closed in March 2018. Goldman Sachs (Asia) L.L.C., J.P. Morgan Securities LLC and Credit Suisse Securities (USA) LLC were the representatives of the underwriters.</w:t>
      </w:r>
    </w:p>
    <w:p>
      <w:pPr>
        <w:spacing w:after="0" w:line="179" w:lineRule="exact"/>
        <w:rPr>
          <w:sz w:val="20"/>
          <w:szCs w:val="20"/>
          <w:color w:val="auto"/>
        </w:rPr>
      </w:pPr>
    </w:p>
    <w:p>
      <w:pPr>
        <w:ind w:firstLine="547"/>
        <w:spacing w:after="0" w:line="286" w:lineRule="auto"/>
        <w:rPr>
          <w:sz w:val="20"/>
          <w:szCs w:val="20"/>
          <w:color w:val="auto"/>
        </w:rPr>
      </w:pPr>
      <w:r>
        <w:rPr>
          <w:rFonts w:ascii="Arial" w:cs="Arial" w:eastAsia="Arial" w:hAnsi="Arial"/>
          <w:sz w:val="15"/>
          <w:szCs w:val="15"/>
          <w:color w:val="auto"/>
        </w:rPr>
        <w:t>The F-1 Registration Statement was declared effective by the SEC on March 22, 2018. The total expenses incurred for our company’s account in connection with our initial public offering was approximately US$12.8 million, which included US$10.5 million in underwriting discounts and commissions for the initial public offering and approximately US$2.3 million in other costs and expenses for our initial public offering. We received net proceeds of approximately US$176.8 million from our initial public offering and the concurrent private placements in connection with the initial public offering to DIAMOND TOWER INVESTMENTS LIMITED and ELITE CONCEPT HOLDINGS LIMITED.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w:t>
      </w:r>
    </w:p>
    <w:p>
      <w:pPr>
        <w:spacing w:after="0" w:line="156" w:lineRule="exact"/>
        <w:rPr>
          <w:sz w:val="20"/>
          <w:szCs w:val="20"/>
          <w:color w:val="auto"/>
        </w:rPr>
      </w:pPr>
    </w:p>
    <w:p>
      <w:pPr>
        <w:jc w:val="both"/>
        <w:ind w:right="460" w:firstLine="547"/>
        <w:spacing w:after="0" w:line="332" w:lineRule="auto"/>
        <w:rPr>
          <w:sz w:val="20"/>
          <w:szCs w:val="20"/>
          <w:color w:val="auto"/>
        </w:rPr>
      </w:pPr>
      <w:r>
        <w:rPr>
          <w:rFonts w:ascii="Arial" w:cs="Arial" w:eastAsia="Arial" w:hAnsi="Arial"/>
          <w:sz w:val="15"/>
          <w:szCs w:val="15"/>
          <w:color w:val="auto"/>
        </w:rPr>
        <w:t>As of December 31, 2020, we had used a portion of the net proceeds received from our initial public offering and the concurrent private placement, which consisted of US$13.3 million for repurchase program and US$120.0 million for capital injection to Wuhan Zhibo, one of our wholly owned subsidiaries in China.</w:t>
      </w:r>
    </w:p>
    <w:p>
      <w:pPr>
        <w:spacing w:after="0" w:line="216"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7" w:lineRule="exact"/>
        <w:rPr>
          <w:sz w:val="20"/>
          <w:szCs w:val="20"/>
          <w:color w:val="auto"/>
        </w:rPr>
      </w:pPr>
    </w:p>
    <w:p>
      <w:pPr>
        <w:ind w:right="280" w:firstLine="547"/>
        <w:spacing w:after="0" w:line="254"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7" w:lineRule="exact"/>
        <w:rPr>
          <w:sz w:val="20"/>
          <w:szCs w:val="20"/>
          <w:color w:val="auto"/>
        </w:rPr>
      </w:pPr>
    </w:p>
    <w:p>
      <w:pPr>
        <w:ind w:right="260" w:firstLine="547"/>
        <w:spacing w:after="0" w:line="249" w:lineRule="auto"/>
        <w:rPr>
          <w:sz w:val="20"/>
          <w:szCs w:val="20"/>
          <w:color w:val="auto"/>
        </w:rPr>
      </w:pPr>
      <w:r>
        <w:rPr>
          <w:rFonts w:ascii="Arial" w:cs="Arial" w:eastAsia="Arial" w:hAnsi="Arial"/>
          <w:sz w:val="17"/>
          <w:szCs w:val="17"/>
          <w:color w:val="auto"/>
        </w:rPr>
        <w:t>Based upon that evaluation, our management has concluded that, as of December 31, 2020,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07" w:lineRule="exact"/>
        <w:rPr>
          <w:sz w:val="20"/>
          <w:szCs w:val="20"/>
          <w:color w:val="auto"/>
        </w:rPr>
      </w:pPr>
    </w:p>
    <w:p>
      <w:pPr>
        <w:ind w:right="60" w:firstLine="547"/>
        <w:spacing w:after="0" w:line="24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As required by Rule 13a-15(c) of the Exchange Act, our management conducted an evaluation of our company's internal control over financial reporting as of December 31, 2020 based on the framework in Internal Control—Integrated Framework (2013) issued by the Committee of Sponsoring Organizations of the Treadway Commission. Based on this evaluation, our management concluded that our internal control over financial reporting was effective as of December 31, 2020.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7" w:name="page108"/>
    <w:bookmarkEnd w:id="107"/>
    <w:p>
      <w:pPr>
        <w:ind w:left="20" w:right="400" w:firstLine="547"/>
        <w:spacing w:after="0" w:line="25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Attestation Report of the Registered Public Accounting Firm</w:t>
      </w:r>
    </w:p>
    <w:p>
      <w:pPr>
        <w:spacing w:after="0" w:line="107" w:lineRule="exact"/>
        <w:rPr>
          <w:sz w:val="20"/>
          <w:szCs w:val="20"/>
          <w:color w:val="auto"/>
        </w:rPr>
      </w:pPr>
    </w:p>
    <w:p>
      <w:pPr>
        <w:ind w:left="20" w:right="260" w:firstLine="547"/>
        <w:spacing w:after="0" w:line="295" w:lineRule="auto"/>
        <w:rPr>
          <w:sz w:val="20"/>
          <w:szCs w:val="20"/>
          <w:color w:val="auto"/>
        </w:rPr>
      </w:pPr>
      <w:r>
        <w:rPr>
          <w:rFonts w:ascii="Arial" w:cs="Arial" w:eastAsia="Arial" w:hAnsi="Arial"/>
          <w:sz w:val="15"/>
          <w:szCs w:val="15"/>
          <w:color w:val="auto"/>
        </w:rPr>
        <w:t>We qualified as an “emerging growth company” pursuant to the JOBS Act as of December 31, 2020.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This annual report on Form 20-F does not include an attestation report of our independent registered public accounting firm.</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7" w:lineRule="exact"/>
        <w:rPr>
          <w:sz w:val="20"/>
          <w:szCs w:val="20"/>
          <w:color w:val="auto"/>
        </w:rPr>
      </w:pPr>
    </w:p>
    <w:p>
      <w:pPr>
        <w:jc w:val="both"/>
        <w:ind w:left="20" w:right="160" w:firstLine="547"/>
        <w:spacing w:after="0" w:line="332" w:lineRule="auto"/>
        <w:rPr>
          <w:sz w:val="20"/>
          <w:szCs w:val="20"/>
          <w:color w:val="auto"/>
        </w:rPr>
      </w:pPr>
      <w:r>
        <w:rPr>
          <w:rFonts w:ascii="Arial" w:cs="Arial" w:eastAsia="Arial" w:hAnsi="Arial"/>
          <w:sz w:val="15"/>
          <w:szCs w:val="15"/>
          <w:color w:val="auto"/>
        </w:rPr>
        <w:t>There were no changes in our internal control over financial reporting (as defined in Rules 13a-15(f) and 15d-15(f) under the Exchange Act) during the period covered by this annual report on Form 20-F that have materially affected, or that are reasonably likely to materially affect, our internal control over financial reporting.</w:t>
      </w:r>
    </w:p>
    <w:p>
      <w:pPr>
        <w:spacing w:after="0" w:line="216"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7"/>
          <w:szCs w:val="17"/>
          <w:b w:val="1"/>
          <w:bCs w:val="1"/>
          <w:color w:val="auto"/>
        </w:rPr>
        <w:t>ITEM 16.A.</w:t>
        <w:tab/>
        <w:t>AUDIT COMMITTEE FINANCIAL EXPERT</w:t>
      </w:r>
    </w:p>
    <w:p>
      <w:pPr>
        <w:spacing w:after="0" w:line="107" w:lineRule="exact"/>
        <w:rPr>
          <w:sz w:val="20"/>
          <w:szCs w:val="20"/>
          <w:color w:val="auto"/>
        </w:rPr>
      </w:pPr>
    </w:p>
    <w:p>
      <w:pPr>
        <w:ind w:left="20" w:right="120" w:firstLine="547"/>
        <w:spacing w:after="0" w:line="251" w:lineRule="auto"/>
        <w:rPr>
          <w:sz w:val="20"/>
          <w:szCs w:val="20"/>
          <w:color w:val="auto"/>
        </w:rPr>
      </w:pPr>
      <w:r>
        <w:rPr>
          <w:rFonts w:ascii="Arial" w:cs="Arial" w:eastAsia="Arial" w:hAnsi="Arial"/>
          <w:sz w:val="17"/>
          <w:szCs w:val="17"/>
          <w:color w:val="auto"/>
        </w:rPr>
        <w:t>Our board of directors has determined that Mr. Yifan Li, an independent director and the chairperson of our audit committee, qualifies as an “audit committee financial expert” within the meaning of the SEC rules and possesses financial sophistication within the meaning of Listing Rules of the New York Stock Exchange. Mr. Yifan Li satisfies the “independence” requirements of Rule 10A-3 under the Securities Exchange Act of 1934, as amended, and Section 303A of the Corporate Governance Rules of the NYSE.</w:t>
      </w:r>
    </w:p>
    <w:p>
      <w:pPr>
        <w:spacing w:after="0" w:line="274"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7"/>
          <w:szCs w:val="17"/>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107" w:lineRule="exact"/>
        <w:rPr>
          <w:sz w:val="20"/>
          <w:szCs w:val="20"/>
          <w:color w:val="auto"/>
        </w:rPr>
      </w:pPr>
    </w:p>
    <w:p>
      <w:pPr>
        <w:ind w:left="20" w:firstLine="547"/>
        <w:spacing w:after="0" w:line="248" w:lineRule="auto"/>
        <w:rPr>
          <w:sz w:val="20"/>
          <w:szCs w:val="20"/>
          <w:color w:val="auto"/>
        </w:rPr>
      </w:pPr>
      <w:r>
        <w:rPr>
          <w:rFonts w:ascii="Arial" w:cs="Arial" w:eastAsia="Arial" w:hAnsi="Arial"/>
          <w:sz w:val="17"/>
          <w:szCs w:val="17"/>
          <w:color w:val="auto"/>
        </w:rPr>
        <w:t>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of our registration statement on Form F-1 (file No. 333-223190) initially filed with the SEC on February 23, 2018 and posted a copy of our code of business conduct and ethics on our website at http://www.sunlands.com/investorroom. We hereby undertake to provide to any person without charge, a copy of our code of business conduct and ethics within ten working days after we receive such person’s written request.</w:t>
      </w:r>
    </w:p>
    <w:p>
      <w:pPr>
        <w:spacing w:after="0" w:line="27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7"/>
          <w:szCs w:val="17"/>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Auditor Fees</w:t>
      </w:r>
    </w:p>
    <w:p>
      <w:pPr>
        <w:spacing w:after="0" w:line="107" w:lineRule="exact"/>
        <w:rPr>
          <w:sz w:val="20"/>
          <w:szCs w:val="20"/>
          <w:color w:val="auto"/>
        </w:rPr>
      </w:pPr>
    </w:p>
    <w:p>
      <w:pPr>
        <w:ind w:left="20" w:right="340" w:firstLine="547"/>
        <w:spacing w:after="0" w:line="264" w:lineRule="auto"/>
        <w:rPr>
          <w:sz w:val="20"/>
          <w:szCs w:val="20"/>
          <w:color w:val="auto"/>
        </w:rPr>
      </w:pPr>
      <w:r>
        <w:rPr>
          <w:rFonts w:ascii="Arial" w:cs="Arial" w:eastAsia="Arial" w:hAnsi="Arial"/>
          <w:sz w:val="17"/>
          <w:szCs w:val="17"/>
          <w:color w:val="auto"/>
        </w:rPr>
        <w:t>The following table sets forth the aggregate fees by categories specified below in connection with certain professional services rendered by Deloitte Touche Tohmatsu Certified Public Accountants LLP, our independent registered public accounting firm, for the periods indicated.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7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Services</w:t>
            </w:r>
          </w:p>
        </w:tc>
        <w:tc>
          <w:tcPr>
            <w:tcW w:w="2900" w:type="dxa"/>
            <w:vAlign w:val="bottom"/>
            <w:tcBorders>
              <w:bottom w:val="single" w:sz="8" w:color="auto"/>
            </w:tcBorders>
            <w:gridSpan w:val="4"/>
          </w:tcPr>
          <w:p>
            <w:pPr>
              <w:jc w:val="center"/>
              <w:ind w:left="414"/>
              <w:spacing w:after="0"/>
              <w:rPr>
                <w:sz w:val="20"/>
                <w:szCs w:val="20"/>
                <w:color w:val="auto"/>
              </w:rPr>
            </w:pPr>
            <w:r>
              <w:rPr>
                <w:rFonts w:ascii="Arial" w:cs="Arial" w:eastAsia="Arial" w:hAnsi="Arial"/>
                <w:sz w:val="13"/>
                <w:szCs w:val="13"/>
                <w:b w:val="1"/>
                <w:bCs w:val="1"/>
                <w:color w:val="auto"/>
                <w:w w:val="93"/>
              </w:rPr>
              <w:t>For the Year Ended December 31,</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40" w:type="dxa"/>
            <w:vAlign w:val="bottom"/>
            <w:gridSpan w:val="4"/>
            <w:vMerge w:val="continue"/>
          </w:tcPr>
          <w:p>
            <w:pPr>
              <w:spacing w:after="0"/>
              <w:rPr>
                <w:sz w:val="12"/>
                <w:szCs w:val="12"/>
                <w:color w:val="auto"/>
              </w:rPr>
            </w:pPr>
          </w:p>
        </w:tc>
        <w:tc>
          <w:tcPr>
            <w:tcW w:w="1040" w:type="dxa"/>
            <w:vAlign w:val="bottom"/>
          </w:tcPr>
          <w:p>
            <w:pPr>
              <w:jc w:val="right"/>
              <w:ind w:right="74"/>
              <w:spacing w:after="0" w:line="142" w:lineRule="exact"/>
              <w:rPr>
                <w:sz w:val="20"/>
                <w:szCs w:val="20"/>
                <w:color w:val="auto"/>
              </w:rPr>
            </w:pPr>
            <w:r>
              <w:rPr>
                <w:rFonts w:ascii="Arial" w:cs="Arial" w:eastAsia="Arial" w:hAnsi="Arial"/>
                <w:sz w:val="13"/>
                <w:szCs w:val="13"/>
                <w:b w:val="1"/>
                <w:bCs w:val="1"/>
                <w:color w:val="auto"/>
              </w:rPr>
              <w:t>2019</w:t>
            </w:r>
          </w:p>
        </w:tc>
        <w:tc>
          <w:tcPr>
            <w:tcW w:w="1860" w:type="dxa"/>
            <w:vAlign w:val="bottom"/>
            <w:gridSpan w:val="3"/>
          </w:tcPr>
          <w:p>
            <w:pPr>
              <w:jc w:val="right"/>
              <w:ind w:right="94"/>
              <w:spacing w:after="0" w:line="142" w:lineRule="exact"/>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center"/>
              <w:ind w:left="434"/>
              <w:spacing w:after="0" w:line="142" w:lineRule="exact"/>
              <w:rPr>
                <w:sz w:val="20"/>
                <w:szCs w:val="20"/>
                <w:color w:val="auto"/>
              </w:rPr>
            </w:pPr>
            <w:r>
              <w:rPr>
                <w:rFonts w:ascii="Arial" w:cs="Arial" w:eastAsia="Arial" w:hAnsi="Arial"/>
                <w:sz w:val="13"/>
                <w:szCs w:val="13"/>
                <w:b w:val="1"/>
                <w:bCs w:val="1"/>
                <w:color w:val="auto"/>
              </w:rPr>
              <w:t>RMB</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left="414"/>
              <w:spacing w:after="0" w:line="142" w:lineRule="exact"/>
              <w:rPr>
                <w:sz w:val="20"/>
                <w:szCs w:val="20"/>
                <w:color w:val="auto"/>
              </w:rPr>
            </w:pPr>
            <w:r>
              <w:rPr>
                <w:rFonts w:ascii="Arial" w:cs="Arial" w:eastAsia="Arial" w:hAnsi="Arial"/>
                <w:sz w:val="13"/>
                <w:szCs w:val="13"/>
                <w:b w:val="1"/>
                <w:bCs w:val="1"/>
                <w:color w:val="auto"/>
              </w:rPr>
              <w:t>RMB</w:t>
            </w: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60" w:type="dxa"/>
            <w:vAlign w:val="bottom"/>
            <w:gridSpan w:val="3"/>
          </w:tcPr>
          <w:p>
            <w:pPr>
              <w:jc w:val="center"/>
              <w:ind w:right="494"/>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Audit Fees</w:t>
            </w:r>
            <w:r>
              <w:rPr>
                <w:rFonts w:ascii="Arial" w:cs="Arial" w:eastAsia="Arial" w:hAnsi="Arial"/>
                <w:sz w:val="14"/>
                <w:szCs w:val="14"/>
                <w:color w:val="auto"/>
              </w:rPr>
              <w:t>(1)</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7,714</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7"/>
                <w:szCs w:val="17"/>
                <w:color w:val="auto"/>
              </w:rPr>
              <w:t>Tax Fees</w:t>
            </w:r>
            <w:r>
              <w:rPr>
                <w:rFonts w:ascii="Arial" w:cs="Arial" w:eastAsia="Arial" w:hAnsi="Arial"/>
                <w:sz w:val="14"/>
                <w:szCs w:val="14"/>
                <w:color w:val="auto"/>
              </w:rPr>
              <w:t>(2)</w:t>
            </w:r>
          </w:p>
        </w:tc>
        <w:tc>
          <w:tcPr>
            <w:tcW w:w="1040" w:type="dxa"/>
            <w:vAlign w:val="bottom"/>
          </w:tcPr>
          <w:p>
            <w:pPr>
              <w:spacing w:after="0"/>
              <w:rPr>
                <w:sz w:val="18"/>
                <w:szCs w:val="18"/>
                <w:color w:val="auto"/>
              </w:rPr>
            </w:pPr>
          </w:p>
        </w:tc>
        <w:tc>
          <w:tcPr>
            <w:tcW w:w="1860" w:type="dxa"/>
            <w:vAlign w:val="bottom"/>
            <w:gridSpan w:val="3"/>
          </w:tcPr>
          <w:p>
            <w:pPr>
              <w:jc w:val="right"/>
              <w:ind w:right="129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20" w:type="dxa"/>
            <w:vAlign w:val="bottom"/>
            <w:tcBorders>
              <w:top w:val="single" w:sz="8" w:color="CFF0FC"/>
              <w:bottom w:val="single" w:sz="8" w:color="CFF0FC"/>
            </w:tcBorders>
            <w:gridSpan w:val="3"/>
            <w:shd w:val="clear" w:color="auto" w:fill="CFF0FC"/>
          </w:tcPr>
          <w:p>
            <w:pPr>
              <w:ind w:left="220"/>
              <w:spacing w:after="0"/>
              <w:rPr>
                <w:sz w:val="20"/>
                <w:szCs w:val="20"/>
                <w:color w:val="auto"/>
              </w:rPr>
            </w:pPr>
            <w:r>
              <w:rPr>
                <w:rFonts w:ascii="Arial" w:cs="Arial" w:eastAsia="Arial" w:hAnsi="Arial"/>
                <w:sz w:val="17"/>
                <w:szCs w:val="17"/>
                <w:b w:val="1"/>
                <w:bCs w:val="1"/>
                <w:color w:val="auto"/>
              </w:rPr>
              <w:t>Total</w:t>
            </w: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7,714</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7,360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Note:</w:t>
      </w:r>
    </w:p>
    <w:p>
      <w:pPr>
        <w:spacing w:after="0" w:line="87" w:lineRule="exact"/>
        <w:rPr>
          <w:sz w:val="20"/>
          <w:szCs w:val="20"/>
          <w:color w:val="auto"/>
        </w:rPr>
      </w:pPr>
    </w:p>
    <w:p>
      <w:pPr>
        <w:ind w:left="560" w:right="260" w:hanging="540"/>
        <w:spacing w:after="0" w:line="228" w:lineRule="auto"/>
        <w:tabs>
          <w:tab w:leader="none" w:pos="56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Audit Fees</w:t>
      </w:r>
      <w:r>
        <w:rPr>
          <w:rFonts w:ascii="Arial" w:cs="Arial" w:eastAsia="Arial" w:hAnsi="Arial"/>
          <w:sz w:val="13"/>
          <w:szCs w:val="13"/>
          <w:color w:val="auto"/>
        </w:rPr>
        <w:t>. Audit fees mean the aggregate fees billed in each of the fiscal periods listed for professional services rendered by our principal auditors for the audit of our annual consolidated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and assistance with the review of documents filed with the SEC.</w:t>
      </w:r>
    </w:p>
    <w:p>
      <w:pPr>
        <w:ind w:left="560" w:right="600" w:hanging="540"/>
        <w:spacing w:after="0" w:line="237" w:lineRule="auto"/>
        <w:tabs>
          <w:tab w:leader="none" w:pos="56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Tax Fees</w:t>
      </w:r>
      <w:r>
        <w:rPr>
          <w:rFonts w:ascii="Arial" w:cs="Arial" w:eastAsia="Arial" w:hAnsi="Arial"/>
          <w:sz w:val="13"/>
          <w:szCs w:val="13"/>
          <w:color w:val="auto"/>
        </w:rPr>
        <w:t>. Tax fees represent the aggregate fees for professional services rendered by our independent registered public accounting firm for tax planning, which was pre-approved by our audit</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6851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227" w:right="339" w:bottom="1440" w:gutter="0" w:footer="0" w:header="0"/>
        </w:sectPr>
      </w:pPr>
    </w:p>
    <w:bookmarkStart w:id="108" w:name="page109"/>
    <w:bookmarkEnd w:id="108"/>
    <w:p>
      <w:pPr>
        <w:ind w:left="20" w:right="180" w:firstLine="547"/>
        <w:spacing w:after="0" w:line="264" w:lineRule="auto"/>
        <w:rPr>
          <w:sz w:val="20"/>
          <w:szCs w:val="20"/>
          <w:color w:val="auto"/>
        </w:rPr>
      </w:pPr>
      <w:r>
        <w:rPr>
          <w:rFonts w:ascii="Arial" w:cs="Arial" w:eastAsia="Arial" w:hAnsi="Arial"/>
          <w:sz w:val="17"/>
          <w:szCs w:val="17"/>
          <w:color w:val="auto"/>
        </w:rPr>
        <w:t>The policy of our audit committee is to pre-approve all audit and non-audit services provided by Deloitte Touche Tohmatsu Certified Public Accountants LLP, our independent registered public accounting firm, including audit services and tax services as described above.</w:t>
      </w:r>
    </w:p>
    <w:p>
      <w:pPr>
        <w:spacing w:after="0" w:line="264"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7"/>
          <w:szCs w:val="17"/>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7"/>
          <w:szCs w:val="17"/>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about our purchases of outstanding ADSs from August 29, 2018 to March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Total Number of</w:t>
            </w:r>
          </w:p>
        </w:tc>
        <w:tc>
          <w:tcPr>
            <w:tcW w:w="1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Approximate Dollar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0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89"/>
              </w:rPr>
              <w:t>ADSs Purchased</w:t>
            </w:r>
          </w:p>
        </w:tc>
        <w:tc>
          <w:tcPr>
            <w:tcW w:w="194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1"/>
              </w:rPr>
              <w:t>Value of ADSs that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Total Number of</w:t>
            </w:r>
          </w:p>
        </w:tc>
        <w:tc>
          <w:tcPr>
            <w:tcW w:w="21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Average Price Paid</w:t>
            </w:r>
          </w:p>
        </w:tc>
        <w:tc>
          <w:tcPr>
            <w:tcW w:w="210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2"/>
              </w:rPr>
              <w:t>as Part of Publicly</w:t>
            </w:r>
          </w:p>
        </w:tc>
        <w:tc>
          <w:tcPr>
            <w:tcW w:w="194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5"/>
              </w:rPr>
              <w:t>May Yet Be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80" w:type="dxa"/>
            <w:vAlign w:val="bottom"/>
            <w:gridSpan w:val="2"/>
            <w:vMerge w:val="restart"/>
          </w:tcPr>
          <w:p>
            <w:pPr>
              <w:ind w:left="800"/>
              <w:spacing w:after="0"/>
              <w:rPr>
                <w:sz w:val="20"/>
                <w:szCs w:val="20"/>
                <w:color w:val="auto"/>
              </w:rPr>
            </w:pPr>
            <w:r>
              <w:rPr>
                <w:rFonts w:ascii="Arial" w:cs="Arial" w:eastAsia="Arial" w:hAnsi="Arial"/>
                <w:sz w:val="13"/>
                <w:szCs w:val="13"/>
                <w:b w:val="1"/>
                <w:bCs w:val="1"/>
                <w:color w:val="auto"/>
              </w:rPr>
              <w:t>Period</w:t>
            </w:r>
          </w:p>
        </w:tc>
        <w:tc>
          <w:tcPr>
            <w:tcW w:w="2120" w:type="dxa"/>
            <w:vAlign w:val="bottom"/>
            <w:gridSpan w:val="2"/>
            <w:vMerge w:val="continue"/>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210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89"/>
              </w:rPr>
              <w:t>Announced</w:t>
            </w:r>
          </w:p>
        </w:tc>
        <w:tc>
          <w:tcPr>
            <w:tcW w:w="194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0"/>
              </w:rPr>
              <w:t>Purchased Under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2120" w:type="dxa"/>
            <w:vAlign w:val="bottom"/>
            <w:gridSpan w:val="2"/>
          </w:tcPr>
          <w:p>
            <w:pPr>
              <w:ind w:left="440"/>
              <w:spacing w:after="0"/>
              <w:rPr>
                <w:sz w:val="20"/>
                <w:szCs w:val="20"/>
                <w:color w:val="auto"/>
              </w:rPr>
            </w:pPr>
            <w:r>
              <w:rPr>
                <w:rFonts w:ascii="Arial" w:cs="Arial" w:eastAsia="Arial" w:hAnsi="Arial"/>
                <w:sz w:val="13"/>
                <w:szCs w:val="13"/>
                <w:b w:val="1"/>
                <w:bCs w:val="1"/>
                <w:color w:val="auto"/>
              </w:rPr>
              <w:t>ADSs Purchased</w:t>
            </w:r>
          </w:p>
        </w:tc>
        <w:tc>
          <w:tcPr>
            <w:tcW w:w="2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per AD</w:t>
            </w:r>
            <w:r>
              <w:rPr>
                <w:rFonts w:ascii="Arial" w:cs="Arial" w:eastAsia="Arial" w:hAnsi="Arial"/>
                <w:sz w:val="11"/>
                <w:szCs w:val="11"/>
                <w:b w:val="1"/>
                <w:bCs w:val="1"/>
                <w:color w:val="auto"/>
                <w:w w:val="96"/>
              </w:rPr>
              <w:t>S (1)</w:t>
            </w:r>
            <w:r>
              <w:rPr>
                <w:rFonts w:ascii="Arial" w:cs="Arial" w:eastAsia="Arial" w:hAnsi="Arial"/>
                <w:sz w:val="13"/>
                <w:szCs w:val="13"/>
                <w:b w:val="1"/>
                <w:bCs w:val="1"/>
                <w:color w:val="auto"/>
                <w:w w:val="96"/>
              </w:rPr>
              <w:t xml:space="preserve"> (US$)</w:t>
            </w:r>
          </w:p>
        </w:tc>
        <w:tc>
          <w:tcPr>
            <w:tcW w:w="2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Plans or Programs</w:t>
            </w:r>
          </w:p>
        </w:tc>
        <w:tc>
          <w:tcPr>
            <w:tcW w:w="1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the Progra</w:t>
            </w:r>
            <w:r>
              <w:rPr>
                <w:rFonts w:ascii="Arial" w:cs="Arial" w:eastAsia="Arial" w:hAnsi="Arial"/>
                <w:sz w:val="11"/>
                <w:szCs w:val="11"/>
                <w:b w:val="1"/>
                <w:bCs w:val="1"/>
                <w:color w:val="auto"/>
                <w:w w:val="93"/>
              </w:rPr>
              <w:t>m(2)</w:t>
            </w:r>
            <w:r>
              <w:rPr>
                <w:rFonts w:ascii="Arial" w:cs="Arial" w:eastAsia="Arial" w:hAnsi="Arial"/>
                <w:sz w:val="13"/>
                <w:szCs w:val="13"/>
                <w:b w:val="1"/>
                <w:bCs w:val="1"/>
                <w:color w:val="auto"/>
                <w:w w:val="93"/>
              </w:rPr>
              <w:t xml:space="preserve"> (US$)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7"/>
                <w:szCs w:val="17"/>
                <w:color w:val="auto"/>
                <w:w w:val="88"/>
              </w:rPr>
              <w:t>August 29, 2018 through August 31, 2018</w:t>
            </w:r>
          </w:p>
        </w:tc>
        <w:tc>
          <w:tcPr>
            <w:tcW w:w="160" w:type="dxa"/>
            <w:vAlign w:val="bottom"/>
            <w:tcBorders>
              <w:top w:val="single" w:sz="8" w:color="CFF0FC"/>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CFF0FC"/>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FF0FC"/>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FF0FC"/>
            </w:tcBorders>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50,000,000</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September 2018</w:t>
            </w:r>
          </w:p>
        </w:tc>
        <w:tc>
          <w:tcPr>
            <w:tcW w:w="1820" w:type="dxa"/>
            <w:vAlign w:val="bottom"/>
          </w:tcPr>
          <w:p>
            <w:pPr>
              <w:jc w:val="right"/>
              <w:spacing w:after="0"/>
              <w:rPr>
                <w:sz w:val="20"/>
                <w:szCs w:val="20"/>
                <w:color w:val="auto"/>
              </w:rPr>
            </w:pPr>
            <w:r>
              <w:rPr>
                <w:rFonts w:ascii="Arial" w:cs="Arial" w:eastAsia="Arial" w:hAnsi="Arial"/>
                <w:sz w:val="17"/>
                <w:szCs w:val="17"/>
                <w:color w:val="auto"/>
              </w:rPr>
              <w:t>184,005</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6.1175</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184,005</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48,874,341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October 2018</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329,924</w:t>
            </w: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4.9128</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513,929</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47,253,504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November 2018</w:t>
            </w:r>
          </w:p>
        </w:tc>
        <w:tc>
          <w:tcPr>
            <w:tcW w:w="1820" w:type="dxa"/>
            <w:vAlign w:val="bottom"/>
          </w:tcPr>
          <w:p>
            <w:pPr>
              <w:jc w:val="right"/>
              <w:spacing w:after="0"/>
              <w:rPr>
                <w:sz w:val="20"/>
                <w:szCs w:val="20"/>
                <w:color w:val="auto"/>
              </w:rPr>
            </w:pPr>
            <w:r>
              <w:rPr>
                <w:rFonts w:ascii="Arial" w:cs="Arial" w:eastAsia="Arial" w:hAnsi="Arial"/>
                <w:sz w:val="17"/>
                <w:szCs w:val="17"/>
                <w:color w:val="auto"/>
              </w:rPr>
              <w:t>352,529</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4.208</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866,458</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45,770,073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December 2018</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260,597</w:t>
            </w: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3.1321</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1,127,055</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44,953,858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January 2019</w:t>
            </w:r>
          </w:p>
        </w:tc>
        <w:tc>
          <w:tcPr>
            <w:tcW w:w="1820" w:type="dxa"/>
            <w:vAlign w:val="bottom"/>
          </w:tcPr>
          <w:p>
            <w:pPr>
              <w:jc w:val="right"/>
              <w:spacing w:after="0"/>
              <w:rPr>
                <w:sz w:val="20"/>
                <w:szCs w:val="20"/>
                <w:color w:val="auto"/>
              </w:rPr>
            </w:pPr>
            <w:r>
              <w:rPr>
                <w:rFonts w:ascii="Arial" w:cs="Arial" w:eastAsia="Arial" w:hAnsi="Arial"/>
                <w:sz w:val="17"/>
                <w:szCs w:val="17"/>
                <w:color w:val="auto"/>
              </w:rPr>
              <w:t>219,450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4.1157</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1,346,505</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44,050,677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February 2019</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101,351</w:t>
            </w: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5.0661</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1,447,856</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43,537,226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March 2019</w:t>
            </w:r>
          </w:p>
        </w:tc>
        <w:tc>
          <w:tcPr>
            <w:tcW w:w="1820" w:type="dxa"/>
            <w:vAlign w:val="bottom"/>
          </w:tcPr>
          <w:p>
            <w:pPr>
              <w:jc w:val="right"/>
              <w:spacing w:after="0"/>
              <w:rPr>
                <w:sz w:val="20"/>
                <w:szCs w:val="20"/>
                <w:color w:val="auto"/>
              </w:rPr>
            </w:pPr>
            <w:r>
              <w:rPr>
                <w:rFonts w:ascii="Arial" w:cs="Arial" w:eastAsia="Arial" w:hAnsi="Arial"/>
                <w:sz w:val="17"/>
                <w:szCs w:val="17"/>
                <w:color w:val="auto"/>
              </w:rPr>
              <w:t>295,221</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4.1691</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1,743,077</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42,306,415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April 2019</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155,439</w:t>
            </w: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1,898,516</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41,791,909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May 2019</w:t>
            </w:r>
          </w:p>
        </w:tc>
        <w:tc>
          <w:tcPr>
            <w:tcW w:w="1820" w:type="dxa"/>
            <w:vAlign w:val="bottom"/>
          </w:tcPr>
          <w:p>
            <w:pPr>
              <w:jc w:val="right"/>
              <w:spacing w:after="0"/>
              <w:rPr>
                <w:sz w:val="20"/>
                <w:szCs w:val="20"/>
                <w:color w:val="auto"/>
              </w:rPr>
            </w:pPr>
            <w:r>
              <w:rPr>
                <w:rFonts w:ascii="Arial" w:cs="Arial" w:eastAsia="Arial" w:hAnsi="Arial"/>
                <w:sz w:val="17"/>
                <w:szCs w:val="17"/>
                <w:color w:val="auto"/>
              </w:rPr>
              <w:t>178,125</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2.9223</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2,076,641</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41,271,377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June 2019</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80,908</w:t>
            </w: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2.5578</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2,157,549</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41,078,348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July 2019</w:t>
            </w:r>
          </w:p>
        </w:tc>
        <w:tc>
          <w:tcPr>
            <w:tcW w:w="1820" w:type="dxa"/>
            <w:vAlign w:val="bottom"/>
          </w:tcPr>
          <w:p>
            <w:pPr>
              <w:jc w:val="right"/>
              <w:spacing w:after="0"/>
              <w:rPr>
                <w:sz w:val="20"/>
                <w:szCs w:val="20"/>
                <w:color w:val="auto"/>
              </w:rPr>
            </w:pPr>
            <w:r>
              <w:rPr>
                <w:rFonts w:ascii="Arial" w:cs="Arial" w:eastAsia="Arial" w:hAnsi="Arial"/>
                <w:sz w:val="17"/>
                <w:szCs w:val="17"/>
                <w:color w:val="auto"/>
              </w:rPr>
              <w:t>39,337</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2.2411</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2,196,886</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40,990,188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August 2019</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68,486</w:t>
            </w: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2.3359</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2,265,372</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40,830,209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September 2019</w:t>
            </w:r>
          </w:p>
        </w:tc>
        <w:tc>
          <w:tcPr>
            <w:tcW w:w="1820" w:type="dxa"/>
            <w:vAlign w:val="bottom"/>
          </w:tcPr>
          <w:p>
            <w:pPr>
              <w:jc w:val="right"/>
              <w:spacing w:after="0"/>
              <w:rPr>
                <w:sz w:val="20"/>
                <w:szCs w:val="20"/>
                <w:color w:val="auto"/>
              </w:rPr>
            </w:pPr>
            <w:r>
              <w:rPr>
                <w:rFonts w:ascii="Arial" w:cs="Arial" w:eastAsia="Arial" w:hAnsi="Arial"/>
                <w:sz w:val="17"/>
                <w:szCs w:val="17"/>
                <w:color w:val="auto"/>
              </w:rPr>
              <w:t>76,277</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2.5056</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2,341,649</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40,639,088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October 2019</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17,765</w:t>
            </w: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2.7504</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2,359,414</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40,590,228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November 2019</w:t>
            </w:r>
          </w:p>
        </w:tc>
        <w:tc>
          <w:tcPr>
            <w:tcW w:w="1820" w:type="dxa"/>
            <w:vAlign w:val="bottom"/>
          </w:tcPr>
          <w:p>
            <w:pPr>
              <w:jc w:val="right"/>
              <w:spacing w:after="0"/>
              <w:rPr>
                <w:sz w:val="20"/>
                <w:szCs w:val="20"/>
                <w:color w:val="auto"/>
              </w:rPr>
            </w:pPr>
            <w:r>
              <w:rPr>
                <w:rFonts w:ascii="Arial" w:cs="Arial" w:eastAsia="Arial" w:hAnsi="Arial"/>
                <w:sz w:val="17"/>
                <w:szCs w:val="17"/>
                <w:color w:val="auto"/>
              </w:rPr>
              <w:t>26,661</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2.5698</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2,386,075</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40,521,715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December 2019</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38,343</w:t>
            </w: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2.6005</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2,424,418</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40,422,006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January 2020</w:t>
            </w:r>
          </w:p>
        </w:tc>
        <w:tc>
          <w:tcPr>
            <w:tcW w:w="1820" w:type="dxa"/>
            <w:vAlign w:val="bottom"/>
          </w:tcPr>
          <w:p>
            <w:pPr>
              <w:jc w:val="right"/>
              <w:spacing w:after="0"/>
              <w:rPr>
                <w:sz w:val="20"/>
                <w:szCs w:val="20"/>
                <w:color w:val="auto"/>
              </w:rPr>
            </w:pPr>
            <w:r>
              <w:rPr>
                <w:rFonts w:ascii="Arial" w:cs="Arial" w:eastAsia="Arial" w:hAnsi="Arial"/>
                <w:sz w:val="17"/>
                <w:szCs w:val="17"/>
                <w:color w:val="auto"/>
              </w:rPr>
              <w:t>43,448</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2.6846</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2,467,866</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40,305,365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February 2020</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82,886</w:t>
            </w: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2.6678</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2,550,752</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40,084,244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March 2020</w:t>
            </w:r>
          </w:p>
        </w:tc>
        <w:tc>
          <w:tcPr>
            <w:tcW w:w="1820" w:type="dxa"/>
            <w:vAlign w:val="bottom"/>
          </w:tcPr>
          <w:p>
            <w:pPr>
              <w:jc w:val="right"/>
              <w:spacing w:after="0"/>
              <w:rPr>
                <w:sz w:val="20"/>
                <w:szCs w:val="20"/>
                <w:color w:val="auto"/>
              </w:rPr>
            </w:pPr>
            <w:r>
              <w:rPr>
                <w:rFonts w:ascii="Arial" w:cs="Arial" w:eastAsia="Arial" w:hAnsi="Arial"/>
                <w:sz w:val="17"/>
                <w:szCs w:val="17"/>
                <w:color w:val="auto"/>
              </w:rPr>
              <w:t>157,433</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1.6643</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2,708,185</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39,822,232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April 2020</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1,219,013</w:t>
            </w: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1.5872</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3,927,198</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37,887,465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7"/>
                <w:szCs w:val="17"/>
                <w:color w:val="auto"/>
              </w:rPr>
              <w:t>May 2020</w:t>
            </w:r>
          </w:p>
        </w:tc>
        <w:tc>
          <w:tcPr>
            <w:tcW w:w="1820" w:type="dxa"/>
            <w:vAlign w:val="bottom"/>
          </w:tcPr>
          <w:p>
            <w:pPr>
              <w:jc w:val="right"/>
              <w:spacing w:after="0"/>
              <w:rPr>
                <w:sz w:val="20"/>
                <w:szCs w:val="20"/>
                <w:color w:val="auto"/>
              </w:rPr>
            </w:pPr>
            <w:r>
              <w:rPr>
                <w:rFonts w:ascii="Arial" w:cs="Arial" w:eastAsia="Arial" w:hAnsi="Arial"/>
                <w:sz w:val="17"/>
                <w:szCs w:val="17"/>
                <w:color w:val="auto"/>
              </w:rPr>
              <w:t>594,325</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2.0723</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4,521,523</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36,655,873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rPr>
              <w:t>Total</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4,521,523</w:t>
            </w:r>
          </w:p>
        </w:tc>
        <w:tc>
          <w:tcPr>
            <w:tcW w:w="3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2.9512</w:t>
            </w:r>
          </w:p>
        </w:tc>
        <w:tc>
          <w:tcPr>
            <w:tcW w:w="28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4,521,523</w:t>
            </w:r>
          </w:p>
        </w:tc>
        <w:tc>
          <w:tcPr>
            <w:tcW w:w="28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36,655,873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Note:</w:t>
      </w:r>
    </w:p>
    <w:p>
      <w:pPr>
        <w:ind w:left="560" w:hanging="540"/>
        <w:spacing w:after="0" w:line="219" w:lineRule="auto"/>
        <w:tabs>
          <w:tab w:leader="none" w:pos="5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Each 25 ADSs represent one Class A ordinary share. The average price per ADS is calculated using the execution price for each repurchase excluding commissions paid to brokers.</w:t>
      </w:r>
    </w:p>
    <w:p>
      <w:pPr>
        <w:ind w:left="560" w:hanging="540"/>
        <w:spacing w:after="0" w:line="226" w:lineRule="auto"/>
        <w:tabs>
          <w:tab w:leader="none" w:pos="5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We announced a share repurchase program approved by our board of directors in August 2018, under which we may repurchase up to US$50 million worth of our outstanding ADSs over initially a period of 12 months which was subsequently extended for another 12 months. The repurchases have been, and will be, through various means, including open market transactions, privately negotiated transactions, tender offers or any combination thereof. There purchases have been, and will be, effected in compliance with Rule 10b5-1 under the Securities Exchange Act of 1934, as amended, and our insider trading policy. The number of ADSs repurchased and the timing of repurchases will depend on a number of factors, including, but not limited to, price, trading volume and general market conditions.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6851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326" w:right="339" w:bottom="1440" w:gutter="0" w:footer="0" w:header="0"/>
        </w:sectPr>
      </w:pPr>
    </w:p>
    <w:bookmarkStart w:id="109" w:name="page110"/>
    <w:bookmarkEnd w:id="109"/>
    <w:p>
      <w:pPr>
        <w:spacing w:after="0"/>
        <w:tabs>
          <w:tab w:leader="none" w:pos="1060" w:val="left"/>
        </w:tabs>
        <w:rPr>
          <w:sz w:val="20"/>
          <w:szCs w:val="20"/>
          <w:color w:val="auto"/>
        </w:rPr>
      </w:pPr>
      <w:r>
        <w:rPr>
          <w:rFonts w:ascii="Arial" w:cs="Arial" w:eastAsia="Arial" w:hAnsi="Arial"/>
          <w:sz w:val="17"/>
          <w:szCs w:val="17"/>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9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07" w:lineRule="exact"/>
        <w:rPr>
          <w:sz w:val="20"/>
          <w:szCs w:val="20"/>
          <w:color w:val="auto"/>
        </w:rPr>
      </w:pPr>
    </w:p>
    <w:p>
      <w:pPr>
        <w:ind w:firstLine="547"/>
        <w:spacing w:after="0" w:line="263" w:lineRule="auto"/>
        <w:rPr>
          <w:sz w:val="20"/>
          <w:szCs w:val="20"/>
          <w:color w:val="auto"/>
        </w:rPr>
      </w:pPr>
      <w:r>
        <w:rPr>
          <w:rFonts w:ascii="Arial" w:cs="Arial" w:eastAsia="Arial" w:hAnsi="Arial"/>
          <w:sz w:val="16"/>
          <w:szCs w:val="16"/>
          <w:color w:val="auto"/>
        </w:rPr>
        <w:t>As a Cayman Islands exempted company listed on the New York Stock Exchange, we are subject to New York Stock Exchange corporate governance listing standards. However, New York Stock Exchange rules permit a foreign private issuer like us to follow the corporate governance practices of its home country. Certain corporate governance practices in the Cayman Islands, which is our home country, may differ significantly from the New York Stock Exchange corporate governance listing standards. We currently follow Cayman Islands corporate governance practices in lieu of the corporate governance requirements of the New York Stock Exchange that listed companies must have: (i) a majority of independent directors; (ii) a nominating/corporate governance committee composed entirely of independent directors; and (iii) a compensation committee composed entirely of independent directors. To the extent we choose to continue to follow home country practice in the future, our shareholders may be afforded less protection than they otherwise would enjoy under New York Stock Exchange corporate governance listing standards applicable to U.S. domestic issuers. See “Item 3. Key Information—3.D. Risk Factors— Risks Relating to the ADSs—As a company incorporated in the Cayman Islands, we are permitted to adopt certain home country practices in relation to corporate governance matters that differ significantly from the New York Stock Exchange corporate governance listing standards. These practices may afford less protection to shareholders than they would enjoy if we complied fully with the New York Stock Exchange corporate governance listing standards.”</w:t>
      </w:r>
    </w:p>
    <w:p>
      <w:pPr>
        <w:spacing w:after="0" w:line="270"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b w:val="1"/>
          <w:bCs w:val="1"/>
          <w:color w:val="auto"/>
        </w:rPr>
        <w:t>PART III</w:t>
      </w:r>
    </w:p>
    <w:p>
      <w:pPr>
        <w:spacing w:after="0" w:line="20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have elected to provide financial statements pursuant to Item 18.</w:t>
      </w:r>
    </w:p>
    <w:p>
      <w:pPr>
        <w:spacing w:after="0" w:line="29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consolidated financial statements of Sunlands Technology Group are included at the end of this annual report.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7"/>
                <w:szCs w:val="17"/>
                <w:b w:val="1"/>
                <w:bCs w:val="1"/>
                <w:color w:val="auto"/>
              </w:rPr>
              <w:t>ITEM 19.</w:t>
            </w:r>
          </w:p>
        </w:tc>
        <w:tc>
          <w:tcPr>
            <w:tcW w:w="10220" w:type="dxa"/>
            <w:vAlign w:val="bottom"/>
            <w:gridSpan w:val="38"/>
          </w:tcPr>
          <w:p>
            <w:pPr>
              <w:ind w:left="6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229"/>
        </w:trPr>
        <w:tc>
          <w:tcPr>
            <w:tcW w:w="1020" w:type="dxa"/>
            <w:vAlign w:val="bottom"/>
          </w:tcPr>
          <w:p>
            <w:pPr>
              <w:ind w:left="300"/>
              <w:spacing w:after="0"/>
              <w:rPr>
                <w:sz w:val="20"/>
                <w:szCs w:val="20"/>
                <w:color w:val="auto"/>
              </w:rPr>
            </w:pPr>
            <w:r>
              <w:rPr>
                <w:rFonts w:ascii="Arial" w:cs="Arial" w:eastAsia="Arial" w:hAnsi="Arial"/>
                <w:sz w:val="13"/>
                <w:szCs w:val="13"/>
                <w:b w:val="1"/>
                <w:bCs w:val="1"/>
                <w:color w:val="181717"/>
              </w:rPr>
              <w:t>Exhibit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181717"/>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24"/>
          </w:tcPr>
          <w:p>
            <w:pPr>
              <w:ind w:left="260"/>
              <w:spacing w:after="0"/>
              <w:rPr>
                <w:sz w:val="20"/>
                <w:szCs w:val="20"/>
                <w:color w:val="auto"/>
              </w:rPr>
            </w:pPr>
            <w:r>
              <w:rPr>
                <w:rFonts w:ascii="Arial" w:cs="Arial" w:eastAsia="Arial" w:hAnsi="Arial"/>
                <w:sz w:val="13"/>
                <w:szCs w:val="13"/>
                <w:b w:val="1"/>
                <w:bCs w:val="1"/>
                <w:color w:val="181717"/>
              </w:rPr>
              <w:t>Description of Document</w:t>
            </w:r>
          </w:p>
        </w:tc>
        <w:tc>
          <w:tcPr>
            <w:tcW w:w="0" w:type="dxa"/>
            <w:vAlign w:val="bottom"/>
          </w:tcPr>
          <w:p>
            <w:pPr>
              <w:spacing w:after="0"/>
              <w:rPr>
                <w:sz w:val="1"/>
                <w:szCs w:val="1"/>
                <w:color w:val="auto"/>
              </w:rPr>
            </w:pPr>
          </w:p>
        </w:tc>
      </w:tr>
      <w:tr>
        <w:trPr>
          <w:trHeight w:val="267"/>
        </w:trPr>
        <w:tc>
          <w:tcPr>
            <w:tcW w:w="1020" w:type="dxa"/>
            <w:vAlign w:val="bottom"/>
          </w:tcPr>
          <w:p>
            <w:pPr>
              <w:ind w:left="160"/>
              <w:spacing w:after="0"/>
              <w:rPr>
                <w:sz w:val="20"/>
                <w:szCs w:val="20"/>
                <w:color w:val="auto"/>
              </w:rPr>
            </w:pPr>
            <w:r>
              <w:rPr>
                <w:rFonts w:ascii="Arial" w:cs="Arial" w:eastAsia="Arial" w:hAnsi="Arial"/>
                <w:sz w:val="17"/>
                <w:szCs w:val="17"/>
                <w:color w:val="181717"/>
              </w:rPr>
              <w:t>1.1</w:t>
            </w:r>
            <w:r>
              <w:rPr>
                <w:rFonts w:ascii="Arial" w:cs="Arial" w:eastAsia="Arial" w:hAnsi="Arial"/>
                <w:sz w:val="14"/>
                <w:szCs w:val="14"/>
                <w:color w:val="181717"/>
              </w:rPr>
              <w:t>(1)</w:t>
            </w:r>
          </w:p>
        </w:tc>
        <w:tc>
          <w:tcPr>
            <w:tcW w:w="120" w:type="dxa"/>
            <w:vAlign w:val="bottom"/>
          </w:tcPr>
          <w:p>
            <w:pPr>
              <w:spacing w:after="0"/>
              <w:rPr>
                <w:sz w:val="23"/>
                <w:szCs w:val="23"/>
                <w:color w:val="auto"/>
              </w:rPr>
            </w:pPr>
          </w:p>
        </w:tc>
        <w:tc>
          <w:tcPr>
            <w:tcW w:w="10100" w:type="dxa"/>
            <w:vAlign w:val="bottom"/>
            <w:gridSpan w:val="37"/>
          </w:tcPr>
          <w:p>
            <w:pPr>
              <w:spacing w:after="0"/>
              <w:rPr>
                <w:rFonts w:ascii="Arial" w:cs="Arial" w:eastAsia="Arial" w:hAnsi="Arial"/>
                <w:sz w:val="17"/>
                <w:szCs w:val="17"/>
                <w:color w:val="0000EE"/>
              </w:rPr>
            </w:pPr>
            <w:hyperlink r:id="rId133">
              <w:r>
                <w:rPr>
                  <w:rFonts w:ascii="Arial" w:cs="Arial" w:eastAsia="Arial" w:hAnsi="Arial"/>
                  <w:sz w:val="17"/>
                  <w:szCs w:val="17"/>
                  <w:color w:val="0000EE"/>
                </w:rPr>
                <w:t>The Fourth Amended and Restated Memorandum and Articles of Association, as currently in effect</w:t>
              </w:r>
            </w:hyperlink>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2.1</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4080" w:type="dxa"/>
            <w:vAlign w:val="bottom"/>
            <w:tcBorders>
              <w:top w:val="single" w:sz="8" w:color="0000EE"/>
              <w:bottom w:val="single" w:sz="8" w:color="0000EE"/>
            </w:tcBorders>
            <w:gridSpan w:val="13"/>
          </w:tcPr>
          <w:p>
            <w:pPr>
              <w:spacing w:after="0" w:line="180" w:lineRule="exact"/>
              <w:rPr>
                <w:rFonts w:ascii="Arial" w:cs="Arial" w:eastAsia="Arial" w:hAnsi="Arial"/>
                <w:sz w:val="17"/>
                <w:szCs w:val="17"/>
                <w:color w:val="0000EE"/>
                <w:w w:val="88"/>
              </w:rPr>
            </w:pPr>
            <w:hyperlink r:id="rId134">
              <w:r>
                <w:rPr>
                  <w:rFonts w:ascii="Arial" w:cs="Arial" w:eastAsia="Arial" w:hAnsi="Arial"/>
                  <w:sz w:val="17"/>
                  <w:szCs w:val="17"/>
                  <w:color w:val="0000EE"/>
                  <w:w w:val="88"/>
                </w:rPr>
                <w:t>Form of Registrant’s Specimen American Depositary Receipt</w:t>
              </w:r>
            </w:hyperlink>
          </w:p>
        </w:tc>
        <w:tc>
          <w:tcPr>
            <w:tcW w:w="2520" w:type="dxa"/>
            <w:vAlign w:val="bottom"/>
            <w:tcBorders>
              <w:top w:val="single" w:sz="8" w:color="0000EE"/>
            </w:tcBorders>
            <w:gridSpan w:val="3"/>
          </w:tcPr>
          <w:p>
            <w:pPr>
              <w:spacing w:after="0"/>
              <w:rPr>
                <w:sz w:val="15"/>
                <w:szCs w:val="15"/>
                <w:color w:val="auto"/>
              </w:rPr>
            </w:pPr>
          </w:p>
        </w:tc>
        <w:tc>
          <w:tcPr>
            <w:tcW w:w="350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2.2</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rPr>
            </w:pPr>
            <w:hyperlink r:id="rId135">
              <w:r>
                <w:rPr>
                  <w:rFonts w:ascii="Arial" w:cs="Arial" w:eastAsia="Arial" w:hAnsi="Arial"/>
                  <w:sz w:val="17"/>
                  <w:szCs w:val="17"/>
                  <w:color w:val="0000EE"/>
                </w:rPr>
                <w:t>Form of Registrant’s Specimen Certificate for Class A Ordinary Shares</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2.3</w:t>
            </w:r>
            <w:r>
              <w:rPr>
                <w:rFonts w:ascii="Arial" w:cs="Arial" w:eastAsia="Arial" w:hAnsi="Arial"/>
                <w:sz w:val="14"/>
                <w:szCs w:val="14"/>
                <w:color w:val="181717"/>
              </w:rPr>
              <w:t>(1)</w:t>
            </w:r>
          </w:p>
        </w:tc>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540" w:type="dxa"/>
            <w:vAlign w:val="bottom"/>
            <w:tcBorders>
              <w:bottom w:val="single" w:sz="8" w:color="0000EE"/>
            </w:tcBorders>
            <w:gridSpan w:val="19"/>
          </w:tcPr>
          <w:p>
            <w:pPr>
              <w:spacing w:after="0" w:line="180" w:lineRule="exact"/>
              <w:rPr>
                <w:rFonts w:ascii="Arial" w:cs="Arial" w:eastAsia="Arial" w:hAnsi="Arial"/>
                <w:sz w:val="17"/>
                <w:szCs w:val="17"/>
                <w:color w:val="0000EE"/>
                <w:w w:val="88"/>
              </w:rPr>
            </w:pPr>
            <w:hyperlink r:id="rId134">
              <w:r>
                <w:rPr>
                  <w:rFonts w:ascii="Arial" w:cs="Arial" w:eastAsia="Arial" w:hAnsi="Arial"/>
                  <w:sz w:val="17"/>
                  <w:szCs w:val="17"/>
                  <w:color w:val="0000EE"/>
                  <w:w w:val="88"/>
                </w:rPr>
                <w:t>Form of Deposit Agreement among the Registrant, the depositary and holders of the American Depositary Shares</w:t>
              </w:r>
            </w:hyperlink>
          </w:p>
        </w:tc>
        <w:tc>
          <w:tcPr>
            <w:tcW w:w="256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auto"/>
              </w:rPr>
              <w:t>2.4</w:t>
            </w: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480" w:type="dxa"/>
            <w:vAlign w:val="bottom"/>
            <w:tcBorders>
              <w:bottom w:val="single" w:sz="8" w:color="0000EE"/>
            </w:tcBorders>
            <w:gridSpan w:val="9"/>
          </w:tcPr>
          <w:p>
            <w:pPr>
              <w:spacing w:after="0" w:line="180" w:lineRule="exact"/>
              <w:rPr>
                <w:rFonts w:ascii="Arial" w:cs="Arial" w:eastAsia="Arial" w:hAnsi="Arial"/>
                <w:sz w:val="17"/>
                <w:szCs w:val="17"/>
                <w:color w:val="0000EE"/>
                <w:w w:val="88"/>
              </w:rPr>
            </w:pPr>
            <w:hyperlink r:id="rId136">
              <w:r>
                <w:rPr>
                  <w:rFonts w:ascii="Arial" w:cs="Arial" w:eastAsia="Arial" w:hAnsi="Arial"/>
                  <w:sz w:val="17"/>
                  <w:szCs w:val="17"/>
                  <w:color w:val="0000EE"/>
                  <w:w w:val="88"/>
                </w:rPr>
                <w:t>Description of Registrant’s Securities</w:t>
              </w:r>
            </w:hyperlink>
          </w:p>
        </w:tc>
        <w:tc>
          <w:tcPr>
            <w:tcW w:w="762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4.1</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rPr>
            </w:pPr>
            <w:hyperlink r:id="rId137">
              <w:r>
                <w:rPr>
                  <w:rFonts w:ascii="Arial" w:cs="Arial" w:eastAsia="Arial" w:hAnsi="Arial"/>
                  <w:sz w:val="17"/>
                  <w:szCs w:val="17"/>
                  <w:color w:val="0000EE"/>
                </w:rPr>
                <w:t>The 2017 Share Incentive Plan</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4.2</w:t>
            </w:r>
            <w:r>
              <w:rPr>
                <w:rFonts w:ascii="Arial" w:cs="Arial" w:eastAsia="Arial" w:hAnsi="Arial"/>
                <w:sz w:val="14"/>
                <w:szCs w:val="14"/>
                <w:color w:val="181717"/>
              </w:rPr>
              <w:t>(1)</w:t>
            </w:r>
          </w:p>
        </w:tc>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780" w:type="dxa"/>
            <w:vAlign w:val="bottom"/>
            <w:tcBorders>
              <w:bottom w:val="single" w:sz="8" w:color="0000EE"/>
            </w:tcBorders>
            <w:gridSpan w:val="21"/>
          </w:tcPr>
          <w:p>
            <w:pPr>
              <w:spacing w:after="0" w:line="180" w:lineRule="exact"/>
              <w:rPr>
                <w:rFonts w:ascii="Arial" w:cs="Arial" w:eastAsia="Arial" w:hAnsi="Arial"/>
                <w:sz w:val="17"/>
                <w:szCs w:val="17"/>
                <w:color w:val="0000EE"/>
                <w:w w:val="88"/>
              </w:rPr>
            </w:pPr>
            <w:hyperlink r:id="rId138">
              <w:r>
                <w:rPr>
                  <w:rFonts w:ascii="Arial" w:cs="Arial" w:eastAsia="Arial" w:hAnsi="Arial"/>
                  <w:sz w:val="17"/>
                  <w:szCs w:val="17"/>
                  <w:color w:val="0000EE"/>
                  <w:w w:val="88"/>
                </w:rPr>
                <w:t>Form of Indemnification Agreement between the Registrant and the directors and executive officers of the Registrant</w:t>
              </w:r>
            </w:hyperlink>
          </w:p>
        </w:tc>
        <w:tc>
          <w:tcPr>
            <w:tcW w:w="23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4.3</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6680" w:type="dxa"/>
            <w:vAlign w:val="bottom"/>
            <w:tcBorders>
              <w:bottom w:val="single" w:sz="8" w:color="0000EE"/>
            </w:tcBorders>
            <w:gridSpan w:val="17"/>
          </w:tcPr>
          <w:p>
            <w:pPr>
              <w:spacing w:after="0" w:line="180" w:lineRule="exact"/>
              <w:rPr>
                <w:rFonts w:ascii="Arial" w:cs="Arial" w:eastAsia="Arial" w:hAnsi="Arial"/>
                <w:sz w:val="17"/>
                <w:szCs w:val="17"/>
                <w:color w:val="0000EE"/>
                <w:w w:val="88"/>
              </w:rPr>
            </w:pPr>
            <w:hyperlink r:id="rId139">
              <w:r>
                <w:rPr>
                  <w:rFonts w:ascii="Arial" w:cs="Arial" w:eastAsia="Arial" w:hAnsi="Arial"/>
                  <w:sz w:val="17"/>
                  <w:szCs w:val="17"/>
                  <w:color w:val="0000EE"/>
                  <w:w w:val="88"/>
                </w:rPr>
                <w:t>Form of Employment Agreement between the Registrant and the executive officers of the Registrant</w:t>
              </w:r>
            </w:hyperlink>
          </w:p>
        </w:tc>
        <w:tc>
          <w:tcPr>
            <w:tcW w:w="342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4.4</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w w:val="92"/>
              </w:rPr>
            </w:pPr>
            <w:hyperlink r:id="rId140">
              <w:r>
                <w:rPr>
                  <w:rFonts w:ascii="Arial" w:cs="Arial" w:eastAsia="Arial" w:hAnsi="Arial"/>
                  <w:sz w:val="17"/>
                  <w:szCs w:val="17"/>
                  <w:color w:val="0000EE"/>
                  <w:w w:val="92"/>
                </w:rPr>
                <w:t>English translation of Exclusive Technical Consultation and Service Agreement among Wuhan Zhibo, Beijing Sunlands and the Beijing Sunlands</w:t>
              </w:r>
            </w:hyperlink>
          </w:p>
        </w:tc>
        <w:tc>
          <w:tcPr>
            <w:tcW w:w="0" w:type="dxa"/>
            <w:vAlign w:val="bottom"/>
          </w:tcPr>
          <w:p>
            <w:pPr>
              <w:spacing w:after="0"/>
              <w:rPr>
                <w:sz w:val="1"/>
                <w:szCs w:val="1"/>
                <w:color w:val="auto"/>
              </w:rPr>
            </w:pPr>
          </w:p>
        </w:tc>
      </w:tr>
      <w:tr>
        <w:trPr>
          <w:trHeight w:val="179"/>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4.5</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8240" w:type="dxa"/>
            <w:vAlign w:val="bottom"/>
            <w:tcBorders>
              <w:top w:val="single" w:sz="8" w:color="0000EE"/>
              <w:bottom w:val="single" w:sz="8" w:color="0000EE"/>
            </w:tcBorders>
            <w:gridSpan w:val="22"/>
          </w:tcPr>
          <w:p>
            <w:pPr>
              <w:spacing w:after="0" w:line="180" w:lineRule="exact"/>
              <w:rPr>
                <w:rFonts w:ascii="Arial" w:cs="Arial" w:eastAsia="Arial" w:hAnsi="Arial"/>
                <w:sz w:val="17"/>
                <w:szCs w:val="17"/>
                <w:color w:val="0000EE"/>
                <w:w w:val="88"/>
              </w:rPr>
            </w:pPr>
            <w:hyperlink r:id="rId140">
              <w:r>
                <w:rPr>
                  <w:rFonts w:ascii="Arial" w:cs="Arial" w:eastAsia="Arial" w:hAnsi="Arial"/>
                  <w:sz w:val="17"/>
                  <w:szCs w:val="17"/>
                  <w:color w:val="0000EE"/>
                  <w:w w:val="88"/>
                </w:rPr>
                <w:t>Subsidiaries (other than Shanghai Shangchi Education Technology Co., Ltd. (“Shanghai Shangchi”)) dated August 15, 2017</w:t>
              </w:r>
            </w:hyperlink>
          </w:p>
        </w:tc>
        <w:tc>
          <w:tcPr>
            <w:tcW w:w="1420" w:type="dxa"/>
            <w:vAlign w:val="bottom"/>
            <w:tcBorders>
              <w:top w:val="single" w:sz="8" w:color="0000EE"/>
            </w:tcBorders>
            <w:gridSpan w:val="7"/>
          </w:tcPr>
          <w:p>
            <w:pPr>
              <w:spacing w:after="0"/>
              <w:rPr>
                <w:sz w:val="15"/>
                <w:szCs w:val="15"/>
                <w:color w:val="auto"/>
              </w:rPr>
            </w:pPr>
          </w:p>
        </w:tc>
        <w:tc>
          <w:tcPr>
            <w:tcW w:w="4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w w:val="89"/>
              </w:rPr>
            </w:pPr>
            <w:hyperlink r:id="rId141">
              <w:r>
                <w:rPr>
                  <w:rFonts w:ascii="Arial" w:cs="Arial" w:eastAsia="Arial" w:hAnsi="Arial"/>
                  <w:sz w:val="17"/>
                  <w:szCs w:val="17"/>
                  <w:color w:val="0000EE"/>
                  <w:w w:val="89"/>
                </w:rPr>
                <w:t>English translation of Exclusive Technical Consultation and Service Agreement among Wuhan Zhibo, Beijing Sunlands and Shanghai Shangchi dated</w:t>
              </w:r>
            </w:hyperlink>
          </w:p>
        </w:tc>
        <w:tc>
          <w:tcPr>
            <w:tcW w:w="0" w:type="dxa"/>
            <w:vAlign w:val="bottom"/>
          </w:tcPr>
          <w:p>
            <w:pPr>
              <w:spacing w:after="0"/>
              <w:rPr>
                <w:sz w:val="1"/>
                <w:szCs w:val="1"/>
                <w:color w:val="auto"/>
              </w:rPr>
            </w:pPr>
          </w:p>
        </w:tc>
      </w:tr>
      <w:tr>
        <w:trPr>
          <w:trHeight w:val="179"/>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4.6</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3"/>
          </w:tcPr>
          <w:p>
            <w:pPr>
              <w:spacing w:after="0" w:line="180" w:lineRule="exact"/>
              <w:rPr>
                <w:rFonts w:ascii="Arial" w:cs="Arial" w:eastAsia="Arial" w:hAnsi="Arial"/>
                <w:sz w:val="17"/>
                <w:szCs w:val="17"/>
                <w:color w:val="0000EE"/>
                <w:w w:val="87"/>
              </w:rPr>
            </w:pPr>
            <w:hyperlink r:id="rId141">
              <w:r>
                <w:rPr>
                  <w:rFonts w:ascii="Arial" w:cs="Arial" w:eastAsia="Arial" w:hAnsi="Arial"/>
                  <w:sz w:val="17"/>
                  <w:szCs w:val="17"/>
                  <w:color w:val="0000EE"/>
                  <w:w w:val="87"/>
                </w:rPr>
                <w:t>August 15, 2017</w:t>
              </w:r>
            </w:hyperlink>
          </w:p>
        </w:tc>
        <w:tc>
          <w:tcPr>
            <w:tcW w:w="8860" w:type="dxa"/>
            <w:vAlign w:val="bottom"/>
            <w:tcBorders>
              <w:top w:val="single" w:sz="8" w:color="0000EE"/>
            </w:tcBorders>
            <w:gridSpan w:val="32"/>
          </w:tcPr>
          <w:p>
            <w:pPr>
              <w:spacing w:after="0"/>
              <w:rPr>
                <w:sz w:val="15"/>
                <w:szCs w:val="15"/>
                <w:color w:val="auto"/>
              </w:rPr>
            </w:pP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w w:val="92"/>
              </w:rPr>
            </w:pPr>
            <w:hyperlink r:id="rId142">
              <w:r>
                <w:rPr>
                  <w:rFonts w:ascii="Arial" w:cs="Arial" w:eastAsia="Arial" w:hAnsi="Arial"/>
                  <w:sz w:val="17"/>
                  <w:szCs w:val="17"/>
                  <w:color w:val="0000EE"/>
                  <w:w w:val="92"/>
                </w:rPr>
                <w:t>English translation of Business Operation Agreement among Wuhan Zhibo, Beijing Sunlands, Beijing Sunlands Subsidiaries (other than Shanghai</w:t>
              </w:r>
            </w:hyperlink>
          </w:p>
        </w:tc>
        <w:tc>
          <w:tcPr>
            <w:tcW w:w="0" w:type="dxa"/>
            <w:vAlign w:val="bottom"/>
          </w:tcPr>
          <w:p>
            <w:pPr>
              <w:spacing w:after="0"/>
              <w:rPr>
                <w:sz w:val="1"/>
                <w:szCs w:val="1"/>
                <w:color w:val="auto"/>
              </w:rPr>
            </w:pPr>
          </w:p>
        </w:tc>
      </w:tr>
      <w:tr>
        <w:trPr>
          <w:trHeight w:val="179"/>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4.7</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15"/>
          </w:tcPr>
          <w:p>
            <w:pPr>
              <w:spacing w:after="0" w:line="180" w:lineRule="exact"/>
              <w:rPr>
                <w:rFonts w:ascii="Arial" w:cs="Arial" w:eastAsia="Arial" w:hAnsi="Arial"/>
                <w:sz w:val="17"/>
                <w:szCs w:val="17"/>
                <w:color w:val="0000EE"/>
                <w:w w:val="87"/>
              </w:rPr>
            </w:pPr>
            <w:hyperlink r:id="rId142">
              <w:r>
                <w:rPr>
                  <w:rFonts w:ascii="Arial" w:cs="Arial" w:eastAsia="Arial" w:hAnsi="Arial"/>
                  <w:sz w:val="17"/>
                  <w:szCs w:val="17"/>
                  <w:color w:val="0000EE"/>
                  <w:w w:val="87"/>
                </w:rPr>
                <w:t>Shangchi) and the shareholders of Beijing Sunlands dated August 15, 2017</w:t>
              </w:r>
            </w:hyperlink>
          </w:p>
        </w:tc>
        <w:tc>
          <w:tcPr>
            <w:tcW w:w="4720" w:type="dxa"/>
            <w:vAlign w:val="bottom"/>
            <w:tcBorders>
              <w:top w:val="single" w:sz="8" w:color="0000EE"/>
            </w:tcBorders>
            <w:gridSpan w:val="16"/>
          </w:tcPr>
          <w:p>
            <w:pPr>
              <w:spacing w:after="0"/>
              <w:rPr>
                <w:sz w:val="15"/>
                <w:szCs w:val="15"/>
                <w:color w:val="auto"/>
              </w:rPr>
            </w:pPr>
          </w:p>
        </w:tc>
        <w:tc>
          <w:tcPr>
            <w:tcW w:w="4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w w:val="92"/>
              </w:rPr>
            </w:pPr>
            <w:hyperlink r:id="rId143">
              <w:r>
                <w:rPr>
                  <w:rFonts w:ascii="Arial" w:cs="Arial" w:eastAsia="Arial" w:hAnsi="Arial"/>
                  <w:sz w:val="17"/>
                  <w:szCs w:val="17"/>
                  <w:color w:val="0000EE"/>
                  <w:w w:val="92"/>
                </w:rPr>
                <w:t>English translation of Business Operation Agreement among Wuhan Zhibo, Beijing Sunlands, Shanghai Shangchi and the shareholders of Beijing</w:t>
              </w:r>
            </w:hyperlink>
          </w:p>
        </w:tc>
        <w:tc>
          <w:tcPr>
            <w:tcW w:w="0" w:type="dxa"/>
            <w:vAlign w:val="bottom"/>
          </w:tcPr>
          <w:p>
            <w:pPr>
              <w:spacing w:after="0"/>
              <w:rPr>
                <w:sz w:val="1"/>
                <w:szCs w:val="1"/>
                <w:color w:val="auto"/>
              </w:rPr>
            </w:pPr>
          </w:p>
        </w:tc>
      </w:tr>
      <w:tr>
        <w:trPr>
          <w:trHeight w:val="179"/>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4.8</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9680" w:type="dxa"/>
            <w:vAlign w:val="bottom"/>
            <w:tcBorders>
              <w:top w:val="single" w:sz="8" w:color="0000EE"/>
            </w:tcBorders>
            <w:gridSpan w:val="30"/>
          </w:tcPr>
          <w:p>
            <w:pPr>
              <w:spacing w:after="0" w:line="180" w:lineRule="exact"/>
              <w:rPr>
                <w:rFonts w:ascii="Arial" w:cs="Arial" w:eastAsia="Arial" w:hAnsi="Arial"/>
                <w:sz w:val="17"/>
                <w:szCs w:val="17"/>
                <w:color w:val="0000EE"/>
              </w:rPr>
            </w:pPr>
            <w:hyperlink r:id="rId143">
              <w:r>
                <w:rPr>
                  <w:rFonts w:ascii="Arial" w:cs="Arial" w:eastAsia="Arial" w:hAnsi="Arial"/>
                  <w:sz w:val="17"/>
                  <w:szCs w:val="17"/>
                  <w:color w:val="0000EE"/>
                </w:rPr>
                <w:t>Sunlands dated August 15, 2017</w:t>
              </w:r>
            </w:hyperlink>
          </w:p>
        </w:tc>
        <w:tc>
          <w:tcPr>
            <w:tcW w:w="4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tcBorders>
              <w:bottom w:val="single" w:sz="8" w:color="0000EE"/>
            </w:tcBorders>
            <w:gridSpan w:val="36"/>
          </w:tcPr>
          <w:p>
            <w:pPr>
              <w:spacing w:after="0" w:line="180" w:lineRule="exact"/>
              <w:rPr>
                <w:rFonts w:ascii="Arial" w:cs="Arial" w:eastAsia="Arial" w:hAnsi="Arial"/>
                <w:sz w:val="17"/>
                <w:szCs w:val="17"/>
                <w:color w:val="0000EE"/>
                <w:w w:val="88"/>
              </w:rPr>
            </w:pPr>
            <w:hyperlink r:id="rId144">
              <w:r>
                <w:rPr>
                  <w:rFonts w:ascii="Arial" w:cs="Arial" w:eastAsia="Arial" w:hAnsi="Arial"/>
                  <w:sz w:val="17"/>
                  <w:szCs w:val="17"/>
                  <w:color w:val="0000EE"/>
                  <w:w w:val="88"/>
                </w:rPr>
                <w:t>English translation of Equity Interest Pledge Agreement among Wuhan Zhibo, Beijing Sunlands and the shareholders of Beijing Sunlands dated August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4.9</w:t>
            </w:r>
            <w:r>
              <w:rPr>
                <w:rFonts w:ascii="Arial" w:cs="Arial" w:eastAsia="Arial" w:hAnsi="Arial"/>
                <w:sz w:val="14"/>
                <w:szCs w:val="14"/>
                <w:color w:val="181717"/>
              </w:rPr>
              <w:t>(1)</w:t>
            </w:r>
          </w:p>
        </w:tc>
        <w:tc>
          <w:tcPr>
            <w:tcW w:w="700" w:type="dxa"/>
            <w:vAlign w:val="bottom"/>
            <w:gridSpan w:val="3"/>
          </w:tcPr>
          <w:p>
            <w:pPr>
              <w:ind w:left="120"/>
              <w:spacing w:after="0" w:line="180" w:lineRule="exact"/>
              <w:rPr>
                <w:rFonts w:ascii="Arial" w:cs="Arial" w:eastAsia="Arial" w:hAnsi="Arial"/>
                <w:sz w:val="17"/>
                <w:szCs w:val="17"/>
                <w:color w:val="0000EE"/>
                <w:w w:val="84"/>
              </w:rPr>
            </w:pPr>
            <w:hyperlink r:id="rId144">
              <w:r>
                <w:rPr>
                  <w:rFonts w:ascii="Arial" w:cs="Arial" w:eastAsia="Arial" w:hAnsi="Arial"/>
                  <w:sz w:val="17"/>
                  <w:szCs w:val="17"/>
                  <w:color w:val="0000EE"/>
                  <w:w w:val="84"/>
                </w:rPr>
                <w:t>15, 2017</w:t>
              </w:r>
            </w:hyperlink>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w w:val="92"/>
              </w:rPr>
            </w:pPr>
            <w:hyperlink r:id="rId145">
              <w:r>
                <w:rPr>
                  <w:rFonts w:ascii="Arial" w:cs="Arial" w:eastAsia="Arial" w:hAnsi="Arial"/>
                  <w:sz w:val="17"/>
                  <w:szCs w:val="17"/>
                  <w:color w:val="0000EE"/>
                  <w:w w:val="92"/>
                </w:rPr>
                <w:t>English translation of Option Agreement among Wuhan Zhibo, Beijing Sunlands and the shareholders of Beijing Sunlands dated August 15, 2017</w:t>
              </w:r>
            </w:hyperlink>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4.10</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7480" w:type="dxa"/>
            <w:vAlign w:val="bottom"/>
            <w:tcBorders>
              <w:top w:val="single" w:sz="8" w:color="0000EE"/>
              <w:bottom w:val="single" w:sz="8" w:color="0000EE"/>
            </w:tcBorders>
            <w:gridSpan w:val="18"/>
          </w:tcPr>
          <w:p>
            <w:pPr>
              <w:spacing w:after="0" w:line="180" w:lineRule="exact"/>
              <w:rPr>
                <w:rFonts w:ascii="Arial" w:cs="Arial" w:eastAsia="Arial" w:hAnsi="Arial"/>
                <w:sz w:val="17"/>
                <w:szCs w:val="17"/>
                <w:color w:val="0000EE"/>
                <w:w w:val="88"/>
              </w:rPr>
            </w:pPr>
            <w:hyperlink r:id="rId146">
              <w:r>
                <w:rPr>
                  <w:rFonts w:ascii="Arial" w:cs="Arial" w:eastAsia="Arial" w:hAnsi="Arial"/>
                  <w:sz w:val="17"/>
                  <w:szCs w:val="17"/>
                  <w:color w:val="0000EE"/>
                  <w:w w:val="88"/>
                </w:rPr>
                <w:t>English translation of Power of Attorney granted by the shareholders of Beijing Sunlands dated August 15, 2017</w:t>
              </w:r>
            </w:hyperlink>
          </w:p>
        </w:tc>
        <w:tc>
          <w:tcPr>
            <w:tcW w:w="2200" w:type="dxa"/>
            <w:vAlign w:val="bottom"/>
            <w:tcBorders>
              <w:top w:val="single" w:sz="8" w:color="0000EE"/>
            </w:tcBorders>
            <w:gridSpan w:val="12"/>
          </w:tcPr>
          <w:p>
            <w:pPr>
              <w:spacing w:after="0"/>
              <w:rPr>
                <w:sz w:val="15"/>
                <w:szCs w:val="15"/>
                <w:color w:val="auto"/>
              </w:rPr>
            </w:pPr>
          </w:p>
        </w:tc>
        <w:tc>
          <w:tcPr>
            <w:tcW w:w="4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4.11</w:t>
            </w:r>
            <w:r>
              <w:rPr>
                <w:rFonts w:ascii="Arial" w:cs="Arial" w:eastAsia="Arial" w:hAnsi="Arial"/>
                <w:sz w:val="14"/>
                <w:szCs w:val="14"/>
                <w:color w:val="181717"/>
              </w:rPr>
              <w:t>(1)</w:t>
            </w:r>
          </w:p>
        </w:tc>
        <w:tc>
          <w:tcPr>
            <w:tcW w:w="120" w:type="dxa"/>
            <w:vAlign w:val="bottom"/>
          </w:tcPr>
          <w:p>
            <w:pPr>
              <w:spacing w:after="0"/>
              <w:rPr>
                <w:sz w:val="15"/>
                <w:szCs w:val="15"/>
                <w:color w:val="auto"/>
              </w:rPr>
            </w:pPr>
          </w:p>
        </w:tc>
        <w:tc>
          <w:tcPr>
            <w:tcW w:w="8960" w:type="dxa"/>
            <w:vAlign w:val="bottom"/>
            <w:tcBorders>
              <w:bottom w:val="single" w:sz="8" w:color="0000EE"/>
            </w:tcBorders>
            <w:gridSpan w:val="23"/>
          </w:tcPr>
          <w:p>
            <w:pPr>
              <w:spacing w:after="0" w:line="180" w:lineRule="exact"/>
              <w:rPr>
                <w:rFonts w:ascii="Arial" w:cs="Arial" w:eastAsia="Arial" w:hAnsi="Arial"/>
                <w:sz w:val="17"/>
                <w:szCs w:val="17"/>
                <w:color w:val="0000EE"/>
                <w:w w:val="88"/>
              </w:rPr>
            </w:pPr>
            <w:hyperlink r:id="rId147">
              <w:r>
                <w:rPr>
                  <w:rFonts w:ascii="Arial" w:cs="Arial" w:eastAsia="Arial" w:hAnsi="Arial"/>
                  <w:sz w:val="17"/>
                  <w:szCs w:val="17"/>
                  <w:color w:val="0000EE"/>
                  <w:w w:val="88"/>
                </w:rPr>
                <w:t>English translation of Spousal Consents granted by the spouse of each of Mr. Jianhong Yin and Mr. Tongbo Liu dated August 15, 2017</w:t>
              </w:r>
            </w:hyperlink>
          </w:p>
        </w:tc>
        <w:tc>
          <w:tcPr>
            <w:tcW w:w="114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4.12</w:t>
            </w:r>
            <w:r>
              <w:rPr>
                <w:rFonts w:ascii="Arial" w:cs="Arial" w:eastAsia="Arial" w:hAnsi="Arial"/>
                <w:sz w:val="14"/>
                <w:szCs w:val="14"/>
                <w:color w:val="181717"/>
              </w:rPr>
              <w:t>(2)</w:t>
            </w:r>
          </w:p>
        </w:tc>
        <w:tc>
          <w:tcPr>
            <w:tcW w:w="120" w:type="dxa"/>
            <w:vAlign w:val="bottom"/>
          </w:tcPr>
          <w:p>
            <w:pPr>
              <w:spacing w:after="0"/>
              <w:rPr>
                <w:sz w:val="15"/>
                <w:szCs w:val="15"/>
                <w:color w:val="auto"/>
              </w:rPr>
            </w:pPr>
          </w:p>
        </w:tc>
        <w:tc>
          <w:tcPr>
            <w:tcW w:w="9320" w:type="dxa"/>
            <w:vAlign w:val="bottom"/>
            <w:tcBorders>
              <w:bottom w:val="single" w:sz="8" w:color="0000EE"/>
            </w:tcBorders>
            <w:gridSpan w:val="25"/>
          </w:tcPr>
          <w:p>
            <w:pPr>
              <w:spacing w:after="0" w:line="180" w:lineRule="exact"/>
              <w:rPr>
                <w:rFonts w:ascii="Arial" w:cs="Arial" w:eastAsia="Arial" w:hAnsi="Arial"/>
                <w:sz w:val="17"/>
                <w:szCs w:val="17"/>
                <w:color w:val="0000EE"/>
                <w:w w:val="88"/>
              </w:rPr>
            </w:pPr>
            <w:hyperlink r:id="rId148">
              <w:r>
                <w:rPr>
                  <w:rFonts w:ascii="Arial" w:cs="Arial" w:eastAsia="Arial" w:hAnsi="Arial"/>
                  <w:sz w:val="17"/>
                  <w:szCs w:val="17"/>
                  <w:color w:val="0000EE"/>
                  <w:w w:val="88"/>
                </w:rPr>
                <w:t>English translation of Exclusive Technical Consultation and Service Agreement among Wuhan Zhibo, Tianjin Shangde and Tianjin Shangde</w:t>
              </w:r>
            </w:hyperlink>
          </w:p>
        </w:tc>
        <w:tc>
          <w:tcPr>
            <w:tcW w:w="7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4.13</w:t>
            </w:r>
            <w:r>
              <w:rPr>
                <w:rFonts w:ascii="Arial" w:cs="Arial" w:eastAsia="Arial" w:hAnsi="Arial"/>
                <w:sz w:val="14"/>
                <w:szCs w:val="14"/>
                <w:color w:val="181717"/>
              </w:rPr>
              <w:t>(2)</w:t>
            </w:r>
          </w:p>
        </w:tc>
        <w:tc>
          <w:tcPr>
            <w:tcW w:w="120" w:type="dxa"/>
            <w:vAlign w:val="bottom"/>
          </w:tcPr>
          <w:p>
            <w:pPr>
              <w:spacing w:after="0"/>
              <w:rPr>
                <w:sz w:val="15"/>
                <w:szCs w:val="15"/>
                <w:color w:val="auto"/>
              </w:rPr>
            </w:pPr>
          </w:p>
        </w:tc>
        <w:tc>
          <w:tcPr>
            <w:tcW w:w="2560" w:type="dxa"/>
            <w:vAlign w:val="bottom"/>
            <w:tcBorders>
              <w:bottom w:val="single" w:sz="8" w:color="0000EE"/>
            </w:tcBorders>
            <w:gridSpan w:val="10"/>
          </w:tcPr>
          <w:p>
            <w:pPr>
              <w:spacing w:after="0" w:line="180" w:lineRule="exact"/>
              <w:rPr>
                <w:rFonts w:ascii="Arial" w:cs="Arial" w:eastAsia="Arial" w:hAnsi="Arial"/>
                <w:sz w:val="17"/>
                <w:szCs w:val="17"/>
                <w:color w:val="0000EE"/>
                <w:w w:val="86"/>
              </w:rPr>
            </w:pPr>
            <w:hyperlink r:id="rId148">
              <w:r>
                <w:rPr>
                  <w:rFonts w:ascii="Arial" w:cs="Arial" w:eastAsia="Arial" w:hAnsi="Arial"/>
                  <w:sz w:val="17"/>
                  <w:szCs w:val="17"/>
                  <w:color w:val="0000EE"/>
                  <w:w w:val="86"/>
                </w:rPr>
                <w:t>Subsidiaries dated December 28, 2020</w:t>
              </w:r>
            </w:hyperlink>
          </w:p>
        </w:tc>
        <w:tc>
          <w:tcPr>
            <w:tcW w:w="754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w w:val="90"/>
              </w:rPr>
            </w:pPr>
            <w:hyperlink r:id="rId149">
              <w:r>
                <w:rPr>
                  <w:rFonts w:ascii="Arial" w:cs="Arial" w:eastAsia="Arial" w:hAnsi="Arial"/>
                  <w:sz w:val="17"/>
                  <w:szCs w:val="17"/>
                  <w:color w:val="0000EE"/>
                  <w:w w:val="90"/>
                </w:rPr>
                <w:t>English translation of Business Operation Agreement among Wuhan Zhibo, Tianjin Shangde , Tianjin Shangde Subsidiaries and the shareholders of</w:t>
              </w:r>
            </w:hyperlink>
          </w:p>
        </w:tc>
        <w:tc>
          <w:tcPr>
            <w:tcW w:w="0" w:type="dxa"/>
            <w:vAlign w:val="bottom"/>
          </w:tcPr>
          <w:p>
            <w:pPr>
              <w:spacing w:after="0"/>
              <w:rPr>
                <w:sz w:val="1"/>
                <w:szCs w:val="1"/>
                <w:color w:val="auto"/>
              </w:rPr>
            </w:pPr>
          </w:p>
        </w:tc>
      </w:tr>
      <w:tr>
        <w:trPr>
          <w:trHeight w:val="179"/>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4.14</w:t>
            </w:r>
            <w:r>
              <w:rPr>
                <w:rFonts w:ascii="Arial" w:cs="Arial" w:eastAsia="Arial" w:hAnsi="Arial"/>
                <w:sz w:val="14"/>
                <w:szCs w:val="14"/>
                <w:color w:val="181717"/>
              </w:rPr>
              <w:t>(2)</w:t>
            </w:r>
          </w:p>
        </w:tc>
        <w:tc>
          <w:tcPr>
            <w:tcW w:w="120" w:type="dxa"/>
            <w:vAlign w:val="bottom"/>
          </w:tcPr>
          <w:p>
            <w:pPr>
              <w:spacing w:after="0"/>
              <w:rPr>
                <w:sz w:val="15"/>
                <w:szCs w:val="15"/>
                <w:color w:val="auto"/>
              </w:rPr>
            </w:pPr>
          </w:p>
        </w:tc>
        <w:tc>
          <w:tcPr>
            <w:tcW w:w="9800" w:type="dxa"/>
            <w:vAlign w:val="bottom"/>
            <w:tcBorders>
              <w:top w:val="single" w:sz="8" w:color="0000EE"/>
            </w:tcBorders>
            <w:gridSpan w:val="33"/>
          </w:tcPr>
          <w:p>
            <w:pPr>
              <w:spacing w:after="0" w:line="180" w:lineRule="exact"/>
              <w:rPr>
                <w:rFonts w:ascii="Arial" w:cs="Arial" w:eastAsia="Arial" w:hAnsi="Arial"/>
                <w:sz w:val="17"/>
                <w:szCs w:val="17"/>
                <w:color w:val="0000EE"/>
              </w:rPr>
            </w:pPr>
            <w:hyperlink r:id="rId149">
              <w:r>
                <w:rPr>
                  <w:rFonts w:ascii="Arial" w:cs="Arial" w:eastAsia="Arial" w:hAnsi="Arial"/>
                  <w:sz w:val="17"/>
                  <w:szCs w:val="17"/>
                  <w:color w:val="0000EE"/>
                </w:rPr>
                <w:t>Tianjin Shangde dated December 28, 2020</w:t>
              </w:r>
            </w:hyperlink>
          </w:p>
        </w:tc>
        <w:tc>
          <w:tcPr>
            <w:tcW w:w="3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w w:val="94"/>
              </w:rPr>
            </w:pPr>
            <w:hyperlink r:id="rId150">
              <w:r>
                <w:rPr>
                  <w:rFonts w:ascii="Arial" w:cs="Arial" w:eastAsia="Arial" w:hAnsi="Arial"/>
                  <w:sz w:val="17"/>
                  <w:szCs w:val="17"/>
                  <w:color w:val="0000EE"/>
                  <w:w w:val="94"/>
                </w:rPr>
                <w:t>English translation of Equity Interest Pledge Agreement among Wuhan Zhibo, Tianjin Shangde and the shareholders of Tianjin Shangde dated</w:t>
              </w:r>
            </w:hyperlink>
          </w:p>
        </w:tc>
        <w:tc>
          <w:tcPr>
            <w:tcW w:w="0" w:type="dxa"/>
            <w:vAlign w:val="bottom"/>
          </w:tcPr>
          <w:p>
            <w:pPr>
              <w:spacing w:after="0"/>
              <w:rPr>
                <w:sz w:val="1"/>
                <w:szCs w:val="1"/>
                <w:color w:val="auto"/>
              </w:rPr>
            </w:pPr>
          </w:p>
        </w:tc>
      </w:tr>
      <w:tr>
        <w:trPr>
          <w:trHeight w:val="179"/>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4.15</w:t>
            </w:r>
            <w:r>
              <w:rPr>
                <w:rFonts w:ascii="Arial" w:cs="Arial" w:eastAsia="Arial" w:hAnsi="Arial"/>
                <w:sz w:val="14"/>
                <w:szCs w:val="14"/>
                <w:color w:val="181717"/>
              </w:rPr>
              <w:t>(2)</w:t>
            </w:r>
          </w:p>
        </w:tc>
        <w:tc>
          <w:tcPr>
            <w:tcW w:w="12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5"/>
          </w:tcPr>
          <w:p>
            <w:pPr>
              <w:spacing w:after="0" w:line="180" w:lineRule="exact"/>
              <w:rPr>
                <w:rFonts w:ascii="Arial" w:cs="Arial" w:eastAsia="Arial" w:hAnsi="Arial"/>
                <w:sz w:val="17"/>
                <w:szCs w:val="17"/>
                <w:color w:val="0000EE"/>
                <w:w w:val="85"/>
              </w:rPr>
            </w:pPr>
            <w:hyperlink r:id="rId150">
              <w:r>
                <w:rPr>
                  <w:rFonts w:ascii="Arial" w:cs="Arial" w:eastAsia="Arial" w:hAnsi="Arial"/>
                  <w:sz w:val="17"/>
                  <w:szCs w:val="17"/>
                  <w:color w:val="0000EE"/>
                  <w:w w:val="85"/>
                </w:rPr>
                <w:t>December 28, 2020</w:t>
              </w:r>
            </w:hyperlink>
          </w:p>
        </w:tc>
        <w:tc>
          <w:tcPr>
            <w:tcW w:w="8140" w:type="dxa"/>
            <w:vAlign w:val="bottom"/>
            <w:tcBorders>
              <w:top w:val="single" w:sz="8" w:color="0000EE"/>
            </w:tcBorders>
            <w:gridSpan w:val="22"/>
          </w:tcPr>
          <w:p>
            <w:pPr>
              <w:spacing w:after="0"/>
              <w:rPr>
                <w:sz w:val="15"/>
                <w:szCs w:val="15"/>
                <w:color w:val="auto"/>
              </w:rPr>
            </w:pPr>
          </w:p>
        </w:tc>
        <w:tc>
          <w:tcPr>
            <w:tcW w:w="6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w w:val="91"/>
              </w:rPr>
            </w:pPr>
            <w:hyperlink r:id="rId151">
              <w:r>
                <w:rPr>
                  <w:rFonts w:ascii="Arial" w:cs="Arial" w:eastAsia="Arial" w:hAnsi="Arial"/>
                  <w:sz w:val="17"/>
                  <w:szCs w:val="17"/>
                  <w:color w:val="0000EE"/>
                  <w:w w:val="91"/>
                </w:rPr>
                <w:t>English translation of Option Agreement among Wuhan Zhibo, Tianjin Shangde and the shareholders of Tianjin Shangde dated December 28, 2020</w:t>
              </w:r>
            </w:hyperlink>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4.16</w:t>
            </w:r>
            <w:r>
              <w:rPr>
                <w:rFonts w:ascii="Arial" w:cs="Arial" w:eastAsia="Arial" w:hAnsi="Arial"/>
                <w:sz w:val="14"/>
                <w:szCs w:val="14"/>
                <w:color w:val="181717"/>
              </w:rPr>
              <w:t>(2)</w:t>
            </w:r>
          </w:p>
        </w:tc>
        <w:tc>
          <w:tcPr>
            <w:tcW w:w="120" w:type="dxa"/>
            <w:vAlign w:val="bottom"/>
          </w:tcPr>
          <w:p>
            <w:pPr>
              <w:spacing w:after="0"/>
              <w:rPr>
                <w:sz w:val="15"/>
                <w:szCs w:val="15"/>
                <w:color w:val="auto"/>
              </w:rPr>
            </w:pPr>
          </w:p>
        </w:tc>
        <w:tc>
          <w:tcPr>
            <w:tcW w:w="9780" w:type="dxa"/>
            <w:vAlign w:val="bottom"/>
            <w:tcBorders>
              <w:top w:val="single" w:sz="8" w:color="0000EE"/>
            </w:tcBorders>
            <w:gridSpan w:val="32"/>
          </w:tcPr>
          <w:p>
            <w:pPr>
              <w:spacing w:after="0" w:line="180" w:lineRule="exact"/>
              <w:rPr>
                <w:rFonts w:ascii="Arial" w:cs="Arial" w:eastAsia="Arial" w:hAnsi="Arial"/>
                <w:sz w:val="17"/>
                <w:szCs w:val="17"/>
                <w:color w:val="0000EE"/>
              </w:rPr>
            </w:pPr>
            <w:hyperlink r:id="rId152">
              <w:r>
                <w:rPr>
                  <w:rFonts w:ascii="Arial" w:cs="Arial" w:eastAsia="Arial" w:hAnsi="Arial"/>
                  <w:sz w:val="17"/>
                  <w:szCs w:val="17"/>
                  <w:color w:val="0000EE"/>
                </w:rPr>
                <w:t>English translation of Power of Attorney granted by the shareholders of Tianjin Shangde dated December 28, 2020</w:t>
              </w:r>
            </w:hyperlink>
          </w:p>
        </w:tc>
        <w:tc>
          <w:tcPr>
            <w:tcW w:w="3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160"/>
              <w:spacing w:after="0"/>
              <w:rPr>
                <w:sz w:val="20"/>
                <w:szCs w:val="20"/>
                <w:color w:val="auto"/>
              </w:rPr>
            </w:pPr>
            <w:r>
              <w:rPr>
                <w:rFonts w:ascii="Arial" w:cs="Arial" w:eastAsia="Arial" w:hAnsi="Arial"/>
                <w:sz w:val="17"/>
                <w:szCs w:val="17"/>
                <w:color w:val="181717"/>
              </w:rPr>
              <w:t>4.17</w:t>
            </w:r>
            <w:r>
              <w:rPr>
                <w:rFonts w:ascii="Arial" w:cs="Arial" w:eastAsia="Arial" w:hAnsi="Arial"/>
                <w:sz w:val="14"/>
                <w:szCs w:val="14"/>
                <w:color w:val="181717"/>
              </w:rPr>
              <w:t>(2)</w:t>
            </w:r>
          </w:p>
        </w:tc>
        <w:tc>
          <w:tcPr>
            <w:tcW w:w="1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940" w:type="dxa"/>
            <w:vAlign w:val="bottom"/>
            <w:gridSpan w:val="9"/>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160" w:type="dxa"/>
            <w:vAlign w:val="bottom"/>
            <w:tcBorders>
              <w:bottom w:val="single" w:sz="8" w:color="0000EE"/>
            </w:tcBorders>
            <w:gridSpan w:val="24"/>
          </w:tcPr>
          <w:p>
            <w:pPr>
              <w:spacing w:after="0" w:line="180" w:lineRule="exact"/>
              <w:rPr>
                <w:rFonts w:ascii="Arial" w:cs="Arial" w:eastAsia="Arial" w:hAnsi="Arial"/>
                <w:sz w:val="17"/>
                <w:szCs w:val="17"/>
                <w:color w:val="0000EE"/>
                <w:w w:val="88"/>
              </w:rPr>
            </w:pPr>
            <w:hyperlink r:id="rId153">
              <w:r>
                <w:rPr>
                  <w:rFonts w:ascii="Arial" w:cs="Arial" w:eastAsia="Arial" w:hAnsi="Arial"/>
                  <w:sz w:val="17"/>
                  <w:szCs w:val="17"/>
                  <w:color w:val="0000EE"/>
                  <w:w w:val="88"/>
                </w:rPr>
                <w:t>English translation of Spousal Consents granted by the spouse of each of Mr. Jianhong Yin and Mr. Tongbo Liu dated December 28, 2020</w:t>
              </w:r>
            </w:hyperlink>
          </w:p>
        </w:tc>
        <w:tc>
          <w:tcPr>
            <w:tcW w:w="9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4.18*</w:t>
            </w:r>
          </w:p>
        </w:tc>
        <w:tc>
          <w:tcPr>
            <w:tcW w:w="120" w:type="dxa"/>
            <w:vAlign w:val="bottom"/>
          </w:tcPr>
          <w:p>
            <w:pPr>
              <w:spacing w:after="0"/>
              <w:rPr>
                <w:sz w:val="15"/>
                <w:szCs w:val="15"/>
                <w:color w:val="auto"/>
              </w:rPr>
            </w:pPr>
          </w:p>
        </w:tc>
        <w:tc>
          <w:tcPr>
            <w:tcW w:w="9420" w:type="dxa"/>
            <w:vAlign w:val="bottom"/>
            <w:tcBorders>
              <w:bottom w:val="single" w:sz="8" w:color="0000EE"/>
            </w:tcBorders>
            <w:gridSpan w:val="26"/>
          </w:tcPr>
          <w:p>
            <w:pPr>
              <w:spacing w:after="0" w:line="180" w:lineRule="exact"/>
              <w:rPr>
                <w:rFonts w:ascii="Arial" w:cs="Arial" w:eastAsia="Arial" w:hAnsi="Arial"/>
                <w:sz w:val="17"/>
                <w:szCs w:val="17"/>
                <w:color w:val="0000EE"/>
                <w:w w:val="89"/>
              </w:rPr>
            </w:pPr>
            <w:hyperlink w:anchor="page151">
              <w:r>
                <w:rPr>
                  <w:rFonts w:ascii="Arial" w:cs="Arial" w:eastAsia="Arial" w:hAnsi="Arial"/>
                  <w:sz w:val="17"/>
                  <w:szCs w:val="17"/>
                  <w:color w:val="0000EE"/>
                  <w:w w:val="89"/>
                </w:rPr>
                <w:t>English translation of Exclusive Technical Consultation and Service Agreement among Tianjin Sunlands, Beijing Feibian and Beijing Feibian</w:t>
              </w:r>
            </w:hyperlink>
          </w:p>
        </w:tc>
        <w:tc>
          <w:tcPr>
            <w:tcW w:w="6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rPr>
            </w:pPr>
            <w:hyperlink w:anchor="page151">
              <w:r>
                <w:rPr>
                  <w:rFonts w:ascii="Arial" w:cs="Arial" w:eastAsia="Arial" w:hAnsi="Arial"/>
                  <w:sz w:val="17"/>
                  <w:szCs w:val="17"/>
                  <w:color w:val="0000EE"/>
                </w:rPr>
                <w:t>Subsidiaries dated February 21,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60" w:type="dxa"/>
            <w:vAlign w:val="bottom"/>
            <w:gridSpan w:val="17"/>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4.19*</w:t>
            </w:r>
          </w:p>
        </w:tc>
        <w:tc>
          <w:tcPr>
            <w:tcW w:w="120" w:type="dxa"/>
            <w:vAlign w:val="bottom"/>
          </w:tcPr>
          <w:p>
            <w:pPr>
              <w:spacing w:after="0"/>
              <w:rPr>
                <w:sz w:val="15"/>
                <w:szCs w:val="15"/>
                <w:color w:val="auto"/>
              </w:rPr>
            </w:pPr>
          </w:p>
        </w:tc>
        <w:tc>
          <w:tcPr>
            <w:tcW w:w="9860" w:type="dxa"/>
            <w:vAlign w:val="bottom"/>
            <w:tcBorders>
              <w:bottom w:val="single" w:sz="8" w:color="0000EE"/>
            </w:tcBorders>
            <w:gridSpan w:val="34"/>
          </w:tcPr>
          <w:p>
            <w:pPr>
              <w:spacing w:after="0" w:line="180" w:lineRule="exact"/>
              <w:rPr>
                <w:rFonts w:ascii="Arial" w:cs="Arial" w:eastAsia="Arial" w:hAnsi="Arial"/>
                <w:sz w:val="17"/>
                <w:szCs w:val="17"/>
                <w:color w:val="0000EE"/>
                <w:w w:val="88"/>
              </w:rPr>
            </w:pPr>
            <w:hyperlink w:anchor="page159">
              <w:r>
                <w:rPr>
                  <w:rFonts w:ascii="Arial" w:cs="Arial" w:eastAsia="Arial" w:hAnsi="Arial"/>
                  <w:sz w:val="17"/>
                  <w:szCs w:val="17"/>
                  <w:color w:val="0000EE"/>
                  <w:w w:val="88"/>
                </w:rPr>
                <w:t>English translation of Business Operation Agreement among Tianjin Sunlands, Beijing Feibian, Beijing Feibian Subsidiaries and the shareholders of</w:t>
              </w:r>
            </w:hyperlink>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rPr>
            </w:pPr>
            <w:hyperlink w:anchor="page159">
              <w:r>
                <w:rPr>
                  <w:rFonts w:ascii="Arial" w:cs="Arial" w:eastAsia="Arial" w:hAnsi="Arial"/>
                  <w:sz w:val="17"/>
                  <w:szCs w:val="17"/>
                  <w:color w:val="0000EE"/>
                </w:rPr>
                <w:t>Beijing Feibian dated February 21,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6860" w:type="dxa"/>
            <w:vAlign w:val="bottom"/>
            <w:gridSpan w:val="17"/>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20" w:type="dxa"/>
            <w:vAlign w:val="bottom"/>
          </w:tcPr>
          <w:p>
            <w:pPr>
              <w:ind w:left="160"/>
              <w:spacing w:after="0" w:line="180" w:lineRule="exact"/>
              <w:rPr>
                <w:sz w:val="20"/>
                <w:szCs w:val="20"/>
                <w:color w:val="auto"/>
              </w:rPr>
            </w:pPr>
            <w:r>
              <w:rPr>
                <w:rFonts w:ascii="Arial" w:cs="Arial" w:eastAsia="Arial" w:hAnsi="Arial"/>
                <w:sz w:val="17"/>
                <w:szCs w:val="17"/>
                <w:color w:val="181717"/>
              </w:rPr>
              <w:t>4.20*</w:t>
            </w:r>
          </w:p>
        </w:tc>
        <w:tc>
          <w:tcPr>
            <w:tcW w:w="120" w:type="dxa"/>
            <w:vAlign w:val="bottom"/>
          </w:tcPr>
          <w:p>
            <w:pPr>
              <w:spacing w:after="0"/>
              <w:rPr>
                <w:sz w:val="15"/>
                <w:szCs w:val="15"/>
                <w:color w:val="auto"/>
              </w:rPr>
            </w:pPr>
          </w:p>
        </w:tc>
        <w:tc>
          <w:tcPr>
            <w:tcW w:w="10100" w:type="dxa"/>
            <w:vAlign w:val="bottom"/>
            <w:gridSpan w:val="37"/>
          </w:tcPr>
          <w:p>
            <w:pPr>
              <w:spacing w:after="0" w:line="180" w:lineRule="exact"/>
              <w:rPr>
                <w:rFonts w:ascii="Arial" w:cs="Arial" w:eastAsia="Arial" w:hAnsi="Arial"/>
                <w:sz w:val="17"/>
                <w:szCs w:val="17"/>
                <w:color w:val="0000EE"/>
                <w:w w:val="94"/>
              </w:rPr>
            </w:pPr>
            <w:hyperlink w:anchor="page172">
              <w:r>
                <w:rPr>
                  <w:rFonts w:ascii="Arial" w:cs="Arial" w:eastAsia="Arial" w:hAnsi="Arial"/>
                  <w:sz w:val="17"/>
                  <w:szCs w:val="17"/>
                  <w:color w:val="0000EE"/>
                  <w:w w:val="94"/>
                </w:rPr>
                <w:t>English translation of Equity Interest Pledge Agreement among Tianjin Sunlands, Beijing Feibian and the shareholders of Beijing Feibian dated</w:t>
              </w:r>
            </w:hyperlink>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40" w:type="dxa"/>
            <w:vAlign w:val="bottom"/>
            <w:tcBorders>
              <w:top w:val="single" w:sz="8" w:color="0000EE"/>
            </w:tcBorders>
            <w:gridSpan w:val="28"/>
          </w:tcPr>
          <w:p>
            <w:pPr>
              <w:spacing w:after="0" w:line="180" w:lineRule="exact"/>
              <w:rPr>
                <w:rFonts w:ascii="Arial" w:cs="Arial" w:eastAsia="Arial" w:hAnsi="Arial"/>
                <w:sz w:val="17"/>
                <w:szCs w:val="17"/>
                <w:color w:val="0000EE"/>
              </w:rPr>
            </w:pPr>
            <w:hyperlink w:anchor="page172">
              <w:r>
                <w:rPr>
                  <w:rFonts w:ascii="Arial" w:cs="Arial" w:eastAsia="Arial" w:hAnsi="Arial"/>
                  <w:sz w:val="17"/>
                  <w:szCs w:val="17"/>
                  <w:color w:val="0000EE"/>
                </w:rPr>
                <w:t>February 21, 2021</w:t>
              </w:r>
            </w:hyperlink>
          </w:p>
        </w:tc>
        <w:tc>
          <w:tcPr>
            <w:tcW w:w="5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10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200" w:type="dxa"/>
            <w:vAlign w:val="bottom"/>
            <w:tcBorders>
              <w:top w:val="single" w:sz="8" w:color="0000EE"/>
            </w:tcBorders>
            <w:gridSpan w:val="3"/>
          </w:tcPr>
          <w:p>
            <w:pPr>
              <w:spacing w:after="0"/>
              <w:rPr>
                <w:sz w:val="24"/>
                <w:szCs w:val="24"/>
                <w:color w:val="auto"/>
              </w:rPr>
            </w:pPr>
          </w:p>
        </w:tc>
        <w:tc>
          <w:tcPr>
            <w:tcW w:w="3500" w:type="dxa"/>
            <w:vAlign w:val="bottom"/>
            <w:gridSpan w:val="10"/>
          </w:tcPr>
          <w:p>
            <w:pPr>
              <w:ind w:left="3140"/>
              <w:spacing w:after="0"/>
              <w:rPr>
                <w:sz w:val="20"/>
                <w:szCs w:val="20"/>
                <w:color w:val="auto"/>
              </w:rPr>
            </w:pPr>
            <w:r>
              <w:rPr>
                <w:rFonts w:ascii="Arial" w:cs="Arial" w:eastAsia="Arial" w:hAnsi="Arial"/>
                <w:sz w:val="17"/>
                <w:szCs w:val="17"/>
                <w:color w:val="181717"/>
              </w:rPr>
              <w:t>107</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0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5"/>
        </w:trPr>
        <w:tc>
          <w:tcPr>
            <w:tcW w:w="1140" w:type="dxa"/>
            <w:vAlign w:val="bottom"/>
          </w:tcPr>
          <w:p>
            <w:pPr>
              <w:jc w:val="right"/>
              <w:ind w:right="517"/>
              <w:spacing w:after="0"/>
              <w:rPr>
                <w:sz w:val="20"/>
                <w:szCs w:val="20"/>
                <w:color w:val="auto"/>
              </w:rPr>
            </w:pPr>
            <w:r>
              <w:rPr>
                <w:rFonts w:ascii="Arial" w:cs="Arial" w:eastAsia="Arial" w:hAnsi="Arial"/>
                <w:sz w:val="17"/>
                <w:szCs w:val="17"/>
                <w:color w:val="181717"/>
              </w:rPr>
              <w:t>4.21*</w:t>
            </w:r>
          </w:p>
        </w:tc>
        <w:tc>
          <w:tcPr>
            <w:tcW w:w="9800" w:type="dxa"/>
            <w:vAlign w:val="bottom"/>
            <w:tcBorders>
              <w:bottom w:val="single" w:sz="8" w:color="0000EE"/>
            </w:tcBorders>
            <w:gridSpan w:val="35"/>
          </w:tcPr>
          <w:p>
            <w:pPr>
              <w:spacing w:after="0"/>
              <w:rPr>
                <w:rFonts w:ascii="Arial" w:cs="Arial" w:eastAsia="Arial" w:hAnsi="Arial"/>
                <w:sz w:val="17"/>
                <w:szCs w:val="17"/>
                <w:color w:val="0000EE"/>
                <w:w w:val="88"/>
              </w:rPr>
            </w:pPr>
            <w:hyperlink w:anchor="page184">
              <w:r>
                <w:rPr>
                  <w:rFonts w:ascii="Arial" w:cs="Arial" w:eastAsia="Arial" w:hAnsi="Arial"/>
                  <w:sz w:val="17"/>
                  <w:szCs w:val="17"/>
                  <w:color w:val="0000EE"/>
                  <w:w w:val="88"/>
                </w:rPr>
                <w:t xml:space="preserve">English translation of Option Agreement among Tianjin Sunlands, Beijing Feibian and the shareholders of </w:t>
              </w:r>
              <w:r>
                <w:rPr>
                  <w:rFonts w:ascii="Arial" w:cs="Arial" w:eastAsia="Arial" w:hAnsi="Arial"/>
                  <w:sz w:val="17"/>
                  <w:szCs w:val="17"/>
                  <w:color w:val="181717"/>
                  <w:w w:val="88"/>
                </w:rPr>
                <w:t>Beijing Feibian dated February 21, 2021</w:t>
              </w:r>
            </w:hyperlink>
          </w:p>
        </w:tc>
        <w:tc>
          <w:tcPr>
            <w:tcW w:w="300" w:type="dxa"/>
            <w:vAlign w:val="bottom"/>
            <w:gridSpan w:val="10"/>
          </w:tcPr>
          <w:p>
            <w:pPr>
              <w:spacing w:after="0"/>
              <w:rPr>
                <w:sz w:val="16"/>
                <w:szCs w:val="16"/>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4.22*</w:t>
            </w:r>
          </w:p>
        </w:tc>
        <w:tc>
          <w:tcPr>
            <w:tcW w:w="10100" w:type="dxa"/>
            <w:vAlign w:val="bottom"/>
            <w:gridSpan w:val="45"/>
          </w:tcPr>
          <w:p>
            <w:pPr>
              <w:spacing w:after="0" w:line="180" w:lineRule="exact"/>
              <w:rPr>
                <w:rFonts w:ascii="Arial" w:cs="Arial" w:eastAsia="Arial" w:hAnsi="Arial"/>
                <w:sz w:val="17"/>
                <w:szCs w:val="17"/>
                <w:color w:val="0000EE"/>
              </w:rPr>
            </w:pPr>
            <w:hyperlink w:anchor="page195">
              <w:r>
                <w:rPr>
                  <w:rFonts w:ascii="Arial" w:cs="Arial" w:eastAsia="Arial" w:hAnsi="Arial"/>
                  <w:sz w:val="17"/>
                  <w:szCs w:val="17"/>
                  <w:color w:val="0000EE"/>
                </w:rPr>
                <w:t>English translation of Power of Attorney granted by the shareholders of Beijing Feibian dated February 21, 2021</w:t>
              </w:r>
            </w:hyperlink>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4.23*</w:t>
            </w:r>
          </w:p>
        </w:tc>
        <w:tc>
          <w:tcPr>
            <w:tcW w:w="9480" w:type="dxa"/>
            <w:vAlign w:val="bottom"/>
            <w:tcBorders>
              <w:bottom w:val="single" w:sz="8" w:color="0000EE"/>
            </w:tcBorders>
            <w:gridSpan w:val="27"/>
          </w:tcPr>
          <w:p>
            <w:pPr>
              <w:spacing w:after="0" w:line="180" w:lineRule="exact"/>
              <w:rPr>
                <w:rFonts w:ascii="Arial" w:cs="Arial" w:eastAsia="Arial" w:hAnsi="Arial"/>
                <w:sz w:val="17"/>
                <w:szCs w:val="17"/>
                <w:color w:val="0000EE"/>
                <w:w w:val="88"/>
              </w:rPr>
            </w:pPr>
            <w:hyperlink w:anchor="page197">
              <w:r>
                <w:rPr>
                  <w:rFonts w:ascii="Arial" w:cs="Arial" w:eastAsia="Arial" w:hAnsi="Arial"/>
                  <w:sz w:val="17"/>
                  <w:szCs w:val="17"/>
                  <w:color w:val="0000EE"/>
                  <w:w w:val="88"/>
                </w:rPr>
                <w:t>English translation of Exclusive Technical Consultation and Service Agreement among Wuhan Zhibo, Beijing Odysseus and Beijing Odysseus</w:t>
              </w:r>
            </w:hyperlink>
          </w:p>
        </w:tc>
        <w:tc>
          <w:tcPr>
            <w:tcW w:w="620" w:type="dxa"/>
            <w:vAlign w:val="bottom"/>
            <w:gridSpan w:val="18"/>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10100" w:type="dxa"/>
            <w:vAlign w:val="bottom"/>
            <w:gridSpan w:val="45"/>
          </w:tcPr>
          <w:p>
            <w:pPr>
              <w:spacing w:after="0" w:line="180" w:lineRule="exact"/>
              <w:rPr>
                <w:rFonts w:ascii="Arial" w:cs="Arial" w:eastAsia="Arial" w:hAnsi="Arial"/>
                <w:sz w:val="17"/>
                <w:szCs w:val="17"/>
                <w:color w:val="0000EE"/>
              </w:rPr>
            </w:pPr>
            <w:hyperlink w:anchor="page197">
              <w:r>
                <w:rPr>
                  <w:rFonts w:ascii="Arial" w:cs="Arial" w:eastAsia="Arial" w:hAnsi="Arial"/>
                  <w:sz w:val="17"/>
                  <w:szCs w:val="17"/>
                  <w:color w:val="0000EE"/>
                </w:rPr>
                <w:t>Subsidiaries dated August 5, 2020</w:t>
              </w:r>
            </w:hyperlink>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4.24*</w:t>
            </w:r>
          </w:p>
        </w:tc>
        <w:tc>
          <w:tcPr>
            <w:tcW w:w="10100" w:type="dxa"/>
            <w:vAlign w:val="bottom"/>
            <w:gridSpan w:val="45"/>
          </w:tcPr>
          <w:p>
            <w:pPr>
              <w:spacing w:after="0" w:line="180" w:lineRule="exact"/>
              <w:rPr>
                <w:rFonts w:ascii="Arial" w:cs="Arial" w:eastAsia="Arial" w:hAnsi="Arial"/>
                <w:sz w:val="17"/>
                <w:szCs w:val="17"/>
                <w:color w:val="0000EE"/>
                <w:w w:val="89"/>
              </w:rPr>
            </w:pPr>
            <w:hyperlink w:anchor="page205">
              <w:r>
                <w:rPr>
                  <w:rFonts w:ascii="Arial" w:cs="Arial" w:eastAsia="Arial" w:hAnsi="Arial"/>
                  <w:sz w:val="17"/>
                  <w:szCs w:val="17"/>
                  <w:color w:val="0000EE"/>
                  <w:w w:val="89"/>
                </w:rPr>
                <w:t>English translation of Business Operation Agreement among Wuhan Zhibo, Beijing Odysseus, Beijing Odysseus Subsidiaries and the shareholders of</w:t>
              </w:r>
            </w:hyperlink>
          </w:p>
        </w:tc>
      </w:tr>
      <w:tr>
        <w:trPr>
          <w:trHeight w:val="179"/>
        </w:trPr>
        <w:tc>
          <w:tcPr>
            <w:tcW w:w="1140" w:type="dxa"/>
            <w:vAlign w:val="bottom"/>
          </w:tcPr>
          <w:p>
            <w:pPr>
              <w:spacing w:after="0"/>
              <w:rPr>
                <w:sz w:val="15"/>
                <w:szCs w:val="15"/>
                <w:color w:val="auto"/>
              </w:rPr>
            </w:pPr>
          </w:p>
        </w:tc>
        <w:tc>
          <w:tcPr>
            <w:tcW w:w="9920" w:type="dxa"/>
            <w:vAlign w:val="bottom"/>
            <w:tcBorders>
              <w:top w:val="single" w:sz="8" w:color="0000EE"/>
            </w:tcBorders>
            <w:gridSpan w:val="38"/>
          </w:tcPr>
          <w:p>
            <w:pPr>
              <w:spacing w:after="0" w:line="180" w:lineRule="exact"/>
              <w:rPr>
                <w:rFonts w:ascii="Arial" w:cs="Arial" w:eastAsia="Arial" w:hAnsi="Arial"/>
                <w:sz w:val="17"/>
                <w:szCs w:val="17"/>
                <w:color w:val="0000EE"/>
              </w:rPr>
            </w:pPr>
            <w:hyperlink w:anchor="page205">
              <w:r>
                <w:rPr>
                  <w:rFonts w:ascii="Arial" w:cs="Arial" w:eastAsia="Arial" w:hAnsi="Arial"/>
                  <w:sz w:val="17"/>
                  <w:szCs w:val="17"/>
                  <w:color w:val="0000EE"/>
                </w:rPr>
                <w:t>Beijing Odysseus dated August 5, 2020</w:t>
              </w:r>
            </w:hyperlink>
          </w:p>
        </w:tc>
        <w:tc>
          <w:tcPr>
            <w:tcW w:w="180" w:type="dxa"/>
            <w:vAlign w:val="bottom"/>
            <w:gridSpan w:val="7"/>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4.25*</w:t>
            </w:r>
          </w:p>
        </w:tc>
        <w:tc>
          <w:tcPr>
            <w:tcW w:w="10100" w:type="dxa"/>
            <w:vAlign w:val="bottom"/>
            <w:gridSpan w:val="45"/>
          </w:tcPr>
          <w:p>
            <w:pPr>
              <w:spacing w:after="0" w:line="180" w:lineRule="exact"/>
              <w:rPr>
                <w:rFonts w:ascii="Arial" w:cs="Arial" w:eastAsia="Arial" w:hAnsi="Arial"/>
                <w:sz w:val="17"/>
                <w:szCs w:val="17"/>
                <w:color w:val="0000EE"/>
                <w:w w:val="92"/>
              </w:rPr>
            </w:pPr>
            <w:hyperlink w:anchor="page212">
              <w:r>
                <w:rPr>
                  <w:rFonts w:ascii="Arial" w:cs="Arial" w:eastAsia="Arial" w:hAnsi="Arial"/>
                  <w:sz w:val="17"/>
                  <w:szCs w:val="17"/>
                  <w:color w:val="0000EE"/>
                  <w:w w:val="92"/>
                </w:rPr>
                <w:t>English translation of Equity Interest Pledge Agreement among Wuhan Zhibo, Beijing Odysseus and the shareholders of Beijing Odysseus dated</w:t>
              </w:r>
            </w:hyperlink>
          </w:p>
        </w:tc>
      </w:tr>
      <w:tr>
        <w:trPr>
          <w:trHeight w:val="179"/>
        </w:trPr>
        <w:tc>
          <w:tcPr>
            <w:tcW w:w="114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2"/>
          </w:tcPr>
          <w:p>
            <w:pPr>
              <w:spacing w:after="0" w:line="180" w:lineRule="exact"/>
              <w:rPr>
                <w:rFonts w:ascii="Arial" w:cs="Arial" w:eastAsia="Arial" w:hAnsi="Arial"/>
                <w:sz w:val="17"/>
                <w:szCs w:val="17"/>
                <w:color w:val="0000EE"/>
                <w:w w:val="87"/>
              </w:rPr>
            </w:pPr>
            <w:hyperlink w:anchor="page212">
              <w:r>
                <w:rPr>
                  <w:rFonts w:ascii="Arial" w:cs="Arial" w:eastAsia="Arial" w:hAnsi="Arial"/>
                  <w:sz w:val="17"/>
                  <w:szCs w:val="17"/>
                  <w:color w:val="0000EE"/>
                  <w:w w:val="87"/>
                </w:rPr>
                <w:t>August 5, 2020</w:t>
              </w:r>
            </w:hyperlink>
          </w:p>
        </w:tc>
        <w:tc>
          <w:tcPr>
            <w:tcW w:w="8580" w:type="dxa"/>
            <w:vAlign w:val="bottom"/>
            <w:tcBorders>
              <w:top w:val="single" w:sz="8" w:color="0000EE"/>
            </w:tcBorders>
            <w:gridSpan w:val="27"/>
          </w:tcPr>
          <w:p>
            <w:pPr>
              <w:spacing w:after="0"/>
              <w:rPr>
                <w:sz w:val="15"/>
                <w:szCs w:val="15"/>
                <w:color w:val="auto"/>
              </w:rPr>
            </w:pPr>
          </w:p>
        </w:tc>
        <w:tc>
          <w:tcPr>
            <w:tcW w:w="500" w:type="dxa"/>
            <w:vAlign w:val="bottom"/>
            <w:gridSpan w:val="16"/>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4.26*</w:t>
            </w:r>
          </w:p>
        </w:tc>
        <w:tc>
          <w:tcPr>
            <w:tcW w:w="9660" w:type="dxa"/>
            <w:vAlign w:val="bottom"/>
            <w:tcBorders>
              <w:bottom w:val="single" w:sz="8" w:color="0000EE"/>
            </w:tcBorders>
            <w:gridSpan w:val="31"/>
          </w:tcPr>
          <w:p>
            <w:pPr>
              <w:spacing w:after="0" w:line="180" w:lineRule="exact"/>
              <w:rPr>
                <w:rFonts w:ascii="Arial" w:cs="Arial" w:eastAsia="Arial" w:hAnsi="Arial"/>
                <w:sz w:val="17"/>
                <w:szCs w:val="17"/>
                <w:color w:val="0000EE"/>
                <w:w w:val="88"/>
              </w:rPr>
            </w:pPr>
            <w:hyperlink w:anchor="page223">
              <w:r>
                <w:rPr>
                  <w:rFonts w:ascii="Arial" w:cs="Arial" w:eastAsia="Arial" w:hAnsi="Arial"/>
                  <w:sz w:val="17"/>
                  <w:szCs w:val="17"/>
                  <w:color w:val="0000EE"/>
                  <w:w w:val="88"/>
                </w:rPr>
                <w:t>English translation of Option Agreement among Wuhan Zhibo, Beijing Odysseus and the shareholders of Beijing Odysseus dated August 5, 2020</w:t>
              </w:r>
            </w:hyperlink>
          </w:p>
        </w:tc>
        <w:tc>
          <w:tcPr>
            <w:tcW w:w="440" w:type="dxa"/>
            <w:vAlign w:val="bottom"/>
            <w:gridSpan w:val="14"/>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4.27*</w:t>
            </w:r>
          </w:p>
        </w:tc>
        <w:tc>
          <w:tcPr>
            <w:tcW w:w="10100" w:type="dxa"/>
            <w:vAlign w:val="bottom"/>
            <w:gridSpan w:val="45"/>
          </w:tcPr>
          <w:p>
            <w:pPr>
              <w:spacing w:after="0" w:line="180" w:lineRule="exact"/>
              <w:rPr>
                <w:rFonts w:ascii="Arial" w:cs="Arial" w:eastAsia="Arial" w:hAnsi="Arial"/>
                <w:sz w:val="17"/>
                <w:szCs w:val="17"/>
                <w:color w:val="0000EE"/>
              </w:rPr>
            </w:pPr>
            <w:hyperlink w:anchor="page233">
              <w:r>
                <w:rPr>
                  <w:rFonts w:ascii="Arial" w:cs="Arial" w:eastAsia="Arial" w:hAnsi="Arial"/>
                  <w:sz w:val="17"/>
                  <w:szCs w:val="17"/>
                  <w:color w:val="0000EE"/>
                </w:rPr>
                <w:t>English translation of Power of Attorney granted by the shareholders of Beijing Odysseus dated August 5, 2020</w:t>
              </w:r>
            </w:hyperlink>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4.28*</w:t>
            </w:r>
          </w:p>
        </w:tc>
        <w:tc>
          <w:tcPr>
            <w:tcW w:w="7480" w:type="dxa"/>
            <w:vAlign w:val="bottom"/>
            <w:tcBorders>
              <w:top w:val="single" w:sz="8" w:color="0000EE"/>
            </w:tcBorders>
            <w:gridSpan w:val="19"/>
          </w:tcPr>
          <w:p>
            <w:pPr>
              <w:spacing w:after="0" w:line="180" w:lineRule="exact"/>
              <w:rPr>
                <w:rFonts w:ascii="Arial" w:cs="Arial" w:eastAsia="Arial" w:hAnsi="Arial"/>
                <w:sz w:val="17"/>
                <w:szCs w:val="17"/>
                <w:color w:val="0000EE"/>
              </w:rPr>
            </w:pPr>
            <w:hyperlink w:anchor="page235">
              <w:r>
                <w:rPr>
                  <w:rFonts w:ascii="Arial" w:cs="Arial" w:eastAsia="Arial" w:hAnsi="Arial"/>
                  <w:sz w:val="17"/>
                  <w:szCs w:val="17"/>
                  <w:color w:val="0000EE"/>
                </w:rPr>
                <w:t>English translation of Spousal Consents dated August 5, 2020</w:t>
              </w:r>
            </w:hyperlink>
          </w:p>
        </w:tc>
        <w:tc>
          <w:tcPr>
            <w:tcW w:w="2620" w:type="dxa"/>
            <w:vAlign w:val="bottom"/>
            <w:gridSpan w:val="26"/>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4.29*</w:t>
            </w:r>
          </w:p>
        </w:tc>
        <w:tc>
          <w:tcPr>
            <w:tcW w:w="10100" w:type="dxa"/>
            <w:vAlign w:val="bottom"/>
            <w:gridSpan w:val="45"/>
          </w:tcPr>
          <w:p>
            <w:pPr>
              <w:spacing w:after="0" w:line="180" w:lineRule="exact"/>
              <w:rPr>
                <w:rFonts w:ascii="Arial" w:cs="Arial" w:eastAsia="Arial" w:hAnsi="Arial"/>
                <w:sz w:val="17"/>
                <w:szCs w:val="17"/>
                <w:color w:val="0000EE"/>
                <w:w w:val="97"/>
              </w:rPr>
            </w:pPr>
            <w:hyperlink w:anchor="page237">
              <w:r>
                <w:rPr>
                  <w:rFonts w:ascii="Arial" w:cs="Arial" w:eastAsia="Arial" w:hAnsi="Arial"/>
                  <w:sz w:val="17"/>
                  <w:szCs w:val="17"/>
                  <w:color w:val="0000EE"/>
                  <w:w w:val="97"/>
                </w:rPr>
                <w:t>English translation of Exclusive Technical Consultation and Service Agreement among Tianjin Sunlands, Beijing Zhiziyuanshui and Beijing</w:t>
              </w:r>
            </w:hyperlink>
          </w:p>
        </w:tc>
      </w:tr>
      <w:tr>
        <w:trPr>
          <w:trHeight w:val="179"/>
        </w:trPr>
        <w:tc>
          <w:tcPr>
            <w:tcW w:w="1140" w:type="dxa"/>
            <w:vAlign w:val="bottom"/>
          </w:tcPr>
          <w:p>
            <w:pPr>
              <w:spacing w:after="0"/>
              <w:rPr>
                <w:sz w:val="15"/>
                <w:szCs w:val="15"/>
                <w:color w:val="auto"/>
              </w:rPr>
            </w:pPr>
          </w:p>
        </w:tc>
        <w:tc>
          <w:tcPr>
            <w:tcW w:w="9320" w:type="dxa"/>
            <w:vAlign w:val="bottom"/>
            <w:tcBorders>
              <w:top w:val="single" w:sz="8" w:color="0000EE"/>
            </w:tcBorders>
            <w:gridSpan w:val="24"/>
          </w:tcPr>
          <w:p>
            <w:pPr>
              <w:spacing w:after="0" w:line="180" w:lineRule="exact"/>
              <w:rPr>
                <w:rFonts w:ascii="Arial" w:cs="Arial" w:eastAsia="Arial" w:hAnsi="Arial"/>
                <w:sz w:val="17"/>
                <w:szCs w:val="17"/>
                <w:color w:val="0000EE"/>
              </w:rPr>
            </w:pPr>
            <w:hyperlink w:anchor="page237">
              <w:r>
                <w:rPr>
                  <w:rFonts w:ascii="Arial" w:cs="Arial" w:eastAsia="Arial" w:hAnsi="Arial"/>
                  <w:sz w:val="17"/>
                  <w:szCs w:val="17"/>
                  <w:color w:val="0000EE"/>
                </w:rPr>
                <w:t>Zhiziyuanshui Subsidiaries dated December 28, 2020</w:t>
              </w:r>
            </w:hyperlink>
          </w:p>
        </w:tc>
        <w:tc>
          <w:tcPr>
            <w:tcW w:w="780" w:type="dxa"/>
            <w:vAlign w:val="bottom"/>
            <w:gridSpan w:val="21"/>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4.30*</w:t>
            </w:r>
          </w:p>
        </w:tc>
        <w:tc>
          <w:tcPr>
            <w:tcW w:w="10100" w:type="dxa"/>
            <w:vAlign w:val="bottom"/>
            <w:gridSpan w:val="45"/>
          </w:tcPr>
          <w:p>
            <w:pPr>
              <w:spacing w:after="0" w:line="180" w:lineRule="exact"/>
              <w:rPr>
                <w:rFonts w:ascii="Arial" w:cs="Arial" w:eastAsia="Arial" w:hAnsi="Arial"/>
                <w:sz w:val="17"/>
                <w:szCs w:val="17"/>
                <w:color w:val="0000EE"/>
                <w:w w:val="93"/>
              </w:rPr>
            </w:pPr>
            <w:hyperlink w:anchor="page247">
              <w:r>
                <w:rPr>
                  <w:rFonts w:ascii="Arial" w:cs="Arial" w:eastAsia="Arial" w:hAnsi="Arial"/>
                  <w:sz w:val="17"/>
                  <w:szCs w:val="17"/>
                  <w:color w:val="0000EE"/>
                  <w:w w:val="93"/>
                </w:rPr>
                <w:t>English translation of Business Operation Agreement among Tianjin Sunlands, Beijing Zhiziyuanshui, Beijing Zhiziyuanshui Subsidiaries and the</w:t>
              </w:r>
            </w:hyperlink>
          </w:p>
        </w:tc>
      </w:tr>
      <w:tr>
        <w:trPr>
          <w:trHeight w:val="179"/>
        </w:trPr>
        <w:tc>
          <w:tcPr>
            <w:tcW w:w="1140" w:type="dxa"/>
            <w:vAlign w:val="bottom"/>
          </w:tcPr>
          <w:p>
            <w:pPr>
              <w:spacing w:after="0"/>
              <w:rPr>
                <w:sz w:val="15"/>
                <w:szCs w:val="15"/>
                <w:color w:val="auto"/>
              </w:rPr>
            </w:pPr>
          </w:p>
        </w:tc>
        <w:tc>
          <w:tcPr>
            <w:tcW w:w="9700" w:type="dxa"/>
            <w:vAlign w:val="bottom"/>
            <w:tcBorders>
              <w:top w:val="single" w:sz="8" w:color="0000EE"/>
            </w:tcBorders>
            <w:gridSpan w:val="32"/>
          </w:tcPr>
          <w:p>
            <w:pPr>
              <w:spacing w:after="0" w:line="180" w:lineRule="exact"/>
              <w:rPr>
                <w:rFonts w:ascii="Arial" w:cs="Arial" w:eastAsia="Arial" w:hAnsi="Arial"/>
                <w:sz w:val="17"/>
                <w:szCs w:val="17"/>
                <w:color w:val="0000EE"/>
              </w:rPr>
            </w:pPr>
            <w:hyperlink w:anchor="page247">
              <w:r>
                <w:rPr>
                  <w:rFonts w:ascii="Arial" w:cs="Arial" w:eastAsia="Arial" w:hAnsi="Arial"/>
                  <w:sz w:val="17"/>
                  <w:szCs w:val="17"/>
                  <w:color w:val="0000EE"/>
                </w:rPr>
                <w:t>shareholders of Beijing Zhiziyuanshui dated December 28, 2020</w:t>
              </w:r>
            </w:hyperlink>
          </w:p>
        </w:tc>
        <w:tc>
          <w:tcPr>
            <w:tcW w:w="400" w:type="dxa"/>
            <w:vAlign w:val="bottom"/>
            <w:gridSpan w:val="1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4.31*</w:t>
            </w:r>
          </w:p>
        </w:tc>
        <w:tc>
          <w:tcPr>
            <w:tcW w:w="10100" w:type="dxa"/>
            <w:vAlign w:val="bottom"/>
            <w:gridSpan w:val="45"/>
          </w:tcPr>
          <w:p>
            <w:pPr>
              <w:spacing w:after="0" w:line="180" w:lineRule="exact"/>
              <w:rPr>
                <w:rFonts w:ascii="Arial" w:cs="Arial" w:eastAsia="Arial" w:hAnsi="Arial"/>
                <w:sz w:val="17"/>
                <w:szCs w:val="17"/>
                <w:color w:val="0000EE"/>
                <w:w w:val="89"/>
              </w:rPr>
            </w:pPr>
            <w:hyperlink w:anchor="page255">
              <w:r>
                <w:rPr>
                  <w:rFonts w:ascii="Arial" w:cs="Arial" w:eastAsia="Arial" w:hAnsi="Arial"/>
                  <w:sz w:val="17"/>
                  <w:szCs w:val="17"/>
                  <w:color w:val="0000EE"/>
                  <w:w w:val="89"/>
                </w:rPr>
                <w:t>English translation of Equity Interest Pledge Agreement among Tianjin Sunlands, Beijing Zhiziyuanshui and the shareholders of Beijing Zhiziyuanshui</w:t>
              </w:r>
            </w:hyperlink>
          </w:p>
        </w:tc>
      </w:tr>
      <w:tr>
        <w:trPr>
          <w:trHeight w:val="179"/>
        </w:trPr>
        <w:tc>
          <w:tcPr>
            <w:tcW w:w="114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6"/>
          </w:tcPr>
          <w:p>
            <w:pPr>
              <w:spacing w:after="0" w:line="180" w:lineRule="exact"/>
              <w:rPr>
                <w:rFonts w:ascii="Arial" w:cs="Arial" w:eastAsia="Arial" w:hAnsi="Arial"/>
                <w:sz w:val="17"/>
                <w:szCs w:val="17"/>
                <w:color w:val="0000EE"/>
                <w:w w:val="85"/>
              </w:rPr>
            </w:pPr>
            <w:hyperlink w:anchor="page255">
              <w:r>
                <w:rPr>
                  <w:rFonts w:ascii="Arial" w:cs="Arial" w:eastAsia="Arial" w:hAnsi="Arial"/>
                  <w:sz w:val="17"/>
                  <w:szCs w:val="17"/>
                  <w:color w:val="0000EE"/>
                  <w:w w:val="85"/>
                </w:rPr>
                <w:t>dated December 28, 2020</w:t>
              </w:r>
            </w:hyperlink>
          </w:p>
        </w:tc>
        <w:tc>
          <w:tcPr>
            <w:tcW w:w="8340" w:type="dxa"/>
            <w:vAlign w:val="bottom"/>
            <w:tcBorders>
              <w:top w:val="single" w:sz="8" w:color="0000EE"/>
            </w:tcBorders>
            <w:gridSpan w:val="36"/>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4.32*</w:t>
            </w:r>
          </w:p>
        </w:tc>
        <w:tc>
          <w:tcPr>
            <w:tcW w:w="9440" w:type="dxa"/>
            <w:vAlign w:val="bottom"/>
            <w:tcBorders>
              <w:bottom w:val="single" w:sz="8" w:color="0000EE"/>
            </w:tcBorders>
            <w:gridSpan w:val="26"/>
          </w:tcPr>
          <w:p>
            <w:pPr>
              <w:spacing w:after="0" w:line="180" w:lineRule="exact"/>
              <w:rPr>
                <w:rFonts w:ascii="Arial" w:cs="Arial" w:eastAsia="Arial" w:hAnsi="Arial"/>
                <w:sz w:val="17"/>
                <w:szCs w:val="17"/>
                <w:color w:val="0000EE"/>
                <w:w w:val="89"/>
              </w:rPr>
            </w:pPr>
            <w:hyperlink w:anchor="page265">
              <w:r>
                <w:rPr>
                  <w:rFonts w:ascii="Arial" w:cs="Arial" w:eastAsia="Arial" w:hAnsi="Arial"/>
                  <w:sz w:val="17"/>
                  <w:szCs w:val="17"/>
                  <w:color w:val="0000EE"/>
                  <w:w w:val="89"/>
                </w:rPr>
                <w:t>English translation of Option Agreement among Tianjin Sunlands, Beijing Zhiziyuanshui and the shareholders of Beijing Zhiziyuanshui dated</w:t>
              </w:r>
            </w:hyperlink>
          </w:p>
        </w:tc>
        <w:tc>
          <w:tcPr>
            <w:tcW w:w="660" w:type="dxa"/>
            <w:vAlign w:val="bottom"/>
            <w:gridSpan w:val="19"/>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0" w:lineRule="exact"/>
              <w:rPr>
                <w:rFonts w:ascii="Arial" w:cs="Arial" w:eastAsia="Arial" w:hAnsi="Arial"/>
                <w:sz w:val="17"/>
                <w:szCs w:val="17"/>
                <w:color w:val="0000EE"/>
                <w:w w:val="85"/>
              </w:rPr>
            </w:pPr>
            <w:hyperlink w:anchor="page265">
              <w:r>
                <w:rPr>
                  <w:rFonts w:ascii="Arial" w:cs="Arial" w:eastAsia="Arial" w:hAnsi="Arial"/>
                  <w:sz w:val="17"/>
                  <w:szCs w:val="17"/>
                  <w:color w:val="0000EE"/>
                  <w:w w:val="85"/>
                </w:rPr>
                <w:t>December 28, 2020</w:t>
              </w:r>
            </w:hyperlink>
          </w:p>
        </w:tc>
        <w:tc>
          <w:tcPr>
            <w:tcW w:w="8800" w:type="dxa"/>
            <w:vAlign w:val="bottom"/>
            <w:gridSpan w:val="42"/>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4.33*</w:t>
            </w:r>
          </w:p>
        </w:tc>
        <w:tc>
          <w:tcPr>
            <w:tcW w:w="10100" w:type="dxa"/>
            <w:vAlign w:val="bottom"/>
            <w:gridSpan w:val="45"/>
          </w:tcPr>
          <w:p>
            <w:pPr>
              <w:spacing w:after="0" w:line="180" w:lineRule="exact"/>
              <w:rPr>
                <w:rFonts w:ascii="Arial" w:cs="Arial" w:eastAsia="Arial" w:hAnsi="Arial"/>
                <w:sz w:val="17"/>
                <w:szCs w:val="17"/>
                <w:color w:val="0000EE"/>
              </w:rPr>
            </w:pPr>
            <w:hyperlink w:anchor="page274">
              <w:r>
                <w:rPr>
                  <w:rFonts w:ascii="Arial" w:cs="Arial" w:eastAsia="Arial" w:hAnsi="Arial"/>
                  <w:sz w:val="17"/>
                  <w:szCs w:val="17"/>
                  <w:color w:val="0000EE"/>
                </w:rPr>
                <w:t>English translation of Power of Attorney granted by the shareholders of Beijing Zhiziyuanshui dated December 28, 2020</w:t>
              </w:r>
            </w:hyperlink>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4.34*</w:t>
            </w:r>
          </w:p>
        </w:tc>
        <w:tc>
          <w:tcPr>
            <w:tcW w:w="8020" w:type="dxa"/>
            <w:vAlign w:val="bottom"/>
            <w:tcBorders>
              <w:top w:val="single" w:sz="8" w:color="0000EE"/>
            </w:tcBorders>
            <w:gridSpan w:val="23"/>
          </w:tcPr>
          <w:p>
            <w:pPr>
              <w:spacing w:after="0" w:line="180" w:lineRule="exact"/>
              <w:rPr>
                <w:rFonts w:ascii="Arial" w:cs="Arial" w:eastAsia="Arial" w:hAnsi="Arial"/>
                <w:sz w:val="17"/>
                <w:szCs w:val="17"/>
                <w:color w:val="0000EE"/>
              </w:rPr>
            </w:pPr>
            <w:hyperlink w:anchor="page276">
              <w:r>
                <w:rPr>
                  <w:rFonts w:ascii="Arial" w:cs="Arial" w:eastAsia="Arial" w:hAnsi="Arial"/>
                  <w:sz w:val="17"/>
                  <w:szCs w:val="17"/>
                  <w:color w:val="0000EE"/>
                </w:rPr>
                <w:t>English translation of Spousal Consents dated December 28, 2020</w:t>
              </w:r>
            </w:hyperlink>
          </w:p>
        </w:tc>
        <w:tc>
          <w:tcPr>
            <w:tcW w:w="2080" w:type="dxa"/>
            <w:vAlign w:val="bottom"/>
            <w:gridSpan w:val="2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4.35*</w:t>
            </w:r>
          </w:p>
        </w:tc>
        <w:tc>
          <w:tcPr>
            <w:tcW w:w="10020" w:type="dxa"/>
            <w:vAlign w:val="bottom"/>
            <w:tcBorders>
              <w:bottom w:val="single" w:sz="8" w:color="0000EE"/>
            </w:tcBorders>
            <w:gridSpan w:val="41"/>
          </w:tcPr>
          <w:p>
            <w:pPr>
              <w:spacing w:after="0" w:line="180" w:lineRule="exact"/>
              <w:rPr>
                <w:rFonts w:ascii="Arial" w:cs="Arial" w:eastAsia="Arial" w:hAnsi="Arial"/>
                <w:sz w:val="17"/>
                <w:szCs w:val="17"/>
                <w:color w:val="0000EE"/>
                <w:w w:val="88"/>
              </w:rPr>
            </w:pPr>
            <w:hyperlink w:anchor="page280">
              <w:r>
                <w:rPr>
                  <w:rFonts w:ascii="Arial" w:cs="Arial" w:eastAsia="Arial" w:hAnsi="Arial"/>
                  <w:sz w:val="17"/>
                  <w:szCs w:val="17"/>
                  <w:color w:val="0000EE"/>
                  <w:w w:val="88"/>
                </w:rPr>
                <w:t>English translation of Exclusive Technical Consultation and Service Agreement among Wuhan Zhibo, Guangzhou Tianyong and Guangzhou Tianyong</w:t>
              </w:r>
            </w:hyperlink>
          </w:p>
        </w:tc>
        <w:tc>
          <w:tcPr>
            <w:tcW w:w="80" w:type="dxa"/>
            <w:vAlign w:val="bottom"/>
            <w:gridSpan w:val="4"/>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2620" w:type="dxa"/>
            <w:vAlign w:val="bottom"/>
            <w:tcBorders>
              <w:bottom w:val="single" w:sz="8" w:color="0000EE"/>
            </w:tcBorders>
            <w:gridSpan w:val="11"/>
          </w:tcPr>
          <w:p>
            <w:pPr>
              <w:spacing w:after="0" w:line="180" w:lineRule="exact"/>
              <w:rPr>
                <w:rFonts w:ascii="Arial" w:cs="Arial" w:eastAsia="Arial" w:hAnsi="Arial"/>
                <w:sz w:val="17"/>
                <w:szCs w:val="17"/>
                <w:color w:val="0000EE"/>
                <w:w w:val="86"/>
              </w:rPr>
            </w:pPr>
            <w:hyperlink w:anchor="page280">
              <w:r>
                <w:rPr>
                  <w:rFonts w:ascii="Arial" w:cs="Arial" w:eastAsia="Arial" w:hAnsi="Arial"/>
                  <w:sz w:val="17"/>
                  <w:szCs w:val="17"/>
                  <w:color w:val="0000EE"/>
                  <w:w w:val="86"/>
                </w:rPr>
                <w:t>Subsidiaries dated September 14, 2020</w:t>
              </w:r>
            </w:hyperlink>
          </w:p>
        </w:tc>
        <w:tc>
          <w:tcPr>
            <w:tcW w:w="7480" w:type="dxa"/>
            <w:vAlign w:val="bottom"/>
            <w:gridSpan w:val="34"/>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4.36*</w:t>
            </w:r>
          </w:p>
        </w:tc>
        <w:tc>
          <w:tcPr>
            <w:tcW w:w="10100" w:type="dxa"/>
            <w:vAlign w:val="bottom"/>
            <w:gridSpan w:val="45"/>
          </w:tcPr>
          <w:p>
            <w:pPr>
              <w:spacing w:after="0" w:line="180" w:lineRule="exact"/>
              <w:rPr>
                <w:rFonts w:ascii="Arial" w:cs="Arial" w:eastAsia="Arial" w:hAnsi="Arial"/>
                <w:sz w:val="17"/>
                <w:szCs w:val="17"/>
                <w:color w:val="0000EE"/>
                <w:w w:val="94"/>
              </w:rPr>
            </w:pPr>
            <w:hyperlink w:anchor="page290">
              <w:r>
                <w:rPr>
                  <w:rFonts w:ascii="Arial" w:cs="Arial" w:eastAsia="Arial" w:hAnsi="Arial"/>
                  <w:sz w:val="17"/>
                  <w:szCs w:val="17"/>
                  <w:color w:val="0000EE"/>
                  <w:w w:val="94"/>
                </w:rPr>
                <w:t>English translation of Business Operation Agreement among Wuhan Zhibo, Guangzhou Tianyong, Guangzhou Tianyong Subsidiaries and the</w:t>
              </w:r>
            </w:hyperlink>
          </w:p>
        </w:tc>
      </w:tr>
      <w:tr>
        <w:trPr>
          <w:trHeight w:val="179"/>
        </w:trPr>
        <w:tc>
          <w:tcPr>
            <w:tcW w:w="1140" w:type="dxa"/>
            <w:vAlign w:val="bottom"/>
          </w:tcPr>
          <w:p>
            <w:pPr>
              <w:spacing w:after="0"/>
              <w:rPr>
                <w:sz w:val="15"/>
                <w:szCs w:val="15"/>
                <w:color w:val="auto"/>
              </w:rPr>
            </w:pPr>
          </w:p>
        </w:tc>
        <w:tc>
          <w:tcPr>
            <w:tcW w:w="9400" w:type="dxa"/>
            <w:vAlign w:val="bottom"/>
            <w:tcBorders>
              <w:top w:val="single" w:sz="8" w:color="0000EE"/>
            </w:tcBorders>
            <w:gridSpan w:val="25"/>
          </w:tcPr>
          <w:p>
            <w:pPr>
              <w:spacing w:after="0" w:line="180" w:lineRule="exact"/>
              <w:rPr>
                <w:rFonts w:ascii="Arial" w:cs="Arial" w:eastAsia="Arial" w:hAnsi="Arial"/>
                <w:sz w:val="17"/>
                <w:szCs w:val="17"/>
                <w:color w:val="0000EE"/>
              </w:rPr>
            </w:pPr>
            <w:hyperlink w:anchor="page290">
              <w:r>
                <w:rPr>
                  <w:rFonts w:ascii="Arial" w:cs="Arial" w:eastAsia="Arial" w:hAnsi="Arial"/>
                  <w:sz w:val="17"/>
                  <w:szCs w:val="17"/>
                  <w:color w:val="0000EE"/>
                </w:rPr>
                <w:t>shareholders of Guangzhou Tianyong dated September 14, 2020</w:t>
              </w:r>
            </w:hyperlink>
          </w:p>
        </w:tc>
        <w:tc>
          <w:tcPr>
            <w:tcW w:w="700" w:type="dxa"/>
            <w:vAlign w:val="bottom"/>
            <w:gridSpan w:val="20"/>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4.37*</w:t>
            </w:r>
          </w:p>
        </w:tc>
        <w:tc>
          <w:tcPr>
            <w:tcW w:w="10100" w:type="dxa"/>
            <w:vAlign w:val="bottom"/>
            <w:gridSpan w:val="45"/>
          </w:tcPr>
          <w:p>
            <w:pPr>
              <w:spacing w:after="0" w:line="180" w:lineRule="exact"/>
              <w:rPr>
                <w:rFonts w:ascii="Arial" w:cs="Arial" w:eastAsia="Arial" w:hAnsi="Arial"/>
                <w:sz w:val="17"/>
                <w:szCs w:val="17"/>
                <w:color w:val="0000EE"/>
                <w:w w:val="91"/>
              </w:rPr>
            </w:pPr>
            <w:hyperlink w:anchor="page297">
              <w:r>
                <w:rPr>
                  <w:rFonts w:ascii="Arial" w:cs="Arial" w:eastAsia="Arial" w:hAnsi="Arial"/>
                  <w:sz w:val="17"/>
                  <w:szCs w:val="17"/>
                  <w:color w:val="0000EE"/>
                  <w:w w:val="91"/>
                </w:rPr>
                <w:t>English translation of Equity Interest Pledge Agreement among Wuhan Zhibo, Guangzhou Tianyong and the shareholders of Guangzhou Tianyong</w:t>
              </w:r>
            </w:hyperlink>
          </w:p>
        </w:tc>
      </w:tr>
      <w:tr>
        <w:trPr>
          <w:trHeight w:val="179"/>
        </w:trPr>
        <w:tc>
          <w:tcPr>
            <w:tcW w:w="1140" w:type="dxa"/>
            <w:vAlign w:val="bottom"/>
          </w:tcPr>
          <w:p>
            <w:pPr>
              <w:spacing w:after="0"/>
              <w:rPr>
                <w:sz w:val="15"/>
                <w:szCs w:val="15"/>
                <w:color w:val="auto"/>
              </w:rPr>
            </w:pPr>
          </w:p>
        </w:tc>
        <w:tc>
          <w:tcPr>
            <w:tcW w:w="9740" w:type="dxa"/>
            <w:vAlign w:val="bottom"/>
            <w:tcBorders>
              <w:top w:val="single" w:sz="8" w:color="0000EE"/>
            </w:tcBorders>
            <w:gridSpan w:val="33"/>
          </w:tcPr>
          <w:p>
            <w:pPr>
              <w:spacing w:after="0" w:line="180" w:lineRule="exact"/>
              <w:rPr>
                <w:rFonts w:ascii="Arial" w:cs="Arial" w:eastAsia="Arial" w:hAnsi="Arial"/>
                <w:sz w:val="17"/>
                <w:szCs w:val="17"/>
                <w:color w:val="0000EE"/>
              </w:rPr>
            </w:pPr>
            <w:hyperlink w:anchor="page297">
              <w:r>
                <w:rPr>
                  <w:rFonts w:ascii="Arial" w:cs="Arial" w:eastAsia="Arial" w:hAnsi="Arial"/>
                  <w:sz w:val="17"/>
                  <w:szCs w:val="17"/>
                  <w:color w:val="0000EE"/>
                </w:rPr>
                <w:t>dated September 14, 2020</w:t>
              </w:r>
            </w:hyperlink>
          </w:p>
        </w:tc>
        <w:tc>
          <w:tcPr>
            <w:tcW w:w="360" w:type="dxa"/>
            <w:vAlign w:val="bottom"/>
            <w:gridSpan w:val="1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4.38*</w:t>
            </w:r>
          </w:p>
        </w:tc>
        <w:tc>
          <w:tcPr>
            <w:tcW w:w="10100" w:type="dxa"/>
            <w:vAlign w:val="bottom"/>
            <w:gridSpan w:val="45"/>
          </w:tcPr>
          <w:p>
            <w:pPr>
              <w:spacing w:after="0" w:line="180" w:lineRule="exact"/>
              <w:rPr>
                <w:rFonts w:ascii="Arial" w:cs="Arial" w:eastAsia="Arial" w:hAnsi="Arial"/>
                <w:sz w:val="17"/>
                <w:szCs w:val="17"/>
                <w:color w:val="0000EE"/>
                <w:w w:val="89"/>
              </w:rPr>
            </w:pPr>
            <w:hyperlink w:anchor="page310">
              <w:r>
                <w:rPr>
                  <w:rFonts w:ascii="Arial" w:cs="Arial" w:eastAsia="Arial" w:hAnsi="Arial"/>
                  <w:sz w:val="17"/>
                  <w:szCs w:val="17"/>
                  <w:color w:val="0000EE"/>
                  <w:w w:val="89"/>
                </w:rPr>
                <w:t>English translation of Option Agreement among Wuhan Zhibo, Guangzhou Tianyong and the shareholders of Guangzhou Tianyong dated September</w:t>
              </w:r>
            </w:hyperlink>
          </w:p>
        </w:tc>
      </w:tr>
      <w:tr>
        <w:trPr>
          <w:trHeight w:val="179"/>
        </w:trPr>
        <w:tc>
          <w:tcPr>
            <w:tcW w:w="1140" w:type="dxa"/>
            <w:vAlign w:val="bottom"/>
          </w:tcPr>
          <w:p>
            <w:pPr>
              <w:spacing w:after="0"/>
              <w:rPr>
                <w:sz w:val="15"/>
                <w:szCs w:val="15"/>
                <w:color w:val="auto"/>
              </w:rPr>
            </w:pPr>
          </w:p>
        </w:tc>
        <w:tc>
          <w:tcPr>
            <w:tcW w:w="580" w:type="dxa"/>
            <w:vAlign w:val="bottom"/>
            <w:tcBorders>
              <w:top w:val="single" w:sz="8" w:color="0000EE"/>
              <w:bottom w:val="single" w:sz="8" w:color="0000EE"/>
            </w:tcBorders>
          </w:tcPr>
          <w:p>
            <w:pPr>
              <w:spacing w:after="0" w:line="180" w:lineRule="exact"/>
              <w:rPr>
                <w:rFonts w:ascii="Arial" w:cs="Arial" w:eastAsia="Arial" w:hAnsi="Arial"/>
                <w:sz w:val="17"/>
                <w:szCs w:val="17"/>
                <w:color w:val="0000EE"/>
                <w:w w:val="84"/>
              </w:rPr>
            </w:pPr>
            <w:hyperlink w:anchor="page310">
              <w:r>
                <w:rPr>
                  <w:rFonts w:ascii="Arial" w:cs="Arial" w:eastAsia="Arial" w:hAnsi="Arial"/>
                  <w:sz w:val="17"/>
                  <w:szCs w:val="17"/>
                  <w:color w:val="0000EE"/>
                  <w:w w:val="84"/>
                </w:rPr>
                <w:t>14, 2020</w:t>
              </w:r>
            </w:hyperlink>
          </w:p>
        </w:tc>
        <w:tc>
          <w:tcPr>
            <w:tcW w:w="4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4.39*</w:t>
            </w:r>
          </w:p>
        </w:tc>
        <w:tc>
          <w:tcPr>
            <w:tcW w:w="10100" w:type="dxa"/>
            <w:vAlign w:val="bottom"/>
            <w:gridSpan w:val="45"/>
          </w:tcPr>
          <w:p>
            <w:pPr>
              <w:spacing w:after="0" w:line="180" w:lineRule="exact"/>
              <w:rPr>
                <w:rFonts w:ascii="Arial" w:cs="Arial" w:eastAsia="Arial" w:hAnsi="Arial"/>
                <w:sz w:val="17"/>
                <w:szCs w:val="17"/>
                <w:color w:val="0000EE"/>
              </w:rPr>
            </w:pPr>
            <w:hyperlink w:anchor="page322">
              <w:r>
                <w:rPr>
                  <w:rFonts w:ascii="Arial" w:cs="Arial" w:eastAsia="Arial" w:hAnsi="Arial"/>
                  <w:sz w:val="17"/>
                  <w:szCs w:val="17"/>
                  <w:color w:val="0000EE"/>
                </w:rPr>
                <w:t>English translation of Power of Attorney granted by the shareholders of Guangzhou Tianyong dated September 14, 2020</w:t>
              </w:r>
            </w:hyperlink>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4.40*</w:t>
            </w:r>
          </w:p>
        </w:tc>
        <w:tc>
          <w:tcPr>
            <w:tcW w:w="4420" w:type="dxa"/>
            <w:vAlign w:val="bottom"/>
            <w:tcBorders>
              <w:top w:val="single" w:sz="8" w:color="0000EE"/>
              <w:bottom w:val="single" w:sz="8" w:color="0000EE"/>
            </w:tcBorders>
            <w:gridSpan w:val="18"/>
          </w:tcPr>
          <w:p>
            <w:pPr>
              <w:spacing w:after="0" w:line="180" w:lineRule="exact"/>
              <w:rPr>
                <w:rFonts w:ascii="Arial" w:cs="Arial" w:eastAsia="Arial" w:hAnsi="Arial"/>
                <w:sz w:val="17"/>
                <w:szCs w:val="17"/>
                <w:color w:val="0000EE"/>
                <w:w w:val="86"/>
              </w:rPr>
            </w:pPr>
            <w:hyperlink w:anchor="page324">
              <w:r>
                <w:rPr>
                  <w:rFonts w:ascii="Arial" w:cs="Arial" w:eastAsia="Arial" w:hAnsi="Arial"/>
                  <w:sz w:val="17"/>
                  <w:szCs w:val="17"/>
                  <w:color w:val="0000EE"/>
                  <w:w w:val="86"/>
                </w:rPr>
                <w:t>English translation of Spousal Consents dated September 14, 2020</w:t>
              </w:r>
            </w:hyperlink>
          </w:p>
        </w:tc>
        <w:tc>
          <w:tcPr>
            <w:tcW w:w="3580" w:type="dxa"/>
            <w:vAlign w:val="bottom"/>
            <w:tcBorders>
              <w:top w:val="single" w:sz="8" w:color="0000EE"/>
            </w:tcBorders>
            <w:gridSpan w:val="4"/>
          </w:tcPr>
          <w:p>
            <w:pPr>
              <w:spacing w:after="0"/>
              <w:rPr>
                <w:sz w:val="15"/>
                <w:szCs w:val="15"/>
                <w:color w:val="auto"/>
              </w:rPr>
            </w:pPr>
          </w:p>
        </w:tc>
        <w:tc>
          <w:tcPr>
            <w:tcW w:w="2100" w:type="dxa"/>
            <w:vAlign w:val="bottom"/>
            <w:gridSpan w:val="23"/>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4.41*</w:t>
            </w:r>
          </w:p>
        </w:tc>
        <w:tc>
          <w:tcPr>
            <w:tcW w:w="10100" w:type="dxa"/>
            <w:vAlign w:val="bottom"/>
            <w:gridSpan w:val="45"/>
          </w:tcPr>
          <w:p>
            <w:pPr>
              <w:spacing w:after="0" w:line="180" w:lineRule="exact"/>
              <w:rPr>
                <w:rFonts w:ascii="Arial" w:cs="Arial" w:eastAsia="Arial" w:hAnsi="Arial"/>
                <w:sz w:val="17"/>
                <w:szCs w:val="17"/>
                <w:color w:val="0000EE"/>
                <w:w w:val="92"/>
              </w:rPr>
            </w:pPr>
            <w:hyperlink w:anchor="page326">
              <w:r>
                <w:rPr>
                  <w:rFonts w:ascii="Arial" w:cs="Arial" w:eastAsia="Arial" w:hAnsi="Arial"/>
                  <w:sz w:val="17"/>
                  <w:szCs w:val="17"/>
                  <w:color w:val="0000EE"/>
                  <w:w w:val="92"/>
                </w:rPr>
                <w:t>English translation of Exclusive Technical Consultation and Service Agreement among Tianjin Sunlands, Wuhan Fangtang and Wuhan Fangtang</w:t>
              </w:r>
            </w:hyperlink>
          </w:p>
        </w:tc>
      </w:tr>
      <w:tr>
        <w:trPr>
          <w:trHeight w:val="179"/>
        </w:trPr>
        <w:tc>
          <w:tcPr>
            <w:tcW w:w="114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10"/>
          </w:tcPr>
          <w:p>
            <w:pPr>
              <w:spacing w:after="0" w:line="180" w:lineRule="exact"/>
              <w:rPr>
                <w:rFonts w:ascii="Arial" w:cs="Arial" w:eastAsia="Arial" w:hAnsi="Arial"/>
                <w:sz w:val="17"/>
                <w:szCs w:val="17"/>
                <w:color w:val="0000EE"/>
                <w:w w:val="86"/>
              </w:rPr>
            </w:pPr>
            <w:hyperlink w:anchor="page326">
              <w:r>
                <w:rPr>
                  <w:rFonts w:ascii="Arial" w:cs="Arial" w:eastAsia="Arial" w:hAnsi="Arial"/>
                  <w:sz w:val="17"/>
                  <w:szCs w:val="17"/>
                  <w:color w:val="0000EE"/>
                  <w:w w:val="86"/>
                </w:rPr>
                <w:t>Subsidiaries dated December 28, 2020</w:t>
              </w:r>
            </w:hyperlink>
          </w:p>
        </w:tc>
        <w:tc>
          <w:tcPr>
            <w:tcW w:w="7060" w:type="dxa"/>
            <w:vAlign w:val="bottom"/>
            <w:tcBorders>
              <w:top w:val="single" w:sz="8" w:color="0000EE"/>
            </w:tcBorders>
            <w:gridSpan w:val="20"/>
          </w:tcPr>
          <w:p>
            <w:pPr>
              <w:spacing w:after="0"/>
              <w:rPr>
                <w:sz w:val="15"/>
                <w:szCs w:val="15"/>
                <w:color w:val="auto"/>
              </w:rPr>
            </w:pPr>
          </w:p>
        </w:tc>
        <w:tc>
          <w:tcPr>
            <w:tcW w:w="480" w:type="dxa"/>
            <w:vAlign w:val="bottom"/>
            <w:gridSpan w:val="15"/>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4.42*</w:t>
            </w:r>
          </w:p>
        </w:tc>
        <w:tc>
          <w:tcPr>
            <w:tcW w:w="10100" w:type="dxa"/>
            <w:vAlign w:val="bottom"/>
            <w:gridSpan w:val="45"/>
          </w:tcPr>
          <w:p>
            <w:pPr>
              <w:spacing w:after="0" w:line="180" w:lineRule="exact"/>
              <w:rPr>
                <w:rFonts w:ascii="Arial" w:cs="Arial" w:eastAsia="Arial" w:hAnsi="Arial"/>
                <w:sz w:val="17"/>
                <w:szCs w:val="17"/>
                <w:color w:val="0000EE"/>
                <w:w w:val="87"/>
              </w:rPr>
            </w:pPr>
            <w:hyperlink w:anchor="page337">
              <w:r>
                <w:rPr>
                  <w:rFonts w:ascii="Arial" w:cs="Arial" w:eastAsia="Arial" w:hAnsi="Arial"/>
                  <w:sz w:val="17"/>
                  <w:szCs w:val="17"/>
                  <w:color w:val="0000EE"/>
                  <w:w w:val="87"/>
                </w:rPr>
                <w:t>English translation of Business Operation Agreement among Tianjin Sunlands, Wuhan Fangtang, Wuhan Fangtang Subsidiaries and the shareholders of</w:t>
              </w:r>
            </w:hyperlink>
          </w:p>
        </w:tc>
      </w:tr>
      <w:tr>
        <w:trPr>
          <w:trHeight w:val="179"/>
        </w:trPr>
        <w:tc>
          <w:tcPr>
            <w:tcW w:w="114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12"/>
          </w:tcPr>
          <w:p>
            <w:pPr>
              <w:spacing w:after="0" w:line="180" w:lineRule="exact"/>
              <w:rPr>
                <w:rFonts w:ascii="Arial" w:cs="Arial" w:eastAsia="Arial" w:hAnsi="Arial"/>
                <w:sz w:val="17"/>
                <w:szCs w:val="17"/>
                <w:color w:val="0000EE"/>
                <w:w w:val="86"/>
              </w:rPr>
            </w:pPr>
            <w:hyperlink w:anchor="page337">
              <w:r>
                <w:rPr>
                  <w:rFonts w:ascii="Arial" w:cs="Arial" w:eastAsia="Arial" w:hAnsi="Arial"/>
                  <w:sz w:val="17"/>
                  <w:szCs w:val="17"/>
                  <w:color w:val="0000EE"/>
                  <w:w w:val="86"/>
                </w:rPr>
                <w:t>Wuhan Fangtang dated December 28, 2020</w:t>
              </w:r>
            </w:hyperlink>
          </w:p>
        </w:tc>
        <w:tc>
          <w:tcPr>
            <w:tcW w:w="7180" w:type="dxa"/>
            <w:vAlign w:val="bottom"/>
            <w:tcBorders>
              <w:top w:val="single" w:sz="8" w:color="0000EE"/>
            </w:tcBorders>
            <w:gridSpan w:val="31"/>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4.43*</w:t>
            </w:r>
          </w:p>
        </w:tc>
        <w:tc>
          <w:tcPr>
            <w:tcW w:w="9760" w:type="dxa"/>
            <w:vAlign w:val="bottom"/>
            <w:tcBorders>
              <w:bottom w:val="single" w:sz="8" w:color="0000EE"/>
            </w:tcBorders>
            <w:gridSpan w:val="34"/>
          </w:tcPr>
          <w:p>
            <w:pPr>
              <w:spacing w:after="0" w:line="180" w:lineRule="exact"/>
              <w:rPr>
                <w:rFonts w:ascii="Arial" w:cs="Arial" w:eastAsia="Arial" w:hAnsi="Arial"/>
                <w:sz w:val="17"/>
                <w:szCs w:val="17"/>
                <w:color w:val="0000EE"/>
                <w:w w:val="87"/>
              </w:rPr>
            </w:pPr>
            <w:hyperlink w:anchor="page350">
              <w:r>
                <w:rPr>
                  <w:rFonts w:ascii="Arial" w:cs="Arial" w:eastAsia="Arial" w:hAnsi="Arial"/>
                  <w:sz w:val="17"/>
                  <w:szCs w:val="17"/>
                  <w:color w:val="0000EE"/>
                  <w:w w:val="87"/>
                </w:rPr>
                <w:t>English translation of Equity Interest Pledge Agreement among Tianjin Sunlands, Wuhan Fangtang and the shareholders of Wuhan Fangtang dated</w:t>
              </w:r>
            </w:hyperlink>
          </w:p>
        </w:tc>
        <w:tc>
          <w:tcPr>
            <w:tcW w:w="340" w:type="dxa"/>
            <w:vAlign w:val="bottom"/>
            <w:gridSpan w:val="11"/>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0" w:lineRule="exact"/>
              <w:rPr>
                <w:rFonts w:ascii="Arial" w:cs="Arial" w:eastAsia="Arial" w:hAnsi="Arial"/>
                <w:sz w:val="17"/>
                <w:szCs w:val="17"/>
                <w:color w:val="0000EE"/>
                <w:w w:val="85"/>
              </w:rPr>
            </w:pPr>
            <w:hyperlink w:anchor="page350">
              <w:r>
                <w:rPr>
                  <w:rFonts w:ascii="Arial" w:cs="Arial" w:eastAsia="Arial" w:hAnsi="Arial"/>
                  <w:sz w:val="17"/>
                  <w:szCs w:val="17"/>
                  <w:color w:val="0000EE"/>
                  <w:w w:val="85"/>
                </w:rPr>
                <w:t>December 28, 2020</w:t>
              </w:r>
            </w:hyperlink>
          </w:p>
        </w:tc>
        <w:tc>
          <w:tcPr>
            <w:tcW w:w="8800" w:type="dxa"/>
            <w:vAlign w:val="bottom"/>
            <w:gridSpan w:val="42"/>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4.44*</w:t>
            </w:r>
          </w:p>
        </w:tc>
        <w:tc>
          <w:tcPr>
            <w:tcW w:w="10100" w:type="dxa"/>
            <w:vAlign w:val="bottom"/>
            <w:gridSpan w:val="45"/>
          </w:tcPr>
          <w:p>
            <w:pPr>
              <w:spacing w:after="0" w:line="180" w:lineRule="exact"/>
              <w:rPr>
                <w:rFonts w:ascii="Arial" w:cs="Arial" w:eastAsia="Arial" w:hAnsi="Arial"/>
                <w:sz w:val="17"/>
                <w:szCs w:val="17"/>
                <w:color w:val="0000EE"/>
                <w:w w:val="87"/>
              </w:rPr>
            </w:pPr>
            <w:hyperlink w:anchor="page361">
              <w:r>
                <w:rPr>
                  <w:rFonts w:ascii="Arial" w:cs="Arial" w:eastAsia="Arial" w:hAnsi="Arial"/>
                  <w:sz w:val="17"/>
                  <w:szCs w:val="17"/>
                  <w:color w:val="0000EE"/>
                  <w:w w:val="87"/>
                </w:rPr>
                <w:t>English translation of Option Agreement among Tianjin Sunlands, Wuhan Fangtang and the shareholders of Wuhan Fangtang dated December 28, 2020</w:t>
              </w:r>
            </w:hyperlink>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4.45*</w:t>
            </w:r>
          </w:p>
        </w:tc>
        <w:tc>
          <w:tcPr>
            <w:tcW w:w="7680" w:type="dxa"/>
            <w:vAlign w:val="bottom"/>
            <w:tcBorders>
              <w:top w:val="single" w:sz="8" w:color="0000EE"/>
              <w:bottom w:val="single" w:sz="8" w:color="0000EE"/>
            </w:tcBorders>
            <w:gridSpan w:val="20"/>
          </w:tcPr>
          <w:p>
            <w:pPr>
              <w:spacing w:after="0" w:line="180" w:lineRule="exact"/>
              <w:rPr>
                <w:rFonts w:ascii="Arial" w:cs="Arial" w:eastAsia="Arial" w:hAnsi="Arial"/>
                <w:sz w:val="17"/>
                <w:szCs w:val="17"/>
                <w:color w:val="0000EE"/>
                <w:w w:val="88"/>
              </w:rPr>
            </w:pPr>
            <w:hyperlink w:anchor="page373">
              <w:r>
                <w:rPr>
                  <w:rFonts w:ascii="Arial" w:cs="Arial" w:eastAsia="Arial" w:hAnsi="Arial"/>
                  <w:sz w:val="17"/>
                  <w:szCs w:val="17"/>
                  <w:color w:val="0000EE"/>
                  <w:w w:val="88"/>
                </w:rPr>
                <w:t>English translation of Power of Attorney granted by the shareholders of Wuhan Fangtang dated December 28, 2020</w:t>
              </w:r>
            </w:hyperlink>
          </w:p>
        </w:tc>
        <w:tc>
          <w:tcPr>
            <w:tcW w:w="2400" w:type="dxa"/>
            <w:vAlign w:val="bottom"/>
            <w:tcBorders>
              <w:top w:val="single" w:sz="8" w:color="0000EE"/>
            </w:tcBorders>
            <w:gridSpan w:val="24"/>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4.46*</w:t>
            </w:r>
          </w:p>
        </w:tc>
        <w:tc>
          <w:tcPr>
            <w:tcW w:w="9540" w:type="dxa"/>
            <w:vAlign w:val="bottom"/>
            <w:tcBorders>
              <w:bottom w:val="single" w:sz="8" w:color="0000EE"/>
            </w:tcBorders>
            <w:gridSpan w:val="28"/>
          </w:tcPr>
          <w:p>
            <w:pPr>
              <w:spacing w:after="0" w:line="180" w:lineRule="exact"/>
              <w:rPr>
                <w:rFonts w:ascii="Arial" w:cs="Arial" w:eastAsia="Arial" w:hAnsi="Arial"/>
                <w:sz w:val="17"/>
                <w:szCs w:val="17"/>
                <w:color w:val="0000EE"/>
                <w:w w:val="88"/>
              </w:rPr>
            </w:pPr>
            <w:hyperlink w:anchor="page375">
              <w:r>
                <w:rPr>
                  <w:rFonts w:ascii="Arial" w:cs="Arial" w:eastAsia="Arial" w:hAnsi="Arial"/>
                  <w:sz w:val="17"/>
                  <w:szCs w:val="17"/>
                  <w:color w:val="0000EE"/>
                  <w:w w:val="88"/>
                </w:rPr>
                <w:t>English translation of Exclusive Technical Consultation and Service Agreement among Wuhan Zhibo, Wuhan Hadeliang and Wuhan Hadeliang</w:t>
              </w:r>
            </w:hyperlink>
          </w:p>
        </w:tc>
        <w:tc>
          <w:tcPr>
            <w:tcW w:w="560" w:type="dxa"/>
            <w:vAlign w:val="bottom"/>
            <w:gridSpan w:val="17"/>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2620" w:type="dxa"/>
            <w:vAlign w:val="bottom"/>
            <w:tcBorders>
              <w:bottom w:val="single" w:sz="8" w:color="0000EE"/>
            </w:tcBorders>
            <w:gridSpan w:val="11"/>
          </w:tcPr>
          <w:p>
            <w:pPr>
              <w:spacing w:after="0" w:line="180" w:lineRule="exact"/>
              <w:rPr>
                <w:rFonts w:ascii="Arial" w:cs="Arial" w:eastAsia="Arial" w:hAnsi="Arial"/>
                <w:sz w:val="17"/>
                <w:szCs w:val="17"/>
                <w:color w:val="0000EE"/>
                <w:w w:val="86"/>
              </w:rPr>
            </w:pPr>
            <w:hyperlink w:anchor="page375">
              <w:r>
                <w:rPr>
                  <w:rFonts w:ascii="Arial" w:cs="Arial" w:eastAsia="Arial" w:hAnsi="Arial"/>
                  <w:sz w:val="17"/>
                  <w:szCs w:val="17"/>
                  <w:color w:val="0000EE"/>
                  <w:w w:val="86"/>
                </w:rPr>
                <w:t>Subsidiaries dated September 22, 2020</w:t>
              </w:r>
            </w:hyperlink>
          </w:p>
        </w:tc>
        <w:tc>
          <w:tcPr>
            <w:tcW w:w="7480" w:type="dxa"/>
            <w:vAlign w:val="bottom"/>
            <w:gridSpan w:val="34"/>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4.47*</w:t>
            </w:r>
          </w:p>
        </w:tc>
        <w:tc>
          <w:tcPr>
            <w:tcW w:w="10000" w:type="dxa"/>
            <w:vAlign w:val="bottom"/>
            <w:tcBorders>
              <w:bottom w:val="single" w:sz="8" w:color="0000EE"/>
            </w:tcBorders>
            <w:gridSpan w:val="40"/>
          </w:tcPr>
          <w:p>
            <w:pPr>
              <w:spacing w:after="0" w:line="180" w:lineRule="exact"/>
              <w:rPr>
                <w:rFonts w:ascii="Arial" w:cs="Arial" w:eastAsia="Arial" w:hAnsi="Arial"/>
                <w:sz w:val="17"/>
                <w:szCs w:val="17"/>
                <w:color w:val="0000EE"/>
                <w:w w:val="88"/>
              </w:rPr>
            </w:pPr>
            <w:hyperlink w:anchor="page385">
              <w:r>
                <w:rPr>
                  <w:rFonts w:ascii="Arial" w:cs="Arial" w:eastAsia="Arial" w:hAnsi="Arial"/>
                  <w:sz w:val="17"/>
                  <w:szCs w:val="17"/>
                  <w:color w:val="0000EE"/>
                  <w:w w:val="88"/>
                </w:rPr>
                <w:t>English translation of Business Operation Agreement among Wuhan Zhibo, Wuhan Hadeliang, Wuhan Hadeliang Subsidiaries and the shareholders of</w:t>
              </w:r>
            </w:hyperlink>
          </w:p>
        </w:tc>
        <w:tc>
          <w:tcPr>
            <w:tcW w:w="100" w:type="dxa"/>
            <w:vAlign w:val="bottom"/>
            <w:gridSpan w:val="5"/>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10100" w:type="dxa"/>
            <w:vAlign w:val="bottom"/>
            <w:gridSpan w:val="45"/>
          </w:tcPr>
          <w:p>
            <w:pPr>
              <w:spacing w:after="0" w:line="180" w:lineRule="exact"/>
              <w:rPr>
                <w:rFonts w:ascii="Arial" w:cs="Arial" w:eastAsia="Arial" w:hAnsi="Arial"/>
                <w:sz w:val="17"/>
                <w:szCs w:val="17"/>
                <w:color w:val="0000EE"/>
              </w:rPr>
            </w:pPr>
            <w:hyperlink w:anchor="page385">
              <w:r>
                <w:rPr>
                  <w:rFonts w:ascii="Arial" w:cs="Arial" w:eastAsia="Arial" w:hAnsi="Arial"/>
                  <w:sz w:val="17"/>
                  <w:szCs w:val="17"/>
                  <w:color w:val="0000EE"/>
                </w:rPr>
                <w:t>Wuhan Hadeliang dated September 22, 2020</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4.48*</w:t>
            </w:r>
          </w:p>
        </w:tc>
        <w:tc>
          <w:tcPr>
            <w:tcW w:w="10100" w:type="dxa"/>
            <w:vAlign w:val="bottom"/>
            <w:gridSpan w:val="45"/>
          </w:tcPr>
          <w:p>
            <w:pPr>
              <w:spacing w:after="0" w:line="180" w:lineRule="exact"/>
              <w:rPr>
                <w:rFonts w:ascii="Arial" w:cs="Arial" w:eastAsia="Arial" w:hAnsi="Arial"/>
                <w:sz w:val="17"/>
                <w:szCs w:val="17"/>
                <w:color w:val="0000EE"/>
                <w:w w:val="92"/>
              </w:rPr>
            </w:pPr>
            <w:hyperlink w:anchor="page398">
              <w:r>
                <w:rPr>
                  <w:rFonts w:ascii="Arial" w:cs="Arial" w:eastAsia="Arial" w:hAnsi="Arial"/>
                  <w:sz w:val="17"/>
                  <w:szCs w:val="17"/>
                  <w:color w:val="0000EE"/>
                  <w:w w:val="92"/>
                </w:rPr>
                <w:t>English translation of Equity Interest Pledge Agreement among Wuhan Zhibo, Wuhan Hadeliang and the shareholders of Wuhan Hadeliang dated</w:t>
              </w:r>
            </w:hyperlink>
          </w:p>
        </w:tc>
      </w:tr>
      <w:tr>
        <w:trPr>
          <w:trHeight w:val="179"/>
        </w:trPr>
        <w:tc>
          <w:tcPr>
            <w:tcW w:w="1140" w:type="dxa"/>
            <w:vAlign w:val="bottom"/>
          </w:tcPr>
          <w:p>
            <w:pPr>
              <w:spacing w:after="0"/>
              <w:rPr>
                <w:sz w:val="15"/>
                <w:szCs w:val="15"/>
                <w:color w:val="auto"/>
              </w:rPr>
            </w:pPr>
          </w:p>
        </w:tc>
        <w:tc>
          <w:tcPr>
            <w:tcW w:w="9660" w:type="dxa"/>
            <w:vAlign w:val="bottom"/>
            <w:tcBorders>
              <w:top w:val="single" w:sz="8" w:color="0000EE"/>
            </w:tcBorders>
            <w:gridSpan w:val="31"/>
          </w:tcPr>
          <w:p>
            <w:pPr>
              <w:spacing w:after="0" w:line="180" w:lineRule="exact"/>
              <w:rPr>
                <w:rFonts w:ascii="Arial" w:cs="Arial" w:eastAsia="Arial" w:hAnsi="Arial"/>
                <w:sz w:val="17"/>
                <w:szCs w:val="17"/>
                <w:color w:val="0000EE"/>
              </w:rPr>
            </w:pPr>
            <w:hyperlink w:anchor="page398">
              <w:r>
                <w:rPr>
                  <w:rFonts w:ascii="Arial" w:cs="Arial" w:eastAsia="Arial" w:hAnsi="Arial"/>
                  <w:sz w:val="17"/>
                  <w:szCs w:val="17"/>
                  <w:color w:val="0000EE"/>
                </w:rPr>
                <w:t>September 22, 2020</w:t>
              </w:r>
            </w:hyperlink>
          </w:p>
        </w:tc>
        <w:tc>
          <w:tcPr>
            <w:tcW w:w="440" w:type="dxa"/>
            <w:vAlign w:val="bottom"/>
            <w:gridSpan w:val="1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880" w:type="dxa"/>
            <w:vAlign w:val="bottom"/>
            <w:gridSpan w:val="13"/>
          </w:tcPr>
          <w:p>
            <w:pPr>
              <w:spacing w:after="0" w:line="20" w:lineRule="exact"/>
              <w:rPr>
                <w:sz w:val="1"/>
                <w:szCs w:val="1"/>
                <w:color w:val="auto"/>
              </w:rPr>
            </w:pPr>
          </w:p>
        </w:tc>
        <w:tc>
          <w:tcPr>
            <w:tcW w:w="2120" w:type="dxa"/>
            <w:vAlign w:val="bottom"/>
            <w:gridSpan w:val="1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4.49*</w:t>
            </w:r>
          </w:p>
        </w:tc>
        <w:tc>
          <w:tcPr>
            <w:tcW w:w="10100" w:type="dxa"/>
            <w:vAlign w:val="bottom"/>
            <w:gridSpan w:val="45"/>
          </w:tcPr>
          <w:p>
            <w:pPr>
              <w:spacing w:after="0" w:line="180" w:lineRule="exact"/>
              <w:rPr>
                <w:rFonts w:ascii="Arial" w:cs="Arial" w:eastAsia="Arial" w:hAnsi="Arial"/>
                <w:sz w:val="17"/>
                <w:szCs w:val="17"/>
                <w:color w:val="0000EE"/>
                <w:w w:val="88"/>
              </w:rPr>
            </w:pPr>
            <w:hyperlink w:anchor="page407">
              <w:r>
                <w:rPr>
                  <w:rFonts w:ascii="Arial" w:cs="Arial" w:eastAsia="Arial" w:hAnsi="Arial"/>
                  <w:sz w:val="17"/>
                  <w:szCs w:val="17"/>
                  <w:color w:val="0000EE"/>
                  <w:w w:val="88"/>
                </w:rPr>
                <w:t>English translation of Option Agreement among Wuhan Zhibo, Wuhan Hadeliang and the shareholders of Wuhan Hadeliang dated September 22, 2020</w:t>
              </w:r>
            </w:hyperlink>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4.50*</w:t>
            </w:r>
          </w:p>
        </w:tc>
        <w:tc>
          <w:tcPr>
            <w:tcW w:w="10020" w:type="dxa"/>
            <w:vAlign w:val="bottom"/>
            <w:tcBorders>
              <w:top w:val="single" w:sz="8" w:color="0000EE"/>
            </w:tcBorders>
            <w:gridSpan w:val="41"/>
          </w:tcPr>
          <w:p>
            <w:pPr>
              <w:spacing w:after="0" w:line="180" w:lineRule="exact"/>
              <w:rPr>
                <w:rFonts w:ascii="Arial" w:cs="Arial" w:eastAsia="Arial" w:hAnsi="Arial"/>
                <w:sz w:val="17"/>
                <w:szCs w:val="17"/>
                <w:color w:val="0000EE"/>
              </w:rPr>
            </w:pPr>
            <w:hyperlink w:anchor="page417">
              <w:r>
                <w:rPr>
                  <w:rFonts w:ascii="Arial" w:cs="Arial" w:eastAsia="Arial" w:hAnsi="Arial"/>
                  <w:sz w:val="17"/>
                  <w:szCs w:val="17"/>
                  <w:color w:val="0000EE"/>
                </w:rPr>
                <w:t>English translation of Power of Attorney granted by the shareholders of Wuhan Hadeliang dated September 22, 2020</w:t>
              </w:r>
            </w:hyperlink>
          </w:p>
        </w:tc>
        <w:tc>
          <w:tcPr>
            <w:tcW w:w="80" w:type="dxa"/>
            <w:vAlign w:val="bottom"/>
            <w:gridSpan w:val="4"/>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4.51*</w:t>
            </w:r>
          </w:p>
        </w:tc>
        <w:tc>
          <w:tcPr>
            <w:tcW w:w="4420" w:type="dxa"/>
            <w:vAlign w:val="bottom"/>
            <w:tcBorders>
              <w:top w:val="single" w:sz="8" w:color="0000EE"/>
              <w:bottom w:val="single" w:sz="8" w:color="0000EE"/>
            </w:tcBorders>
            <w:gridSpan w:val="18"/>
          </w:tcPr>
          <w:p>
            <w:pPr>
              <w:spacing w:after="0" w:line="180" w:lineRule="exact"/>
              <w:rPr>
                <w:rFonts w:ascii="Arial" w:cs="Arial" w:eastAsia="Arial" w:hAnsi="Arial"/>
                <w:sz w:val="17"/>
                <w:szCs w:val="17"/>
                <w:color w:val="0000EE"/>
                <w:w w:val="86"/>
              </w:rPr>
            </w:pPr>
            <w:hyperlink w:anchor="page419">
              <w:r>
                <w:rPr>
                  <w:rFonts w:ascii="Arial" w:cs="Arial" w:eastAsia="Arial" w:hAnsi="Arial"/>
                  <w:sz w:val="17"/>
                  <w:szCs w:val="17"/>
                  <w:color w:val="0000EE"/>
                  <w:w w:val="86"/>
                </w:rPr>
                <w:t>English translation of Spousal Consents dated September 22, 2020</w:t>
              </w:r>
            </w:hyperlink>
          </w:p>
        </w:tc>
        <w:tc>
          <w:tcPr>
            <w:tcW w:w="3340" w:type="dxa"/>
            <w:vAlign w:val="bottom"/>
            <w:tcBorders>
              <w:top w:val="single" w:sz="8" w:color="0000EE"/>
            </w:tcBorders>
            <w:gridSpan w:val="3"/>
          </w:tcPr>
          <w:p>
            <w:pPr>
              <w:spacing w:after="0"/>
              <w:rPr>
                <w:sz w:val="15"/>
                <w:szCs w:val="15"/>
                <w:color w:val="auto"/>
              </w:rPr>
            </w:pPr>
          </w:p>
        </w:tc>
        <w:tc>
          <w:tcPr>
            <w:tcW w:w="2340" w:type="dxa"/>
            <w:vAlign w:val="bottom"/>
            <w:gridSpan w:val="24"/>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4.52*</w:t>
            </w:r>
          </w:p>
        </w:tc>
        <w:tc>
          <w:tcPr>
            <w:tcW w:w="9880" w:type="dxa"/>
            <w:vAlign w:val="bottom"/>
            <w:tcBorders>
              <w:bottom w:val="single" w:sz="8" w:color="0000EE"/>
            </w:tcBorders>
            <w:gridSpan w:val="36"/>
          </w:tcPr>
          <w:p>
            <w:pPr>
              <w:spacing w:after="0" w:line="180" w:lineRule="exact"/>
              <w:rPr>
                <w:rFonts w:ascii="Arial" w:cs="Arial" w:eastAsia="Arial" w:hAnsi="Arial"/>
                <w:sz w:val="17"/>
                <w:szCs w:val="17"/>
                <w:color w:val="0000EE"/>
                <w:w w:val="88"/>
              </w:rPr>
            </w:pPr>
            <w:hyperlink w:anchor="page421">
              <w:r>
                <w:rPr>
                  <w:rFonts w:ascii="Arial" w:cs="Arial" w:eastAsia="Arial" w:hAnsi="Arial"/>
                  <w:sz w:val="17"/>
                  <w:szCs w:val="17"/>
                  <w:color w:val="0000EE"/>
                  <w:w w:val="88"/>
                </w:rPr>
                <w:t>English translation of Exclusive Technical Consultation and Service Agreement among Wuhan Zhibo, Wuhan Jiayan and Wuhan Jiayan Subsidiaries</w:t>
              </w:r>
            </w:hyperlink>
          </w:p>
        </w:tc>
        <w:tc>
          <w:tcPr>
            <w:tcW w:w="220" w:type="dxa"/>
            <w:vAlign w:val="bottom"/>
            <w:gridSpan w:val="9"/>
          </w:tcPr>
          <w:p>
            <w:pPr>
              <w:spacing w:after="0"/>
              <w:rPr>
                <w:sz w:val="15"/>
                <w:szCs w:val="15"/>
                <w:color w:val="auto"/>
              </w:rPr>
            </w:pPr>
          </w:p>
        </w:tc>
      </w:tr>
      <w:tr>
        <w:trPr>
          <w:trHeight w:val="179"/>
        </w:trPr>
        <w:tc>
          <w:tcPr>
            <w:tcW w:w="1140" w:type="dxa"/>
            <w:vAlign w:val="bottom"/>
          </w:tcPr>
          <w:p>
            <w:pPr>
              <w:spacing w:after="0"/>
              <w:rPr>
                <w:sz w:val="15"/>
                <w:szCs w:val="15"/>
                <w:color w:val="auto"/>
              </w:rPr>
            </w:pPr>
          </w:p>
        </w:tc>
        <w:tc>
          <w:tcPr>
            <w:tcW w:w="1420" w:type="dxa"/>
            <w:vAlign w:val="bottom"/>
            <w:tcBorders>
              <w:bottom w:val="single" w:sz="8" w:color="0000EE"/>
            </w:tcBorders>
            <w:gridSpan w:val="5"/>
          </w:tcPr>
          <w:p>
            <w:pPr>
              <w:spacing w:after="0" w:line="180" w:lineRule="exact"/>
              <w:rPr>
                <w:rFonts w:ascii="Arial" w:cs="Arial" w:eastAsia="Arial" w:hAnsi="Arial"/>
                <w:sz w:val="17"/>
                <w:szCs w:val="17"/>
                <w:color w:val="0000EE"/>
                <w:w w:val="86"/>
              </w:rPr>
            </w:pPr>
            <w:hyperlink w:anchor="page421">
              <w:r>
                <w:rPr>
                  <w:rFonts w:ascii="Arial" w:cs="Arial" w:eastAsia="Arial" w:hAnsi="Arial"/>
                  <w:sz w:val="17"/>
                  <w:szCs w:val="17"/>
                  <w:color w:val="0000EE"/>
                  <w:w w:val="86"/>
                </w:rPr>
                <w:t>dated August 5, 2020</w:t>
              </w:r>
            </w:hyperlink>
          </w:p>
        </w:tc>
        <w:tc>
          <w:tcPr>
            <w:tcW w:w="8680" w:type="dxa"/>
            <w:vAlign w:val="bottom"/>
            <w:gridSpan w:val="40"/>
          </w:tcPr>
          <w:p>
            <w:pPr>
              <w:spacing w:after="0"/>
              <w:rPr>
                <w:sz w:val="15"/>
                <w:szCs w:val="15"/>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4.53*</w:t>
            </w:r>
          </w:p>
        </w:tc>
        <w:tc>
          <w:tcPr>
            <w:tcW w:w="10100" w:type="dxa"/>
            <w:vAlign w:val="bottom"/>
            <w:gridSpan w:val="45"/>
          </w:tcPr>
          <w:p>
            <w:pPr>
              <w:spacing w:after="0" w:line="180" w:lineRule="exact"/>
              <w:rPr>
                <w:rFonts w:ascii="Arial" w:cs="Arial" w:eastAsia="Arial" w:hAnsi="Arial"/>
                <w:sz w:val="17"/>
                <w:szCs w:val="17"/>
                <w:color w:val="0000EE"/>
                <w:w w:val="88"/>
              </w:rPr>
            </w:pPr>
            <w:hyperlink w:anchor="page432">
              <w:r>
                <w:rPr>
                  <w:rFonts w:ascii="Arial" w:cs="Arial" w:eastAsia="Arial" w:hAnsi="Arial"/>
                  <w:sz w:val="17"/>
                  <w:szCs w:val="17"/>
                  <w:color w:val="0000EE"/>
                  <w:w w:val="88"/>
                </w:rPr>
                <w:t>English translation of Business Operation Agreement among Wuhan Zhibo, Wuhan Jiayan, Wuhan Jiayan Subsidiaries and the shareholders of Wuhan</w:t>
              </w:r>
            </w:hyperlink>
          </w:p>
        </w:tc>
      </w:tr>
      <w:tr>
        <w:trPr>
          <w:trHeight w:val="179"/>
        </w:trPr>
        <w:tc>
          <w:tcPr>
            <w:tcW w:w="114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8"/>
          </w:tcPr>
          <w:p>
            <w:pPr>
              <w:spacing w:after="0" w:line="180" w:lineRule="exact"/>
              <w:rPr>
                <w:rFonts w:ascii="Arial" w:cs="Arial" w:eastAsia="Arial" w:hAnsi="Arial"/>
                <w:sz w:val="17"/>
                <w:szCs w:val="17"/>
                <w:color w:val="0000EE"/>
                <w:w w:val="86"/>
              </w:rPr>
            </w:pPr>
            <w:hyperlink w:anchor="page432">
              <w:r>
                <w:rPr>
                  <w:rFonts w:ascii="Arial" w:cs="Arial" w:eastAsia="Arial" w:hAnsi="Arial"/>
                  <w:sz w:val="17"/>
                  <w:szCs w:val="17"/>
                  <w:color w:val="0000EE"/>
                  <w:w w:val="86"/>
                </w:rPr>
                <w:t>Jiayan dated August 5, 2020</w:t>
              </w:r>
            </w:hyperlink>
          </w:p>
        </w:tc>
        <w:tc>
          <w:tcPr>
            <w:tcW w:w="8100" w:type="dxa"/>
            <w:vAlign w:val="bottom"/>
            <w:tcBorders>
              <w:top w:val="single" w:sz="8" w:color="0000EE"/>
            </w:tcBorders>
            <w:gridSpan w:val="31"/>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416"/>
        </w:trPr>
        <w:tc>
          <w:tcPr>
            <w:tcW w:w="1140" w:type="dxa"/>
            <w:vAlign w:val="bottom"/>
          </w:tcPr>
          <w:p>
            <w:pPr>
              <w:spacing w:after="0"/>
              <w:rPr>
                <w:sz w:val="24"/>
                <w:szCs w:val="24"/>
                <w:color w:val="auto"/>
              </w:rPr>
            </w:pPr>
          </w:p>
        </w:tc>
        <w:tc>
          <w:tcPr>
            <w:tcW w:w="7480" w:type="dxa"/>
            <w:vAlign w:val="bottom"/>
            <w:gridSpan w:val="19"/>
          </w:tcPr>
          <w:p>
            <w:pPr>
              <w:ind w:left="4360"/>
              <w:spacing w:after="0"/>
              <w:rPr>
                <w:sz w:val="20"/>
                <w:szCs w:val="20"/>
                <w:color w:val="auto"/>
              </w:rPr>
            </w:pPr>
            <w:r>
              <w:rPr>
                <w:rFonts w:ascii="Arial" w:cs="Arial" w:eastAsia="Arial" w:hAnsi="Arial"/>
                <w:sz w:val="17"/>
                <w:szCs w:val="17"/>
                <w:color w:val="181717"/>
              </w:rPr>
              <w:t>108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14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306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95"/>
        </w:trPr>
        <w:tc>
          <w:tcPr>
            <w:tcW w:w="1140" w:type="dxa"/>
            <w:vAlign w:val="bottom"/>
          </w:tcPr>
          <w:p>
            <w:pPr>
              <w:jc w:val="right"/>
              <w:ind w:right="517"/>
              <w:spacing w:after="0"/>
              <w:rPr>
                <w:sz w:val="20"/>
                <w:szCs w:val="20"/>
                <w:color w:val="auto"/>
              </w:rPr>
            </w:pPr>
            <w:r>
              <w:rPr>
                <w:rFonts w:ascii="Arial" w:cs="Arial" w:eastAsia="Arial" w:hAnsi="Arial"/>
                <w:sz w:val="17"/>
                <w:szCs w:val="17"/>
                <w:color w:val="181717"/>
              </w:rPr>
              <w:t>4.54*</w:t>
            </w:r>
          </w:p>
        </w:tc>
        <w:tc>
          <w:tcPr>
            <w:tcW w:w="10020" w:type="dxa"/>
            <w:vAlign w:val="bottom"/>
            <w:gridSpan w:val="29"/>
          </w:tcPr>
          <w:p>
            <w:pPr>
              <w:spacing w:after="0"/>
              <w:rPr>
                <w:rFonts w:ascii="Arial" w:cs="Arial" w:eastAsia="Arial" w:hAnsi="Arial"/>
                <w:sz w:val="17"/>
                <w:szCs w:val="17"/>
                <w:color w:val="0000EE"/>
                <w:w w:val="89"/>
              </w:rPr>
            </w:pPr>
            <w:hyperlink w:anchor="page440">
              <w:r>
                <w:rPr>
                  <w:rFonts w:ascii="Arial" w:cs="Arial" w:eastAsia="Arial" w:hAnsi="Arial"/>
                  <w:sz w:val="17"/>
                  <w:szCs w:val="17"/>
                  <w:color w:val="0000EE"/>
                  <w:w w:val="89"/>
                </w:rPr>
                <w:t>English translation of Equity Interest Pledge Agreement among Wuhan Zhibo, Wuhan Jiayan and the shareholders of Wuhan Jiayan dated August 5,</w:t>
              </w:r>
            </w:hyperlink>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320" w:type="dxa"/>
            <w:vAlign w:val="bottom"/>
            <w:tcBorders>
              <w:top w:val="single" w:sz="8" w:color="0000EE"/>
              <w:bottom w:val="single" w:sz="8" w:color="0000EE"/>
            </w:tcBorders>
          </w:tcPr>
          <w:p>
            <w:pPr>
              <w:spacing w:after="0" w:line="180" w:lineRule="exact"/>
              <w:rPr>
                <w:rFonts w:ascii="Arial" w:cs="Arial" w:eastAsia="Arial" w:hAnsi="Arial"/>
                <w:sz w:val="17"/>
                <w:szCs w:val="17"/>
                <w:color w:val="0000EE"/>
                <w:w w:val="79"/>
              </w:rPr>
            </w:pPr>
            <w:hyperlink w:anchor="page440">
              <w:r>
                <w:rPr>
                  <w:rFonts w:ascii="Arial" w:cs="Arial" w:eastAsia="Arial" w:hAnsi="Arial"/>
                  <w:sz w:val="17"/>
                  <w:szCs w:val="17"/>
                  <w:color w:val="0000EE"/>
                  <w:w w:val="79"/>
                </w:rPr>
                <w:t>2020</w:t>
              </w:r>
            </w:hyperlink>
          </w:p>
        </w:tc>
        <w:tc>
          <w:tcPr>
            <w:tcW w:w="2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4.55*</w:t>
            </w:r>
          </w:p>
        </w:tc>
        <w:tc>
          <w:tcPr>
            <w:tcW w:w="9200" w:type="dxa"/>
            <w:vAlign w:val="bottom"/>
            <w:tcBorders>
              <w:bottom w:val="single" w:sz="8" w:color="0000EE"/>
            </w:tcBorders>
            <w:gridSpan w:val="21"/>
          </w:tcPr>
          <w:p>
            <w:pPr>
              <w:spacing w:after="0" w:line="180" w:lineRule="exact"/>
              <w:rPr>
                <w:rFonts w:ascii="Arial" w:cs="Arial" w:eastAsia="Arial" w:hAnsi="Arial"/>
                <w:sz w:val="17"/>
                <w:szCs w:val="17"/>
                <w:color w:val="0000EE"/>
                <w:w w:val="88"/>
              </w:rPr>
            </w:pPr>
            <w:hyperlink w:anchor="page451">
              <w:r>
                <w:rPr>
                  <w:rFonts w:ascii="Arial" w:cs="Arial" w:eastAsia="Arial" w:hAnsi="Arial"/>
                  <w:sz w:val="17"/>
                  <w:szCs w:val="17"/>
                  <w:color w:val="0000EE"/>
                  <w:w w:val="88"/>
                </w:rPr>
                <w:t>English translation of Option Agreement among Wuhan Zhibo, Wuhan Jiayan and the shareholders of Wuhan Jiayan dated August 5, 2020</w:t>
              </w:r>
            </w:hyperlink>
          </w:p>
        </w:tc>
        <w:tc>
          <w:tcPr>
            <w:tcW w:w="8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4.56*</w:t>
            </w:r>
          </w:p>
        </w:tc>
        <w:tc>
          <w:tcPr>
            <w:tcW w:w="10020" w:type="dxa"/>
            <w:vAlign w:val="bottom"/>
            <w:gridSpan w:val="29"/>
          </w:tcPr>
          <w:p>
            <w:pPr>
              <w:spacing w:after="0" w:line="180" w:lineRule="exact"/>
              <w:rPr>
                <w:rFonts w:ascii="Arial" w:cs="Arial" w:eastAsia="Arial" w:hAnsi="Arial"/>
                <w:sz w:val="17"/>
                <w:szCs w:val="17"/>
                <w:color w:val="0000EE"/>
              </w:rPr>
            </w:pPr>
            <w:hyperlink w:anchor="page462">
              <w:r>
                <w:rPr>
                  <w:rFonts w:ascii="Arial" w:cs="Arial" w:eastAsia="Arial" w:hAnsi="Arial"/>
                  <w:sz w:val="17"/>
                  <w:szCs w:val="17"/>
                  <w:color w:val="0000EE"/>
                </w:rPr>
                <w:t>English translation of Spousal Consents dated August 5, 2020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4.57*</w:t>
            </w:r>
          </w:p>
        </w:tc>
        <w:tc>
          <w:tcPr>
            <w:tcW w:w="9300" w:type="dxa"/>
            <w:vAlign w:val="bottom"/>
            <w:tcBorders>
              <w:bottom w:val="single" w:sz="8" w:color="0000EE"/>
            </w:tcBorders>
            <w:gridSpan w:val="22"/>
          </w:tcPr>
          <w:p>
            <w:pPr>
              <w:spacing w:after="0" w:line="180" w:lineRule="exact"/>
              <w:rPr>
                <w:rFonts w:ascii="Arial" w:cs="Arial" w:eastAsia="Arial" w:hAnsi="Arial"/>
                <w:sz w:val="17"/>
                <w:szCs w:val="17"/>
                <w:color w:val="0000EE"/>
                <w:w w:val="88"/>
              </w:rPr>
            </w:pPr>
            <w:hyperlink w:anchor="page464">
              <w:r>
                <w:rPr>
                  <w:rFonts w:ascii="Arial" w:cs="Arial" w:eastAsia="Arial" w:hAnsi="Arial"/>
                  <w:sz w:val="17"/>
                  <w:szCs w:val="17"/>
                  <w:color w:val="0000EE"/>
                  <w:w w:val="88"/>
                </w:rPr>
                <w:t>English translation of Exclusive Technical Consultation and Service Agreement among Wuhan Zhibo, Wuhan Xiaoyan and Wuhan Xiaoyan</w:t>
              </w:r>
            </w:hyperlink>
          </w:p>
        </w:tc>
        <w:tc>
          <w:tcPr>
            <w:tcW w:w="7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2580" w:type="dxa"/>
            <w:vAlign w:val="bottom"/>
            <w:tcBorders>
              <w:bottom w:val="single" w:sz="8" w:color="0000EE"/>
            </w:tcBorders>
            <w:gridSpan w:val="6"/>
          </w:tcPr>
          <w:p>
            <w:pPr>
              <w:spacing w:after="0" w:line="180" w:lineRule="exact"/>
              <w:rPr>
                <w:rFonts w:ascii="Arial" w:cs="Arial" w:eastAsia="Arial" w:hAnsi="Arial"/>
                <w:sz w:val="17"/>
                <w:szCs w:val="17"/>
                <w:color w:val="0000EE"/>
                <w:w w:val="85"/>
              </w:rPr>
            </w:pPr>
            <w:hyperlink w:anchor="page464">
              <w:r>
                <w:rPr>
                  <w:rFonts w:ascii="Arial" w:cs="Arial" w:eastAsia="Arial" w:hAnsi="Arial"/>
                  <w:sz w:val="17"/>
                  <w:szCs w:val="17"/>
                  <w:color w:val="0000EE"/>
                  <w:w w:val="85"/>
                </w:rPr>
                <w:t>Subsidiaries dated September 10, 2019</w:t>
              </w:r>
            </w:hyperlink>
          </w:p>
        </w:tc>
        <w:tc>
          <w:tcPr>
            <w:tcW w:w="744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4.58*</w:t>
            </w:r>
          </w:p>
        </w:tc>
        <w:tc>
          <w:tcPr>
            <w:tcW w:w="10020" w:type="dxa"/>
            <w:vAlign w:val="bottom"/>
            <w:gridSpan w:val="29"/>
          </w:tcPr>
          <w:p>
            <w:pPr>
              <w:spacing w:after="0" w:line="180" w:lineRule="exact"/>
              <w:rPr>
                <w:rFonts w:ascii="Arial" w:cs="Arial" w:eastAsia="Arial" w:hAnsi="Arial"/>
                <w:sz w:val="17"/>
                <w:szCs w:val="17"/>
                <w:color w:val="0000EE"/>
                <w:w w:val="90"/>
              </w:rPr>
            </w:pPr>
            <w:hyperlink w:anchor="page473">
              <w:r>
                <w:rPr>
                  <w:rFonts w:ascii="Arial" w:cs="Arial" w:eastAsia="Arial" w:hAnsi="Arial"/>
                  <w:sz w:val="17"/>
                  <w:szCs w:val="17"/>
                  <w:color w:val="0000EE"/>
                  <w:w w:val="90"/>
                </w:rPr>
                <w:t>English translation of Business Operation Agreement among Wuhan Zhibo, Wuhan Xiaoyan, Wuhan Xiaoyan Subsidiaries and the shareholders of</w:t>
              </w:r>
            </w:hyperlink>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9740" w:type="dxa"/>
            <w:vAlign w:val="bottom"/>
            <w:tcBorders>
              <w:top w:val="single" w:sz="8" w:color="0000EE"/>
            </w:tcBorders>
            <w:gridSpan w:val="25"/>
          </w:tcPr>
          <w:p>
            <w:pPr>
              <w:spacing w:after="0" w:line="180" w:lineRule="exact"/>
              <w:rPr>
                <w:rFonts w:ascii="Arial" w:cs="Arial" w:eastAsia="Arial" w:hAnsi="Arial"/>
                <w:sz w:val="17"/>
                <w:szCs w:val="17"/>
                <w:color w:val="0000EE"/>
              </w:rPr>
            </w:pPr>
            <w:hyperlink w:anchor="page473">
              <w:r>
                <w:rPr>
                  <w:rFonts w:ascii="Arial" w:cs="Arial" w:eastAsia="Arial" w:hAnsi="Arial"/>
                  <w:sz w:val="17"/>
                  <w:szCs w:val="17"/>
                  <w:color w:val="0000EE"/>
                </w:rPr>
                <w:t>Wuhan Xiaoyan dated September 10, 2019</w:t>
              </w:r>
            </w:hyperlink>
          </w:p>
        </w:tc>
        <w:tc>
          <w:tcPr>
            <w:tcW w:w="2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4.59*</w:t>
            </w:r>
          </w:p>
        </w:tc>
        <w:tc>
          <w:tcPr>
            <w:tcW w:w="10020" w:type="dxa"/>
            <w:vAlign w:val="bottom"/>
            <w:gridSpan w:val="29"/>
          </w:tcPr>
          <w:p>
            <w:pPr>
              <w:spacing w:after="0" w:line="180" w:lineRule="exact"/>
              <w:rPr>
                <w:rFonts w:ascii="Arial" w:cs="Arial" w:eastAsia="Arial" w:hAnsi="Arial"/>
                <w:sz w:val="17"/>
                <w:szCs w:val="17"/>
                <w:color w:val="0000EE"/>
                <w:w w:val="93"/>
              </w:rPr>
            </w:pPr>
            <w:hyperlink w:anchor="page486">
              <w:r>
                <w:rPr>
                  <w:rFonts w:ascii="Arial" w:cs="Arial" w:eastAsia="Arial" w:hAnsi="Arial"/>
                  <w:sz w:val="17"/>
                  <w:szCs w:val="17"/>
                  <w:color w:val="0000EE"/>
                  <w:w w:val="93"/>
                </w:rPr>
                <w:t>English translation of Equity Interest Pledge Agreement among Wuhan Zhibo, Wuhan Xiaoyan and the shareholders of Wuhan Xiaoyan dated</w:t>
              </w:r>
            </w:hyperlink>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9420" w:type="dxa"/>
            <w:vAlign w:val="bottom"/>
            <w:tcBorders>
              <w:top w:val="single" w:sz="8" w:color="0000EE"/>
            </w:tcBorders>
            <w:gridSpan w:val="24"/>
          </w:tcPr>
          <w:p>
            <w:pPr>
              <w:spacing w:after="0" w:line="180" w:lineRule="exact"/>
              <w:rPr>
                <w:rFonts w:ascii="Arial" w:cs="Arial" w:eastAsia="Arial" w:hAnsi="Arial"/>
                <w:sz w:val="17"/>
                <w:szCs w:val="17"/>
                <w:color w:val="0000EE"/>
              </w:rPr>
            </w:pPr>
            <w:hyperlink w:anchor="page486">
              <w:r>
                <w:rPr>
                  <w:rFonts w:ascii="Arial" w:cs="Arial" w:eastAsia="Arial" w:hAnsi="Arial"/>
                  <w:sz w:val="17"/>
                  <w:szCs w:val="17"/>
                  <w:color w:val="0000EE"/>
                </w:rPr>
                <w:t>September 10, 2019</w:t>
              </w:r>
            </w:hyperlink>
          </w:p>
        </w:tc>
        <w:tc>
          <w:tcPr>
            <w:tcW w:w="6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4.60*</w:t>
            </w:r>
          </w:p>
        </w:tc>
        <w:tc>
          <w:tcPr>
            <w:tcW w:w="10020" w:type="dxa"/>
            <w:vAlign w:val="bottom"/>
            <w:gridSpan w:val="29"/>
          </w:tcPr>
          <w:p>
            <w:pPr>
              <w:spacing w:after="0" w:line="180" w:lineRule="exact"/>
              <w:rPr>
                <w:rFonts w:ascii="Arial" w:cs="Arial" w:eastAsia="Arial" w:hAnsi="Arial"/>
                <w:sz w:val="17"/>
                <w:szCs w:val="17"/>
                <w:color w:val="0000EE"/>
                <w:w w:val="90"/>
              </w:rPr>
            </w:pPr>
            <w:hyperlink w:anchor="page510">
              <w:r>
                <w:rPr>
                  <w:rFonts w:ascii="Arial" w:cs="Arial" w:eastAsia="Arial" w:hAnsi="Arial"/>
                  <w:sz w:val="17"/>
                  <w:szCs w:val="17"/>
                  <w:color w:val="0000EE"/>
                  <w:w w:val="90"/>
                </w:rPr>
                <w:t>English translation of Option Agreement among Wuhan Zhibo, Wuhan Xiaoyan and the shareholders of Wuhan Xiaoyan dated September 10, 2019</w:t>
              </w:r>
            </w:hyperlink>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4.61*</w:t>
            </w:r>
          </w:p>
        </w:tc>
        <w:tc>
          <w:tcPr>
            <w:tcW w:w="9780" w:type="dxa"/>
            <w:vAlign w:val="bottom"/>
            <w:tcBorders>
              <w:top w:val="single" w:sz="8" w:color="0000EE"/>
            </w:tcBorders>
            <w:gridSpan w:val="26"/>
          </w:tcPr>
          <w:p>
            <w:pPr>
              <w:spacing w:after="0" w:line="180" w:lineRule="exact"/>
              <w:rPr>
                <w:rFonts w:ascii="Arial" w:cs="Arial" w:eastAsia="Arial" w:hAnsi="Arial"/>
                <w:sz w:val="17"/>
                <w:szCs w:val="17"/>
                <w:color w:val="0000EE"/>
              </w:rPr>
            </w:pPr>
            <w:hyperlink w:anchor="page520">
              <w:r>
                <w:rPr>
                  <w:rFonts w:ascii="Arial" w:cs="Arial" w:eastAsia="Arial" w:hAnsi="Arial"/>
                  <w:sz w:val="17"/>
                  <w:szCs w:val="17"/>
                  <w:color w:val="0000EE"/>
                </w:rPr>
                <w:t>English translation of Power of Attorney granted by the shareholders of Wuhan Xiaoyan dated September 10, 2019</w:t>
              </w:r>
            </w:hyperlink>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4.62*</w:t>
            </w:r>
          </w:p>
        </w:tc>
        <w:tc>
          <w:tcPr>
            <w:tcW w:w="4440" w:type="dxa"/>
            <w:vAlign w:val="bottom"/>
            <w:tcBorders>
              <w:top w:val="single" w:sz="8" w:color="0000EE"/>
              <w:bottom w:val="single" w:sz="8" w:color="0000EE"/>
            </w:tcBorders>
            <w:gridSpan w:val="14"/>
          </w:tcPr>
          <w:p>
            <w:pPr>
              <w:spacing w:after="0" w:line="180" w:lineRule="exact"/>
              <w:rPr>
                <w:rFonts w:ascii="Arial" w:cs="Arial" w:eastAsia="Arial" w:hAnsi="Arial"/>
                <w:sz w:val="17"/>
                <w:szCs w:val="17"/>
                <w:color w:val="0000EE"/>
                <w:w w:val="87"/>
              </w:rPr>
            </w:pPr>
            <w:hyperlink w:anchor="page522">
              <w:r>
                <w:rPr>
                  <w:rFonts w:ascii="Arial" w:cs="Arial" w:eastAsia="Arial" w:hAnsi="Arial"/>
                  <w:sz w:val="17"/>
                  <w:szCs w:val="17"/>
                  <w:color w:val="0000EE"/>
                  <w:w w:val="87"/>
                </w:rPr>
                <w:t>English translation of Spousal Consents dated September 10, 2019</w:t>
              </w:r>
            </w:hyperlink>
          </w:p>
        </w:tc>
        <w:tc>
          <w:tcPr>
            <w:tcW w:w="3200" w:type="dxa"/>
            <w:vAlign w:val="bottom"/>
            <w:tcBorders>
              <w:top w:val="single" w:sz="8" w:color="0000EE"/>
            </w:tcBorders>
            <w:gridSpan w:val="5"/>
          </w:tcPr>
          <w:p>
            <w:pPr>
              <w:spacing w:after="0"/>
              <w:rPr>
                <w:sz w:val="15"/>
                <w:szCs w:val="15"/>
                <w:color w:val="auto"/>
              </w:rPr>
            </w:pPr>
          </w:p>
        </w:tc>
        <w:tc>
          <w:tcPr>
            <w:tcW w:w="238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4.63*</w:t>
            </w:r>
          </w:p>
        </w:tc>
        <w:tc>
          <w:tcPr>
            <w:tcW w:w="10020" w:type="dxa"/>
            <w:vAlign w:val="bottom"/>
            <w:tcBorders>
              <w:bottom w:val="single" w:sz="8" w:color="0000EE"/>
            </w:tcBorders>
            <w:gridSpan w:val="29"/>
          </w:tcPr>
          <w:p>
            <w:pPr>
              <w:spacing w:after="0" w:line="180" w:lineRule="exact"/>
              <w:rPr>
                <w:rFonts w:ascii="Arial" w:cs="Arial" w:eastAsia="Arial" w:hAnsi="Arial"/>
                <w:sz w:val="17"/>
                <w:szCs w:val="17"/>
                <w:color w:val="0000EE"/>
                <w:w w:val="88"/>
              </w:rPr>
            </w:pPr>
            <w:hyperlink w:anchor="page524">
              <w:r>
                <w:rPr>
                  <w:rFonts w:ascii="Arial" w:cs="Arial" w:eastAsia="Arial" w:hAnsi="Arial"/>
                  <w:sz w:val="17"/>
                  <w:szCs w:val="17"/>
                  <w:color w:val="0000EE"/>
                  <w:w w:val="88"/>
                </w:rPr>
                <w:t>English translation of Exclusive Technical Consultation and Service Agreement among Wuhan Zhibo, Guangzhou Wudawei and Guangzhou Wudawei</w:t>
              </w:r>
            </w:hyperlink>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2580" w:type="dxa"/>
            <w:vAlign w:val="bottom"/>
            <w:tcBorders>
              <w:bottom w:val="single" w:sz="8" w:color="0000EE"/>
            </w:tcBorders>
            <w:gridSpan w:val="6"/>
          </w:tcPr>
          <w:p>
            <w:pPr>
              <w:spacing w:after="0" w:line="180" w:lineRule="exact"/>
              <w:rPr>
                <w:rFonts w:ascii="Arial" w:cs="Arial" w:eastAsia="Arial" w:hAnsi="Arial"/>
                <w:sz w:val="17"/>
                <w:szCs w:val="17"/>
                <w:color w:val="0000EE"/>
                <w:w w:val="85"/>
              </w:rPr>
            </w:pPr>
            <w:hyperlink w:anchor="page524">
              <w:r>
                <w:rPr>
                  <w:rFonts w:ascii="Arial" w:cs="Arial" w:eastAsia="Arial" w:hAnsi="Arial"/>
                  <w:sz w:val="17"/>
                  <w:szCs w:val="17"/>
                  <w:color w:val="0000EE"/>
                  <w:w w:val="85"/>
                </w:rPr>
                <w:t>Subsidiaries dated September 14, 2020</w:t>
              </w:r>
            </w:hyperlink>
          </w:p>
        </w:tc>
        <w:tc>
          <w:tcPr>
            <w:tcW w:w="744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4.64*</w:t>
            </w:r>
          </w:p>
        </w:tc>
        <w:tc>
          <w:tcPr>
            <w:tcW w:w="10020" w:type="dxa"/>
            <w:vAlign w:val="bottom"/>
            <w:gridSpan w:val="29"/>
          </w:tcPr>
          <w:p>
            <w:pPr>
              <w:spacing w:after="0" w:line="180" w:lineRule="exact"/>
              <w:rPr>
                <w:rFonts w:ascii="Arial" w:cs="Arial" w:eastAsia="Arial" w:hAnsi="Arial"/>
                <w:sz w:val="17"/>
                <w:szCs w:val="17"/>
                <w:color w:val="0000EE"/>
                <w:w w:val="93"/>
              </w:rPr>
            </w:pPr>
            <w:hyperlink w:anchor="page536">
              <w:r>
                <w:rPr>
                  <w:rFonts w:ascii="Arial" w:cs="Arial" w:eastAsia="Arial" w:hAnsi="Arial"/>
                  <w:sz w:val="17"/>
                  <w:szCs w:val="17"/>
                  <w:color w:val="0000EE"/>
                  <w:w w:val="93"/>
                </w:rPr>
                <w:t>English translation of Business Operation Agreement among Wuhan Zhibo, Guangzhou Wudawei, Guangzhou Wudawei Subsidiaries and the</w:t>
              </w:r>
            </w:hyperlink>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9400" w:type="dxa"/>
            <w:vAlign w:val="bottom"/>
            <w:tcBorders>
              <w:top w:val="single" w:sz="8" w:color="0000EE"/>
            </w:tcBorders>
            <w:gridSpan w:val="23"/>
          </w:tcPr>
          <w:p>
            <w:pPr>
              <w:spacing w:after="0" w:line="180" w:lineRule="exact"/>
              <w:rPr>
                <w:rFonts w:ascii="Arial" w:cs="Arial" w:eastAsia="Arial" w:hAnsi="Arial"/>
                <w:sz w:val="17"/>
                <w:szCs w:val="17"/>
                <w:color w:val="0000EE"/>
              </w:rPr>
            </w:pPr>
            <w:hyperlink w:anchor="page536">
              <w:r>
                <w:rPr>
                  <w:rFonts w:ascii="Arial" w:cs="Arial" w:eastAsia="Arial" w:hAnsi="Arial"/>
                  <w:sz w:val="17"/>
                  <w:szCs w:val="17"/>
                  <w:color w:val="0000EE"/>
                </w:rPr>
                <w:t>shareholders of Guangzhou Wudawei dated September 14, 2020</w:t>
              </w:r>
            </w:hyperlink>
          </w:p>
        </w:tc>
        <w:tc>
          <w:tcPr>
            <w:tcW w:w="6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4.65*</w:t>
            </w:r>
          </w:p>
        </w:tc>
        <w:tc>
          <w:tcPr>
            <w:tcW w:w="10020" w:type="dxa"/>
            <w:vAlign w:val="bottom"/>
            <w:gridSpan w:val="29"/>
          </w:tcPr>
          <w:p>
            <w:pPr>
              <w:spacing w:after="0" w:line="180" w:lineRule="exact"/>
              <w:rPr>
                <w:rFonts w:ascii="Arial" w:cs="Arial" w:eastAsia="Arial" w:hAnsi="Arial"/>
                <w:sz w:val="17"/>
                <w:szCs w:val="17"/>
                <w:color w:val="0000EE"/>
                <w:w w:val="90"/>
              </w:rPr>
            </w:pPr>
            <w:hyperlink w:anchor="page549">
              <w:r>
                <w:rPr>
                  <w:rFonts w:ascii="Arial" w:cs="Arial" w:eastAsia="Arial" w:hAnsi="Arial"/>
                  <w:sz w:val="17"/>
                  <w:szCs w:val="17"/>
                  <w:color w:val="0000EE"/>
                  <w:w w:val="90"/>
                </w:rPr>
                <w:t>English translation of Equity Interest Pledge Agreement among Wuhan Zhibo, Guangzhou Wudawei and the shareholders of Guangzhou Wudawei</w:t>
              </w:r>
            </w:hyperlink>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9740" w:type="dxa"/>
            <w:vAlign w:val="bottom"/>
            <w:tcBorders>
              <w:top w:val="single" w:sz="8" w:color="0000EE"/>
            </w:tcBorders>
            <w:gridSpan w:val="25"/>
          </w:tcPr>
          <w:p>
            <w:pPr>
              <w:spacing w:after="0" w:line="180" w:lineRule="exact"/>
              <w:rPr>
                <w:rFonts w:ascii="Arial" w:cs="Arial" w:eastAsia="Arial" w:hAnsi="Arial"/>
                <w:sz w:val="17"/>
                <w:szCs w:val="17"/>
                <w:color w:val="0000EE"/>
              </w:rPr>
            </w:pPr>
            <w:hyperlink w:anchor="page549">
              <w:r>
                <w:rPr>
                  <w:rFonts w:ascii="Arial" w:cs="Arial" w:eastAsia="Arial" w:hAnsi="Arial"/>
                  <w:sz w:val="17"/>
                  <w:szCs w:val="17"/>
                  <w:color w:val="0000EE"/>
                </w:rPr>
                <w:t>dated September 14, 2020</w:t>
              </w:r>
            </w:hyperlink>
          </w:p>
        </w:tc>
        <w:tc>
          <w:tcPr>
            <w:tcW w:w="2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4.66*</w:t>
            </w:r>
          </w:p>
        </w:tc>
        <w:tc>
          <w:tcPr>
            <w:tcW w:w="10020" w:type="dxa"/>
            <w:vAlign w:val="bottom"/>
            <w:gridSpan w:val="29"/>
          </w:tcPr>
          <w:p>
            <w:pPr>
              <w:spacing w:after="0" w:line="180" w:lineRule="exact"/>
              <w:rPr>
                <w:rFonts w:ascii="Arial" w:cs="Arial" w:eastAsia="Arial" w:hAnsi="Arial"/>
                <w:sz w:val="17"/>
                <w:szCs w:val="17"/>
                <w:color w:val="0000EE"/>
                <w:w w:val="89"/>
              </w:rPr>
            </w:pPr>
            <w:hyperlink w:anchor="page559">
              <w:r>
                <w:rPr>
                  <w:rFonts w:ascii="Arial" w:cs="Arial" w:eastAsia="Arial" w:hAnsi="Arial"/>
                  <w:sz w:val="17"/>
                  <w:szCs w:val="17"/>
                  <w:color w:val="0000EE"/>
                  <w:w w:val="89"/>
                </w:rPr>
                <w:t>English translation of Option Agreement among Wuhan Zhibo, Guangzhou Wudawei and the shareholders of Guangzhou Wudawei dated September</w:t>
              </w:r>
            </w:hyperlink>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580" w:type="dxa"/>
            <w:vAlign w:val="bottom"/>
            <w:tcBorders>
              <w:top w:val="single" w:sz="8" w:color="0000EE"/>
              <w:bottom w:val="single" w:sz="8" w:color="0000EE"/>
            </w:tcBorders>
            <w:gridSpan w:val="2"/>
          </w:tcPr>
          <w:p>
            <w:pPr>
              <w:spacing w:after="0" w:line="180" w:lineRule="exact"/>
              <w:rPr>
                <w:rFonts w:ascii="Arial" w:cs="Arial" w:eastAsia="Arial" w:hAnsi="Arial"/>
                <w:sz w:val="17"/>
                <w:szCs w:val="17"/>
                <w:color w:val="0000EE"/>
                <w:w w:val="84"/>
              </w:rPr>
            </w:pPr>
            <w:hyperlink w:anchor="page559">
              <w:r>
                <w:rPr>
                  <w:rFonts w:ascii="Arial" w:cs="Arial" w:eastAsia="Arial" w:hAnsi="Arial"/>
                  <w:sz w:val="17"/>
                  <w:szCs w:val="17"/>
                  <w:color w:val="0000EE"/>
                  <w:w w:val="84"/>
                </w:rPr>
                <w:t>14, 2020</w:t>
              </w:r>
            </w:hyperlink>
          </w:p>
        </w:tc>
        <w:tc>
          <w:tcPr>
            <w:tcW w:w="7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4.67*</w:t>
            </w:r>
          </w:p>
        </w:tc>
        <w:tc>
          <w:tcPr>
            <w:tcW w:w="10020" w:type="dxa"/>
            <w:vAlign w:val="bottom"/>
            <w:gridSpan w:val="29"/>
          </w:tcPr>
          <w:p>
            <w:pPr>
              <w:spacing w:after="0" w:line="180" w:lineRule="exact"/>
              <w:rPr>
                <w:rFonts w:ascii="Arial" w:cs="Arial" w:eastAsia="Arial" w:hAnsi="Arial"/>
                <w:sz w:val="17"/>
                <w:szCs w:val="17"/>
                <w:color w:val="0000EE"/>
              </w:rPr>
            </w:pPr>
            <w:hyperlink w:anchor="page571">
              <w:r>
                <w:rPr>
                  <w:rFonts w:ascii="Arial" w:cs="Arial" w:eastAsia="Arial" w:hAnsi="Arial"/>
                  <w:sz w:val="17"/>
                  <w:szCs w:val="17"/>
                  <w:color w:val="0000EE"/>
                </w:rPr>
                <w:t>English translation of Power of Attorney granted by the shareholders of Guangzhou Wudawei dated September 14, 2020</w:t>
              </w:r>
            </w:hyperlink>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4.68*</w:t>
            </w:r>
          </w:p>
        </w:tc>
        <w:tc>
          <w:tcPr>
            <w:tcW w:w="4420" w:type="dxa"/>
            <w:vAlign w:val="bottom"/>
            <w:tcBorders>
              <w:top w:val="single" w:sz="8" w:color="0000EE"/>
              <w:bottom w:val="single" w:sz="8" w:color="0000EE"/>
            </w:tcBorders>
            <w:gridSpan w:val="13"/>
          </w:tcPr>
          <w:p>
            <w:pPr>
              <w:spacing w:after="0" w:line="180" w:lineRule="exact"/>
              <w:rPr>
                <w:rFonts w:ascii="Arial" w:cs="Arial" w:eastAsia="Arial" w:hAnsi="Arial"/>
                <w:sz w:val="17"/>
                <w:szCs w:val="17"/>
                <w:color w:val="0000EE"/>
                <w:w w:val="86"/>
              </w:rPr>
            </w:pPr>
            <w:hyperlink w:anchor="page573">
              <w:r>
                <w:rPr>
                  <w:rFonts w:ascii="Arial" w:cs="Arial" w:eastAsia="Arial" w:hAnsi="Arial"/>
                  <w:sz w:val="17"/>
                  <w:szCs w:val="17"/>
                  <w:color w:val="0000EE"/>
                  <w:w w:val="86"/>
                </w:rPr>
                <w:t>English translation of Spousal Consents dated September 14, 2020</w:t>
              </w:r>
            </w:hyperlink>
          </w:p>
        </w:tc>
        <w:tc>
          <w:tcPr>
            <w:tcW w:w="3580" w:type="dxa"/>
            <w:vAlign w:val="bottom"/>
            <w:tcBorders>
              <w:top w:val="single" w:sz="8" w:color="0000EE"/>
            </w:tcBorders>
            <w:gridSpan w:val="7"/>
          </w:tcPr>
          <w:p>
            <w:pPr>
              <w:spacing w:after="0"/>
              <w:rPr>
                <w:sz w:val="15"/>
                <w:szCs w:val="15"/>
                <w:color w:val="auto"/>
              </w:rPr>
            </w:pPr>
          </w:p>
        </w:tc>
        <w:tc>
          <w:tcPr>
            <w:tcW w:w="20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right"/>
              <w:ind w:right="597"/>
              <w:spacing w:after="0" w:line="180" w:lineRule="exact"/>
              <w:rPr>
                <w:sz w:val="20"/>
                <w:szCs w:val="20"/>
                <w:color w:val="auto"/>
              </w:rPr>
            </w:pPr>
            <w:r>
              <w:rPr>
                <w:rFonts w:ascii="Arial" w:cs="Arial" w:eastAsia="Arial" w:hAnsi="Arial"/>
                <w:sz w:val="17"/>
                <w:szCs w:val="17"/>
                <w:color w:val="181717"/>
              </w:rPr>
              <w:t>8.1*</w:t>
            </w:r>
          </w:p>
        </w:tc>
        <w:tc>
          <w:tcPr>
            <w:tcW w:w="10020" w:type="dxa"/>
            <w:vAlign w:val="bottom"/>
            <w:gridSpan w:val="29"/>
          </w:tcPr>
          <w:p>
            <w:pPr>
              <w:spacing w:after="0" w:line="180" w:lineRule="exact"/>
              <w:rPr>
                <w:rFonts w:ascii="Arial" w:cs="Arial" w:eastAsia="Arial" w:hAnsi="Arial"/>
                <w:sz w:val="17"/>
                <w:szCs w:val="17"/>
                <w:color w:val="0000EE"/>
              </w:rPr>
            </w:pPr>
            <w:hyperlink w:anchor="page577">
              <w:r>
                <w:rPr>
                  <w:rFonts w:ascii="Arial" w:cs="Arial" w:eastAsia="Arial" w:hAnsi="Arial"/>
                  <w:sz w:val="17"/>
                  <w:szCs w:val="17"/>
                  <w:color w:val="0000EE"/>
                </w:rPr>
                <w:t>List of subsidiaries and VIEs of the Registrant</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jc w:val="right"/>
              <w:ind w:right="517"/>
              <w:spacing w:after="0"/>
              <w:rPr>
                <w:sz w:val="20"/>
                <w:szCs w:val="20"/>
                <w:color w:val="auto"/>
              </w:rPr>
            </w:pPr>
            <w:r>
              <w:rPr>
                <w:rFonts w:ascii="Arial" w:cs="Arial" w:eastAsia="Arial" w:hAnsi="Arial"/>
                <w:sz w:val="17"/>
                <w:szCs w:val="17"/>
                <w:color w:val="181717"/>
              </w:rPr>
              <w:t>11.1</w:t>
            </w:r>
            <w:r>
              <w:rPr>
                <w:rFonts w:ascii="Arial" w:cs="Arial" w:eastAsia="Arial" w:hAnsi="Arial"/>
                <w:sz w:val="14"/>
                <w:szCs w:val="14"/>
                <w:color w:val="181717"/>
              </w:rPr>
              <w:t>(1)</w:t>
            </w:r>
          </w:p>
        </w:tc>
        <w:tc>
          <w:tcPr>
            <w:tcW w:w="2140" w:type="dxa"/>
            <w:vAlign w:val="bottom"/>
            <w:gridSpan w:val="5"/>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vMerge w:val="continue"/>
          </w:tcPr>
          <w:p>
            <w:pPr>
              <w:spacing w:after="0"/>
              <w:rPr>
                <w:sz w:val="15"/>
                <w:szCs w:val="15"/>
                <w:color w:val="auto"/>
              </w:rPr>
            </w:pPr>
          </w:p>
        </w:tc>
        <w:tc>
          <w:tcPr>
            <w:tcW w:w="10020" w:type="dxa"/>
            <w:vAlign w:val="bottom"/>
            <w:gridSpan w:val="29"/>
          </w:tcPr>
          <w:p>
            <w:pPr>
              <w:spacing w:after="0" w:line="180" w:lineRule="exact"/>
              <w:rPr>
                <w:rFonts w:ascii="Arial" w:cs="Arial" w:eastAsia="Arial" w:hAnsi="Arial"/>
                <w:sz w:val="17"/>
                <w:szCs w:val="17"/>
                <w:color w:val="0000EE"/>
              </w:rPr>
            </w:pPr>
            <w:hyperlink r:id="rId158">
              <w:r>
                <w:rPr>
                  <w:rFonts w:ascii="Arial" w:cs="Arial" w:eastAsia="Arial" w:hAnsi="Arial"/>
                  <w:sz w:val="17"/>
                  <w:szCs w:val="17"/>
                  <w:color w:val="0000EE"/>
                </w:rPr>
                <w:t>Code of Business Conduct and Ethics of the Registrant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jc w:val="right"/>
              <w:ind w:right="597"/>
              <w:spacing w:after="0" w:line="180" w:lineRule="exact"/>
              <w:rPr>
                <w:sz w:val="20"/>
                <w:szCs w:val="20"/>
                <w:color w:val="auto"/>
              </w:rPr>
            </w:pPr>
            <w:r>
              <w:rPr>
                <w:rFonts w:ascii="Arial" w:cs="Arial" w:eastAsia="Arial" w:hAnsi="Arial"/>
                <w:sz w:val="17"/>
                <w:szCs w:val="17"/>
                <w:color w:val="181717"/>
              </w:rPr>
              <w:t>12.1*</w:t>
            </w:r>
          </w:p>
        </w:tc>
        <w:tc>
          <w:tcPr>
            <w:tcW w:w="10020" w:type="dxa"/>
            <w:vAlign w:val="bottom"/>
            <w:gridSpan w:val="29"/>
          </w:tcPr>
          <w:p>
            <w:pPr>
              <w:spacing w:after="0" w:line="180" w:lineRule="exact"/>
              <w:rPr>
                <w:rFonts w:ascii="Arial" w:cs="Arial" w:eastAsia="Arial" w:hAnsi="Arial"/>
                <w:sz w:val="17"/>
                <w:szCs w:val="17"/>
                <w:color w:val="0000EE"/>
              </w:rPr>
            </w:pPr>
            <w:hyperlink w:anchor="page578">
              <w:r>
                <w:rPr>
                  <w:rFonts w:ascii="Arial" w:cs="Arial" w:eastAsia="Arial" w:hAnsi="Arial"/>
                  <w:sz w:val="17"/>
                  <w:szCs w:val="17"/>
                  <w:color w:val="0000EE"/>
                </w:rPr>
                <w:t>Certification by Principal Executive Officer Pursuant to Section 302 of the Sarbanes-Oxley Act of 2002</w:t>
              </w:r>
            </w:hyperlink>
          </w:p>
        </w:tc>
        <w:tc>
          <w:tcPr>
            <w:tcW w:w="0" w:type="dxa"/>
            <w:vAlign w:val="bottom"/>
          </w:tcPr>
          <w:p>
            <w:pPr>
              <w:spacing w:after="0"/>
              <w:rPr>
                <w:sz w:val="1"/>
                <w:szCs w:val="1"/>
                <w:color w:val="auto"/>
              </w:rPr>
            </w:pPr>
          </w:p>
        </w:tc>
      </w:tr>
      <w:tr>
        <w:trPr>
          <w:trHeight w:val="179"/>
        </w:trPr>
        <w:tc>
          <w:tcPr>
            <w:tcW w:w="1140" w:type="dxa"/>
            <w:vAlign w:val="bottom"/>
          </w:tcPr>
          <w:p>
            <w:pPr>
              <w:jc w:val="right"/>
              <w:ind w:right="597"/>
              <w:spacing w:after="0" w:line="180" w:lineRule="exact"/>
              <w:rPr>
                <w:sz w:val="20"/>
                <w:szCs w:val="20"/>
                <w:color w:val="auto"/>
              </w:rPr>
            </w:pPr>
            <w:r>
              <w:rPr>
                <w:rFonts w:ascii="Arial" w:cs="Arial" w:eastAsia="Arial" w:hAnsi="Arial"/>
                <w:sz w:val="17"/>
                <w:szCs w:val="17"/>
                <w:color w:val="181717"/>
              </w:rPr>
              <w:t>12.2*</w:t>
            </w:r>
          </w:p>
        </w:tc>
        <w:tc>
          <w:tcPr>
            <w:tcW w:w="6860" w:type="dxa"/>
            <w:vAlign w:val="bottom"/>
            <w:tcBorders>
              <w:top w:val="single" w:sz="8" w:color="0000EE"/>
              <w:bottom w:val="single" w:sz="8" w:color="0000EE"/>
            </w:tcBorders>
            <w:gridSpan w:val="17"/>
          </w:tcPr>
          <w:p>
            <w:pPr>
              <w:spacing w:after="0" w:line="180" w:lineRule="exact"/>
              <w:rPr>
                <w:rFonts w:ascii="Arial" w:cs="Arial" w:eastAsia="Arial" w:hAnsi="Arial"/>
                <w:sz w:val="17"/>
                <w:szCs w:val="17"/>
                <w:color w:val="0000EE"/>
                <w:w w:val="89"/>
              </w:rPr>
            </w:pPr>
            <w:hyperlink w:anchor="page579">
              <w:r>
                <w:rPr>
                  <w:rFonts w:ascii="Arial" w:cs="Arial" w:eastAsia="Arial" w:hAnsi="Arial"/>
                  <w:sz w:val="17"/>
                  <w:szCs w:val="17"/>
                  <w:color w:val="0000EE"/>
                  <w:w w:val="89"/>
                </w:rPr>
                <w:t>Certification by Principal Financial Officer Pursuant to Section 302 of the Sarbanes-Oxley Act of 2002</w:t>
              </w:r>
            </w:hyperlink>
          </w:p>
        </w:tc>
        <w:tc>
          <w:tcPr>
            <w:tcW w:w="20" w:type="dxa"/>
            <w:vAlign w:val="bottom"/>
            <w:tcBorders>
              <w:top w:val="single" w:sz="8" w:color="0000EE"/>
            </w:tcBorders>
          </w:tcPr>
          <w:p>
            <w:pPr>
              <w:spacing w:after="0"/>
              <w:rPr>
                <w:sz w:val="15"/>
                <w:szCs w:val="15"/>
                <w:color w:val="auto"/>
              </w:rPr>
            </w:pPr>
          </w:p>
        </w:tc>
        <w:tc>
          <w:tcPr>
            <w:tcW w:w="31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13.1**</w:t>
            </w:r>
          </w:p>
        </w:tc>
        <w:tc>
          <w:tcPr>
            <w:tcW w:w="10020" w:type="dxa"/>
            <w:vAlign w:val="bottom"/>
            <w:gridSpan w:val="29"/>
          </w:tcPr>
          <w:p>
            <w:pPr>
              <w:spacing w:after="0" w:line="180" w:lineRule="exact"/>
              <w:rPr>
                <w:rFonts w:ascii="Arial" w:cs="Arial" w:eastAsia="Arial" w:hAnsi="Arial"/>
                <w:sz w:val="17"/>
                <w:szCs w:val="17"/>
                <w:color w:val="0000EE"/>
              </w:rPr>
            </w:pPr>
            <w:hyperlink w:anchor="page580">
              <w:r>
                <w:rPr>
                  <w:rFonts w:ascii="Arial" w:cs="Arial" w:eastAsia="Arial" w:hAnsi="Arial"/>
                  <w:sz w:val="17"/>
                  <w:szCs w:val="17"/>
                  <w:color w:val="0000EE"/>
                </w:rPr>
                <w:t>Certification by Principal Executive Officer Pursuant to Section 906 of the Sarbanes-Oxley Act of 2002</w:t>
              </w:r>
            </w:hyperlink>
          </w:p>
        </w:tc>
        <w:tc>
          <w:tcPr>
            <w:tcW w:w="0" w:type="dxa"/>
            <w:vAlign w:val="bottom"/>
          </w:tcPr>
          <w:p>
            <w:pPr>
              <w:spacing w:after="0"/>
              <w:rPr>
                <w:sz w:val="1"/>
                <w:szCs w:val="1"/>
                <w:color w:val="auto"/>
              </w:rPr>
            </w:pPr>
          </w:p>
        </w:tc>
      </w:tr>
      <w:tr>
        <w:trPr>
          <w:trHeight w:val="179"/>
        </w:trPr>
        <w:tc>
          <w:tcPr>
            <w:tcW w:w="1140" w:type="dxa"/>
            <w:vAlign w:val="bottom"/>
          </w:tcPr>
          <w:p>
            <w:pPr>
              <w:jc w:val="right"/>
              <w:ind w:right="517"/>
              <w:spacing w:after="0" w:line="180" w:lineRule="exact"/>
              <w:rPr>
                <w:sz w:val="20"/>
                <w:szCs w:val="20"/>
                <w:color w:val="auto"/>
              </w:rPr>
            </w:pPr>
            <w:r>
              <w:rPr>
                <w:rFonts w:ascii="Arial" w:cs="Arial" w:eastAsia="Arial" w:hAnsi="Arial"/>
                <w:sz w:val="17"/>
                <w:szCs w:val="17"/>
                <w:color w:val="181717"/>
              </w:rPr>
              <w:t>13.2**</w:t>
            </w:r>
          </w:p>
        </w:tc>
        <w:tc>
          <w:tcPr>
            <w:tcW w:w="6880" w:type="dxa"/>
            <w:vAlign w:val="bottom"/>
            <w:tcBorders>
              <w:top w:val="single" w:sz="8" w:color="0000EE"/>
            </w:tcBorders>
            <w:gridSpan w:val="18"/>
          </w:tcPr>
          <w:p>
            <w:pPr>
              <w:spacing w:after="0" w:line="180" w:lineRule="exact"/>
              <w:rPr>
                <w:rFonts w:ascii="Arial" w:cs="Arial" w:eastAsia="Arial" w:hAnsi="Arial"/>
                <w:sz w:val="17"/>
                <w:szCs w:val="17"/>
                <w:color w:val="0000EE"/>
                <w:w w:val="90"/>
              </w:rPr>
            </w:pPr>
            <w:hyperlink w:anchor="page581">
              <w:r>
                <w:rPr>
                  <w:rFonts w:ascii="Arial" w:cs="Arial" w:eastAsia="Arial" w:hAnsi="Arial"/>
                  <w:sz w:val="17"/>
                  <w:szCs w:val="17"/>
                  <w:color w:val="0000EE"/>
                  <w:w w:val="90"/>
                </w:rPr>
                <w:t>Certification by Principal Financial Officer Pursuant to Section 906 of the Sarbanes-Oxley Act of 2002</w:t>
              </w:r>
            </w:hyperlink>
          </w:p>
        </w:tc>
        <w:tc>
          <w:tcPr>
            <w:tcW w:w="31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jc w:val="right"/>
              <w:ind w:right="597"/>
              <w:spacing w:after="0" w:line="180" w:lineRule="exact"/>
              <w:rPr>
                <w:sz w:val="20"/>
                <w:szCs w:val="20"/>
                <w:color w:val="auto"/>
              </w:rPr>
            </w:pPr>
            <w:r>
              <w:rPr>
                <w:rFonts w:ascii="Arial" w:cs="Arial" w:eastAsia="Arial" w:hAnsi="Arial"/>
                <w:sz w:val="17"/>
                <w:szCs w:val="17"/>
                <w:color w:val="181717"/>
              </w:rPr>
              <w:t>15.1*</w:t>
            </w:r>
          </w:p>
        </w:tc>
        <w:tc>
          <w:tcPr>
            <w:tcW w:w="6840" w:type="dxa"/>
            <w:vAlign w:val="bottom"/>
            <w:tcBorders>
              <w:top w:val="single" w:sz="8" w:color="0000EE"/>
            </w:tcBorders>
            <w:gridSpan w:val="16"/>
          </w:tcPr>
          <w:p>
            <w:pPr>
              <w:spacing w:after="0" w:line="180" w:lineRule="exact"/>
              <w:rPr>
                <w:rFonts w:ascii="Arial" w:cs="Arial" w:eastAsia="Arial" w:hAnsi="Arial"/>
                <w:sz w:val="17"/>
                <w:szCs w:val="17"/>
                <w:color w:val="0000EE"/>
              </w:rPr>
            </w:pPr>
            <w:hyperlink w:anchor="page582">
              <w:r>
                <w:rPr>
                  <w:rFonts w:ascii="Arial" w:cs="Arial" w:eastAsia="Arial" w:hAnsi="Arial"/>
                  <w:sz w:val="17"/>
                  <w:szCs w:val="17"/>
                  <w:color w:val="0000EE"/>
                </w:rPr>
                <w:t>Consent of Tian Yuan Law Firm</w:t>
              </w:r>
            </w:hyperlink>
          </w:p>
        </w:tc>
        <w:tc>
          <w:tcPr>
            <w:tcW w:w="318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52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jc w:val="right"/>
              <w:ind w:right="597"/>
              <w:spacing w:after="0" w:line="180" w:lineRule="exact"/>
              <w:rPr>
                <w:sz w:val="20"/>
                <w:szCs w:val="20"/>
                <w:color w:val="auto"/>
              </w:rPr>
            </w:pPr>
            <w:r>
              <w:rPr>
                <w:rFonts w:ascii="Arial" w:cs="Arial" w:eastAsia="Arial" w:hAnsi="Arial"/>
                <w:sz w:val="17"/>
                <w:szCs w:val="17"/>
                <w:color w:val="181717"/>
              </w:rPr>
              <w:t>15.2*</w:t>
            </w:r>
          </w:p>
        </w:tc>
        <w:tc>
          <w:tcPr>
            <w:tcW w:w="10020" w:type="dxa"/>
            <w:vAlign w:val="bottom"/>
            <w:gridSpan w:val="29"/>
          </w:tcPr>
          <w:p>
            <w:pPr>
              <w:spacing w:after="0" w:line="180" w:lineRule="exact"/>
              <w:rPr>
                <w:rFonts w:ascii="Arial" w:cs="Arial" w:eastAsia="Arial" w:hAnsi="Arial"/>
                <w:sz w:val="17"/>
                <w:szCs w:val="17"/>
                <w:color w:val="0000EE"/>
              </w:rPr>
            </w:pPr>
            <w:hyperlink w:anchor="page583">
              <w:r>
                <w:rPr>
                  <w:rFonts w:ascii="Arial" w:cs="Arial" w:eastAsia="Arial" w:hAnsi="Arial"/>
                  <w:sz w:val="17"/>
                  <w:szCs w:val="17"/>
                  <w:color w:val="0000EE"/>
                </w:rPr>
                <w:t>Consent of Maples and Calder (Hong Kong) LLP</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gridSpan w:val="9"/>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52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jc w:val="right"/>
              <w:ind w:right="597"/>
              <w:spacing w:after="0" w:line="180" w:lineRule="exact"/>
              <w:rPr>
                <w:sz w:val="20"/>
                <w:szCs w:val="20"/>
                <w:color w:val="auto"/>
              </w:rPr>
            </w:pPr>
            <w:r>
              <w:rPr>
                <w:rFonts w:ascii="Arial" w:cs="Arial" w:eastAsia="Arial" w:hAnsi="Arial"/>
                <w:sz w:val="17"/>
                <w:szCs w:val="17"/>
                <w:color w:val="181717"/>
              </w:rPr>
              <w:t>15.3*</w:t>
            </w:r>
          </w:p>
        </w:tc>
        <w:tc>
          <w:tcPr>
            <w:tcW w:w="10020" w:type="dxa"/>
            <w:vAlign w:val="bottom"/>
            <w:gridSpan w:val="29"/>
          </w:tcPr>
          <w:p>
            <w:pPr>
              <w:spacing w:after="0" w:line="180" w:lineRule="exact"/>
              <w:rPr>
                <w:rFonts w:ascii="Arial" w:cs="Arial" w:eastAsia="Arial" w:hAnsi="Arial"/>
                <w:sz w:val="17"/>
                <w:szCs w:val="17"/>
                <w:color w:val="0000EE"/>
              </w:rPr>
            </w:pPr>
            <w:hyperlink w:anchor="page584">
              <w:r>
                <w:rPr>
                  <w:rFonts w:ascii="Arial" w:cs="Arial" w:eastAsia="Arial" w:hAnsi="Arial"/>
                  <w:sz w:val="17"/>
                  <w:szCs w:val="17"/>
                  <w:color w:val="0000EE"/>
                </w:rPr>
                <w:t>Consent of Deloitte Touche Tohmatsu Certified Public Accountants LLP</w:t>
              </w:r>
            </w:hyperlink>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7"/>
                <w:szCs w:val="17"/>
                <w:color w:val="auto"/>
              </w:rPr>
              <w:t>101.INS*</w:t>
            </w:r>
          </w:p>
        </w:tc>
        <w:tc>
          <w:tcPr>
            <w:tcW w:w="4820" w:type="dxa"/>
            <w:vAlign w:val="bottom"/>
            <w:tcBorders>
              <w:top w:val="single" w:sz="8" w:color="0000EE"/>
            </w:tcBorders>
            <w:gridSpan w:val="15"/>
          </w:tcPr>
          <w:p>
            <w:pPr>
              <w:spacing w:after="0"/>
              <w:rPr>
                <w:sz w:val="20"/>
                <w:szCs w:val="20"/>
                <w:color w:val="auto"/>
              </w:rPr>
            </w:pPr>
            <w:r>
              <w:rPr>
                <w:rFonts w:ascii="Arial" w:cs="Arial" w:eastAsia="Arial" w:hAnsi="Arial"/>
                <w:sz w:val="17"/>
                <w:szCs w:val="17"/>
                <w:color w:val="auto"/>
              </w:rPr>
              <w:t>Inline XBRL Instance Document</w:t>
            </w:r>
          </w:p>
        </w:tc>
        <w:tc>
          <w:tcPr>
            <w:tcW w:w="52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20"/>
                <w:szCs w:val="20"/>
                <w:color w:val="auto"/>
              </w:rPr>
            </w:pPr>
            <w:r>
              <w:rPr>
                <w:rFonts w:ascii="Arial" w:cs="Arial" w:eastAsia="Arial" w:hAnsi="Arial"/>
                <w:sz w:val="17"/>
                <w:szCs w:val="17"/>
                <w:color w:val="auto"/>
              </w:rPr>
              <w:t>101.SCH*</w:t>
            </w:r>
          </w:p>
        </w:tc>
        <w:tc>
          <w:tcPr>
            <w:tcW w:w="10020" w:type="dxa"/>
            <w:vAlign w:val="bottom"/>
            <w:gridSpan w:val="29"/>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199"/>
        </w:trPr>
        <w:tc>
          <w:tcPr>
            <w:tcW w:w="1140" w:type="dxa"/>
            <w:vAlign w:val="bottom"/>
          </w:tcPr>
          <w:p>
            <w:pPr>
              <w:spacing w:after="0"/>
              <w:rPr>
                <w:sz w:val="20"/>
                <w:szCs w:val="20"/>
                <w:color w:val="auto"/>
              </w:rPr>
            </w:pPr>
            <w:r>
              <w:rPr>
                <w:rFonts w:ascii="Arial" w:cs="Arial" w:eastAsia="Arial" w:hAnsi="Arial"/>
                <w:sz w:val="17"/>
                <w:szCs w:val="17"/>
                <w:color w:val="auto"/>
              </w:rPr>
              <w:t>101.CAL*</w:t>
            </w:r>
          </w:p>
        </w:tc>
        <w:tc>
          <w:tcPr>
            <w:tcW w:w="10020" w:type="dxa"/>
            <w:vAlign w:val="bottom"/>
            <w:gridSpan w:val="29"/>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199"/>
        </w:trPr>
        <w:tc>
          <w:tcPr>
            <w:tcW w:w="1140" w:type="dxa"/>
            <w:vAlign w:val="bottom"/>
          </w:tcPr>
          <w:p>
            <w:pPr>
              <w:spacing w:after="0"/>
              <w:rPr>
                <w:sz w:val="20"/>
                <w:szCs w:val="20"/>
                <w:color w:val="auto"/>
              </w:rPr>
            </w:pPr>
            <w:r>
              <w:rPr>
                <w:rFonts w:ascii="Arial" w:cs="Arial" w:eastAsia="Arial" w:hAnsi="Arial"/>
                <w:sz w:val="17"/>
                <w:szCs w:val="17"/>
                <w:color w:val="auto"/>
              </w:rPr>
              <w:t>101.DEF*</w:t>
            </w:r>
          </w:p>
        </w:tc>
        <w:tc>
          <w:tcPr>
            <w:tcW w:w="10020" w:type="dxa"/>
            <w:vAlign w:val="bottom"/>
            <w:gridSpan w:val="29"/>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199"/>
        </w:trPr>
        <w:tc>
          <w:tcPr>
            <w:tcW w:w="1140" w:type="dxa"/>
            <w:vAlign w:val="bottom"/>
          </w:tcPr>
          <w:p>
            <w:pPr>
              <w:spacing w:after="0"/>
              <w:rPr>
                <w:sz w:val="20"/>
                <w:szCs w:val="20"/>
                <w:color w:val="auto"/>
              </w:rPr>
            </w:pPr>
            <w:r>
              <w:rPr>
                <w:rFonts w:ascii="Arial" w:cs="Arial" w:eastAsia="Arial" w:hAnsi="Arial"/>
                <w:sz w:val="17"/>
                <w:szCs w:val="17"/>
                <w:color w:val="auto"/>
              </w:rPr>
              <w:t>101.LAB*</w:t>
            </w:r>
          </w:p>
        </w:tc>
        <w:tc>
          <w:tcPr>
            <w:tcW w:w="10020" w:type="dxa"/>
            <w:vAlign w:val="bottom"/>
            <w:gridSpan w:val="29"/>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199"/>
        </w:trPr>
        <w:tc>
          <w:tcPr>
            <w:tcW w:w="1140" w:type="dxa"/>
            <w:vAlign w:val="bottom"/>
          </w:tcPr>
          <w:p>
            <w:pPr>
              <w:spacing w:after="0"/>
              <w:rPr>
                <w:sz w:val="20"/>
                <w:szCs w:val="20"/>
                <w:color w:val="auto"/>
              </w:rPr>
            </w:pPr>
            <w:r>
              <w:rPr>
                <w:rFonts w:ascii="Arial" w:cs="Arial" w:eastAsia="Arial" w:hAnsi="Arial"/>
                <w:sz w:val="17"/>
                <w:szCs w:val="17"/>
                <w:color w:val="auto"/>
              </w:rPr>
              <w:t>101.PRE*</w:t>
            </w:r>
          </w:p>
        </w:tc>
        <w:tc>
          <w:tcPr>
            <w:tcW w:w="10020" w:type="dxa"/>
            <w:vAlign w:val="bottom"/>
            <w:gridSpan w:val="29"/>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12"/>
        </w:trPr>
        <w:tc>
          <w:tcPr>
            <w:tcW w:w="1140" w:type="dxa"/>
            <w:vAlign w:val="bottom"/>
          </w:tcPr>
          <w:p>
            <w:pPr>
              <w:spacing w:after="0"/>
              <w:rPr>
                <w:sz w:val="20"/>
                <w:szCs w:val="20"/>
                <w:color w:val="auto"/>
              </w:rPr>
            </w:pPr>
            <w:r>
              <w:rPr>
                <w:rFonts w:ascii="Arial" w:cs="Arial" w:eastAsia="Arial" w:hAnsi="Arial"/>
                <w:sz w:val="17"/>
                <w:szCs w:val="17"/>
                <w:color w:val="auto"/>
              </w:rPr>
              <w:t>104</w:t>
            </w:r>
          </w:p>
        </w:tc>
        <w:tc>
          <w:tcPr>
            <w:tcW w:w="10020" w:type="dxa"/>
            <w:vAlign w:val="bottom"/>
            <w:gridSpan w:val="29"/>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25336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253365" cy="7620"/>
                    </a:xfrm>
                    <a:prstGeom prst="rect">
                      <a:avLst/>
                    </a:prstGeom>
                    <a:noFill/>
                  </pic:spPr>
                </pic:pic>
              </a:graphicData>
            </a:graphic>
          </wp:anchor>
        </w:drawing>
      </w:r>
    </w:p>
    <w:p>
      <w:pPr>
        <w:spacing w:after="0" w:line="142" w:lineRule="exact"/>
        <w:rPr>
          <w:sz w:val="20"/>
          <w:szCs w:val="20"/>
          <w:color w:val="auto"/>
        </w:rPr>
      </w:pPr>
    </w:p>
    <w:p>
      <w:pPr>
        <w:ind w:left="540" w:right="120" w:hanging="540"/>
        <w:spacing w:after="0" w:line="252"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Previously filed with the Registration Statement on Form F-1 (File No. 333-223190), as amended, initially filed on February 23, 2018 and incorporated herein by reference.</w:t>
      </w:r>
    </w:p>
    <w:p>
      <w:pPr>
        <w:ind w:left="540" w:hanging="540"/>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Previously filed on Form 6-K, dated January 7, 2021 and incorporated herein by reference.</w:t>
      </w:r>
    </w:p>
    <w:p>
      <w:pPr>
        <w:spacing w:after="0" w:line="3" w:lineRule="exact"/>
        <w:rPr>
          <w:rFonts w:ascii="Arial" w:cs="Arial" w:eastAsia="Arial" w:hAnsi="Arial"/>
          <w:sz w:val="17"/>
          <w:szCs w:val="17"/>
          <w:color w:val="auto"/>
        </w:rPr>
      </w:pPr>
    </w:p>
    <w:p>
      <w:pPr>
        <w:ind w:left="540" w:hanging="540"/>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Previously filed on Form 20-F, dated April 24, 2020 and incorporated herein by reference.</w:t>
      </w:r>
    </w:p>
    <w:p>
      <w:pPr>
        <w:spacing w:after="0" w:line="4" w:lineRule="exact"/>
        <w:rPr>
          <w:sz w:val="20"/>
          <w:szCs w:val="20"/>
          <w:color w:val="auto"/>
        </w:rPr>
      </w:pPr>
    </w:p>
    <w:p>
      <w:pPr>
        <w:ind w:left="540" w:hanging="540"/>
        <w:spacing w:after="0"/>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4" w:lineRule="exact"/>
        <w:rPr>
          <w:sz w:val="20"/>
          <w:szCs w:val="20"/>
          <w:color w:val="auto"/>
        </w:rPr>
      </w:pPr>
    </w:p>
    <w:p>
      <w:pPr>
        <w:ind w:left="540" w:hanging="540"/>
        <w:spacing w:after="0"/>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181717"/>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6851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60"/>
          </w:cols>
          <w:pgMar w:left="320" w:top="106" w:right="4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b w:val="1"/>
          <w:bCs w:val="1"/>
          <w:color w:val="auto"/>
        </w:rPr>
        <w:t>SIGNATURES</w:t>
      </w:r>
    </w:p>
    <w:p>
      <w:pPr>
        <w:spacing w:after="0" w:line="207" w:lineRule="exact"/>
        <w:rPr>
          <w:sz w:val="20"/>
          <w:szCs w:val="20"/>
          <w:color w:val="auto"/>
        </w:rPr>
      </w:pPr>
    </w:p>
    <w:p>
      <w:pPr>
        <w:ind w:right="520" w:firstLine="547"/>
        <w:spacing w:after="0" w:line="264" w:lineRule="auto"/>
        <w:rPr>
          <w:sz w:val="20"/>
          <w:szCs w:val="20"/>
          <w:color w:val="auto"/>
        </w:rPr>
      </w:pPr>
      <w:r>
        <w:rPr>
          <w:rFonts w:ascii="Arial" w:cs="Arial" w:eastAsia="Arial" w:hAnsi="Arial"/>
          <w:sz w:val="17"/>
          <w:szCs w:val="17"/>
          <w:color w:val="auto"/>
        </w:rPr>
        <w:t>The registrant hereby certifies that it meets all of the requirements for filing its annual report on Form 20-F and that it has duly caused and authorized the undersigned to sign this annual report on its behalf.</w:t>
      </w:r>
    </w:p>
    <w:p>
      <w:pPr>
        <w:spacing w:after="0" w:line="168" w:lineRule="exact"/>
        <w:rPr>
          <w:sz w:val="20"/>
          <w:szCs w:val="20"/>
          <w:color w:val="auto"/>
        </w:rPr>
      </w:pPr>
    </w:p>
    <w:p>
      <w:pPr>
        <w:ind w:left="5700"/>
        <w:spacing w:after="0"/>
        <w:rPr>
          <w:sz w:val="20"/>
          <w:szCs w:val="20"/>
          <w:color w:val="auto"/>
        </w:rPr>
      </w:pPr>
      <w:r>
        <w:rPr>
          <w:rFonts w:ascii="Arial" w:cs="Arial" w:eastAsia="Arial" w:hAnsi="Arial"/>
          <w:sz w:val="17"/>
          <w:szCs w:val="17"/>
          <w:color w:val="181717"/>
        </w:rPr>
        <w:t>Sunlands Technology Group</w:t>
      </w:r>
    </w:p>
    <w:p>
      <w:pPr>
        <w:spacing w:after="0" w:line="200" w:lineRule="exact"/>
        <w:rPr>
          <w:sz w:val="20"/>
          <w:szCs w:val="20"/>
          <w:color w:val="auto"/>
        </w:rPr>
      </w:pPr>
    </w:p>
    <w:p>
      <w:pPr>
        <w:spacing w:after="0" w:line="202"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7"/>
          <w:szCs w:val="17"/>
          <w:color w:val="181717"/>
        </w:rPr>
        <w:t>By:</w:t>
        <w:tab/>
        <w:t>/s/ Lv Lu</w:t>
      </w:r>
    </w:p>
    <w:p>
      <w:pPr>
        <w:spacing w:after="0" w:line="16" w:lineRule="exact"/>
        <w:rPr>
          <w:sz w:val="20"/>
          <w:szCs w:val="20"/>
          <w:color w:val="auto"/>
        </w:rPr>
      </w:pPr>
    </w:p>
    <w:tbl>
      <w:tblPr>
        <w:tblLayout w:type="fixed"/>
        <w:tblInd w:w="6160" w:type="dxa"/>
        <w:tblCellMar>
          <w:top w:w="0" w:type="dxa"/>
          <w:left w:w="0" w:type="dxa"/>
          <w:bottom w:w="0" w:type="dxa"/>
          <w:right w:w="0" w:type="dxa"/>
        </w:tblCellMar>
      </w:tblPr>
      <w:tr>
        <w:trPr>
          <w:trHeight w:val="179"/>
        </w:trPr>
        <w:tc>
          <w:tcPr>
            <w:tcW w:w="56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181717"/>
              </w:rPr>
              <w:t>Name:</w:t>
            </w:r>
          </w:p>
        </w:tc>
        <w:tc>
          <w:tcPr>
            <w:tcW w:w="4520" w:type="dxa"/>
            <w:vAlign w:val="bottom"/>
            <w:tcBorders>
              <w:top w:val="single" w:sz="8" w:color="auto"/>
            </w:tcBorders>
          </w:tcPr>
          <w:p>
            <w:pPr>
              <w:ind w:left="100"/>
              <w:spacing w:after="0" w:line="180" w:lineRule="exact"/>
              <w:rPr>
                <w:sz w:val="20"/>
                <w:szCs w:val="20"/>
                <w:color w:val="auto"/>
              </w:rPr>
            </w:pPr>
            <w:r>
              <w:rPr>
                <w:rFonts w:ascii="Arial" w:cs="Arial" w:eastAsia="Arial" w:hAnsi="Arial"/>
                <w:sz w:val="17"/>
                <w:szCs w:val="17"/>
                <w:color w:val="181717"/>
              </w:rPr>
              <w:t>Lv Lu</w:t>
            </w:r>
          </w:p>
        </w:tc>
      </w:tr>
      <w:tr>
        <w:trPr>
          <w:trHeight w:val="212"/>
        </w:trPr>
        <w:tc>
          <w:tcPr>
            <w:tcW w:w="560" w:type="dxa"/>
            <w:vAlign w:val="bottom"/>
          </w:tcPr>
          <w:p>
            <w:pPr>
              <w:spacing w:after="0"/>
              <w:rPr>
                <w:sz w:val="20"/>
                <w:szCs w:val="20"/>
                <w:color w:val="auto"/>
              </w:rPr>
            </w:pPr>
            <w:r>
              <w:rPr>
                <w:rFonts w:ascii="Arial" w:cs="Arial" w:eastAsia="Arial" w:hAnsi="Arial"/>
                <w:sz w:val="17"/>
                <w:szCs w:val="17"/>
                <w:color w:val="181717"/>
              </w:rPr>
              <w:t>Title:</w:t>
            </w:r>
          </w:p>
        </w:tc>
        <w:tc>
          <w:tcPr>
            <w:tcW w:w="4520" w:type="dxa"/>
            <w:vAlign w:val="bottom"/>
          </w:tcPr>
          <w:p>
            <w:pPr>
              <w:ind w:left="100"/>
              <w:spacing w:after="0"/>
              <w:rPr>
                <w:sz w:val="20"/>
                <w:szCs w:val="20"/>
                <w:color w:val="auto"/>
              </w:rPr>
            </w:pPr>
            <w:r>
              <w:rPr>
                <w:rFonts w:ascii="Arial" w:cs="Arial" w:eastAsia="Arial" w:hAnsi="Arial"/>
                <w:sz w:val="17"/>
                <w:szCs w:val="17"/>
                <w:color w:val="181717"/>
              </w:rPr>
              <w:t>Chief Financial Officer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181717"/>
        </w:rPr>
        <w:t>Date: April 16,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160" w:type="dxa"/>
            <w:vAlign w:val="bottom"/>
            <w:gridSpan w:val="8"/>
          </w:tcPr>
          <w:p>
            <w:pPr>
              <w:ind w:left="2620"/>
              <w:spacing w:after="0"/>
              <w:rPr>
                <w:sz w:val="20"/>
                <w:szCs w:val="20"/>
                <w:color w:val="auto"/>
              </w:rPr>
            </w:pPr>
            <w:r>
              <w:rPr>
                <w:rFonts w:ascii="Arial" w:cs="Arial" w:eastAsia="Arial" w:hAnsi="Arial"/>
                <w:sz w:val="17"/>
                <w:szCs w:val="17"/>
                <w:b w:val="1"/>
                <w:bCs w:val="1"/>
                <w:color w:val="181717"/>
              </w:rPr>
              <w:t>INDEX TO CONSOLIDATED FINANCIAL STATEMENTS</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86"/>
        </w:trPr>
        <w:tc>
          <w:tcPr>
            <w:tcW w:w="10020" w:type="dxa"/>
            <w:vAlign w:val="bottom"/>
            <w:gridSpan w:val="11"/>
          </w:tcPr>
          <w:p>
            <w:pPr>
              <w:spacing w:after="0"/>
              <w:rPr>
                <w:sz w:val="20"/>
                <w:szCs w:val="20"/>
                <w:color w:val="auto"/>
              </w:rPr>
            </w:pPr>
            <w:r>
              <w:rPr>
                <w:rFonts w:ascii="Arial" w:cs="Arial" w:eastAsia="Arial" w:hAnsi="Arial"/>
                <w:sz w:val="17"/>
                <w:szCs w:val="17"/>
                <w:color w:val="181717"/>
              </w:rPr>
              <w:t>CONTENTS</w:t>
            </w:r>
          </w:p>
        </w:tc>
        <w:tc>
          <w:tcPr>
            <w:tcW w:w="1220" w:type="dxa"/>
            <w:vAlign w:val="bottom"/>
            <w:gridSpan w:val="2"/>
          </w:tcPr>
          <w:p>
            <w:pPr>
              <w:jc w:val="right"/>
              <w:spacing w:after="0"/>
              <w:rPr>
                <w:sz w:val="20"/>
                <w:szCs w:val="20"/>
                <w:color w:val="auto"/>
              </w:rPr>
            </w:pPr>
            <w:r>
              <w:rPr>
                <w:rFonts w:ascii="Arial" w:cs="Arial" w:eastAsia="Arial" w:hAnsi="Arial"/>
                <w:sz w:val="17"/>
                <w:szCs w:val="17"/>
                <w:color w:val="181717"/>
              </w:rPr>
              <w:t>PAGE(S)</w:t>
            </w:r>
          </w:p>
        </w:tc>
      </w:tr>
      <w:tr>
        <w:trPr>
          <w:trHeight w:val="20"/>
        </w:trPr>
        <w:tc>
          <w:tcPr>
            <w:tcW w:w="220" w:type="dxa"/>
            <w:vAlign w:val="bottom"/>
            <w:shd w:val="clear" w:color="auto" w:fill="181717"/>
          </w:tcPr>
          <w:p>
            <w:pPr>
              <w:spacing w:after="0" w:line="20" w:lineRule="exact"/>
              <w:rPr>
                <w:sz w:val="1"/>
                <w:szCs w:val="1"/>
                <w:color w:val="auto"/>
              </w:rPr>
            </w:pPr>
          </w:p>
        </w:tc>
        <w:tc>
          <w:tcPr>
            <w:tcW w:w="340" w:type="dxa"/>
            <w:vAlign w:val="bottom"/>
            <w:shd w:val="clear" w:color="auto" w:fill="181717"/>
          </w:tcPr>
          <w:p>
            <w:pPr>
              <w:spacing w:after="0" w:line="20" w:lineRule="exact"/>
              <w:rPr>
                <w:sz w:val="1"/>
                <w:szCs w:val="1"/>
                <w:color w:val="auto"/>
              </w:rPr>
            </w:pPr>
          </w:p>
        </w:tc>
        <w:tc>
          <w:tcPr>
            <w:tcW w:w="300" w:type="dxa"/>
            <w:vAlign w:val="bottom"/>
            <w:shd w:val="clear" w:color="auto" w:fill="181717"/>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181717"/>
          </w:tcPr>
          <w:p>
            <w:pPr>
              <w:spacing w:after="0" w:line="20" w:lineRule="exact"/>
              <w:rPr>
                <w:sz w:val="1"/>
                <w:szCs w:val="1"/>
                <w:color w:val="auto"/>
              </w:rPr>
            </w:pPr>
          </w:p>
        </w:tc>
      </w:tr>
      <w:tr>
        <w:trPr>
          <w:trHeight w:val="379"/>
        </w:trPr>
        <w:tc>
          <w:tcPr>
            <w:tcW w:w="10020" w:type="dxa"/>
            <w:vAlign w:val="bottom"/>
            <w:gridSpan w:val="11"/>
          </w:tcPr>
          <w:p>
            <w:pPr>
              <w:spacing w:after="0"/>
              <w:rPr>
                <w:rFonts w:ascii="Arial" w:cs="Arial" w:eastAsia="Arial" w:hAnsi="Arial"/>
                <w:sz w:val="17"/>
                <w:szCs w:val="17"/>
                <w:color w:val="0000EE"/>
              </w:rPr>
            </w:pPr>
            <w:hyperlink w:anchor="page116">
              <w:r>
                <w:rPr>
                  <w:rFonts w:ascii="Arial" w:cs="Arial" w:eastAsia="Arial" w:hAnsi="Arial"/>
                  <w:sz w:val="17"/>
                  <w:szCs w:val="17"/>
                  <w:color w:val="0000EE"/>
                </w:rPr>
                <w:t>REPORT OF INDEPENDENT REGISTERED PUBLIC ACCOUNTING FIRM</w:t>
              </w:r>
            </w:hyperlink>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181717"/>
              </w:rPr>
              <w:t>F-2</w:t>
            </w:r>
          </w:p>
        </w:tc>
      </w:tr>
      <w:tr>
        <w:trPr>
          <w:trHeight w:val="20"/>
        </w:trPr>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79"/>
        </w:trPr>
        <w:tc>
          <w:tcPr>
            <w:tcW w:w="10020" w:type="dxa"/>
            <w:vAlign w:val="bottom"/>
            <w:gridSpan w:val="11"/>
          </w:tcPr>
          <w:p>
            <w:pPr>
              <w:spacing w:after="0"/>
              <w:rPr>
                <w:rFonts w:ascii="Arial" w:cs="Arial" w:eastAsia="Arial" w:hAnsi="Arial"/>
                <w:sz w:val="17"/>
                <w:szCs w:val="17"/>
                <w:color w:val="0000EE"/>
              </w:rPr>
            </w:pPr>
            <w:hyperlink w:anchor="page117">
              <w:r>
                <w:rPr>
                  <w:rFonts w:ascii="Arial" w:cs="Arial" w:eastAsia="Arial" w:hAnsi="Arial"/>
                  <w:sz w:val="17"/>
                  <w:szCs w:val="17"/>
                  <w:color w:val="0000EE"/>
                </w:rPr>
                <w:t>CONSOLIDATED BALANCE SHEETS AS OF DECEMBER 31, 2019 AND 2020</w:t>
              </w:r>
            </w:hyperlink>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181717"/>
              </w:rPr>
              <w:t>F-3</w:t>
            </w:r>
          </w:p>
        </w:tc>
      </w:tr>
      <w:tr>
        <w:trPr>
          <w:trHeight w:val="20"/>
        </w:trPr>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79"/>
        </w:trPr>
        <w:tc>
          <w:tcPr>
            <w:tcW w:w="8340" w:type="dxa"/>
            <w:vAlign w:val="bottom"/>
            <w:tcBorders>
              <w:bottom w:val="single" w:sz="8" w:color="0000EE"/>
            </w:tcBorders>
            <w:gridSpan w:val="8"/>
          </w:tcPr>
          <w:p>
            <w:pPr>
              <w:spacing w:after="0"/>
              <w:rPr>
                <w:rFonts w:ascii="Arial" w:cs="Arial" w:eastAsia="Arial" w:hAnsi="Arial"/>
                <w:sz w:val="17"/>
                <w:szCs w:val="17"/>
                <w:color w:val="0000EE"/>
                <w:w w:val="91"/>
              </w:rPr>
            </w:pPr>
            <w:hyperlink w:anchor="page118">
              <w:r>
                <w:rPr>
                  <w:rFonts w:ascii="Arial" w:cs="Arial" w:eastAsia="Arial" w:hAnsi="Arial"/>
                  <w:sz w:val="17"/>
                  <w:szCs w:val="17"/>
                  <w:color w:val="0000EE"/>
                  <w:w w:val="91"/>
                </w:rPr>
                <w:t>CONSOLIDATED STATEMENTS OF OPERATIONS FOR THE YEARS ENDED DECEMBER 31, 2018, 2019 AND 2020</w:t>
              </w:r>
            </w:hyperlink>
          </w:p>
        </w:tc>
        <w:tc>
          <w:tcPr>
            <w:tcW w:w="16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181717"/>
              </w:rPr>
              <w:t>F-4</w:t>
            </w:r>
          </w:p>
        </w:tc>
      </w:tr>
      <w:tr>
        <w:trPr>
          <w:trHeight w:val="379"/>
        </w:trPr>
        <w:tc>
          <w:tcPr>
            <w:tcW w:w="10020" w:type="dxa"/>
            <w:vAlign w:val="bottom"/>
            <w:gridSpan w:val="11"/>
          </w:tcPr>
          <w:p>
            <w:pPr>
              <w:spacing w:after="0"/>
              <w:rPr>
                <w:rFonts w:ascii="Arial" w:cs="Arial" w:eastAsia="Arial" w:hAnsi="Arial"/>
                <w:sz w:val="17"/>
                <w:szCs w:val="17"/>
                <w:color w:val="0000EE"/>
              </w:rPr>
            </w:pPr>
            <w:hyperlink w:anchor="page119">
              <w:r>
                <w:rPr>
                  <w:rFonts w:ascii="Arial" w:cs="Arial" w:eastAsia="Arial" w:hAnsi="Arial"/>
                  <w:sz w:val="17"/>
                  <w:szCs w:val="17"/>
                  <w:color w:val="0000EE"/>
                </w:rPr>
                <w:t>CONSOLIDATED STATEMENTS OF COMPREHENSIVE LOSS FOR THE YEARS ENDED DECEMBER 31, 2018, 2019 AND 2020</w:t>
              </w:r>
            </w:hyperlink>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181717"/>
              </w:rPr>
              <w:t>F-5</w:t>
            </w:r>
          </w:p>
        </w:tc>
      </w:tr>
      <w:tr>
        <w:trPr>
          <w:trHeight w:val="20"/>
        </w:trPr>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79"/>
        </w:trPr>
        <w:tc>
          <w:tcPr>
            <w:tcW w:w="10020" w:type="dxa"/>
            <w:vAlign w:val="bottom"/>
            <w:tcBorders>
              <w:bottom w:val="single" w:sz="8" w:color="0000EE"/>
            </w:tcBorders>
            <w:gridSpan w:val="11"/>
          </w:tcPr>
          <w:p>
            <w:pPr>
              <w:spacing w:after="0"/>
              <w:rPr>
                <w:rFonts w:ascii="Arial" w:cs="Arial" w:eastAsia="Arial" w:hAnsi="Arial"/>
                <w:sz w:val="17"/>
                <w:szCs w:val="17"/>
                <w:color w:val="0000EE"/>
                <w:w w:val="92"/>
              </w:rPr>
            </w:pPr>
            <w:hyperlink w:anchor="page120">
              <w:r>
                <w:rPr>
                  <w:rFonts w:ascii="Arial" w:cs="Arial" w:eastAsia="Arial" w:hAnsi="Arial"/>
                  <w:sz w:val="17"/>
                  <w:szCs w:val="17"/>
                  <w:color w:val="0000EE"/>
                  <w:w w:val="92"/>
                </w:rPr>
                <w:t>CONSOLIDATED STATEMENTS OF CHANGES IN SHAREHOLDERS' DEFICIT FOR THE YEARS ENDED DECEMBER 31, 2018, 2019 AND</w:t>
              </w:r>
            </w:hyperlink>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181717"/>
              </w:rPr>
              <w:t>F-6</w:t>
            </w:r>
          </w:p>
        </w:tc>
      </w:tr>
      <w:tr>
        <w:trPr>
          <w:trHeight w:val="179"/>
        </w:trPr>
        <w:tc>
          <w:tcPr>
            <w:tcW w:w="220" w:type="dxa"/>
            <w:vAlign w:val="bottom"/>
          </w:tcPr>
          <w:p>
            <w:pPr>
              <w:spacing w:after="0"/>
              <w:rPr>
                <w:sz w:val="15"/>
                <w:szCs w:val="15"/>
                <w:color w:val="auto"/>
              </w:rPr>
            </w:pPr>
          </w:p>
        </w:tc>
        <w:tc>
          <w:tcPr>
            <w:tcW w:w="340" w:type="dxa"/>
            <w:vAlign w:val="bottom"/>
            <w:tcBorders>
              <w:bottom w:val="single" w:sz="8" w:color="0000EE"/>
            </w:tcBorders>
          </w:tcPr>
          <w:p>
            <w:pPr>
              <w:jc w:val="right"/>
              <w:spacing w:after="0" w:line="180" w:lineRule="exact"/>
              <w:rPr>
                <w:rFonts w:ascii="Arial" w:cs="Arial" w:eastAsia="Arial" w:hAnsi="Arial"/>
                <w:sz w:val="17"/>
                <w:szCs w:val="17"/>
                <w:color w:val="0000EE"/>
                <w:w w:val="84"/>
              </w:rPr>
            </w:pPr>
            <w:hyperlink w:anchor="page120">
              <w:r>
                <w:rPr>
                  <w:rFonts w:ascii="Arial" w:cs="Arial" w:eastAsia="Arial" w:hAnsi="Arial"/>
                  <w:sz w:val="17"/>
                  <w:szCs w:val="17"/>
                  <w:color w:val="0000EE"/>
                  <w:w w:val="84"/>
                </w:rPr>
                <w:t>2020</w:t>
              </w:r>
            </w:hyperlink>
          </w:p>
        </w:tc>
        <w:tc>
          <w:tcPr>
            <w:tcW w:w="3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79"/>
        </w:trPr>
        <w:tc>
          <w:tcPr>
            <w:tcW w:w="8380" w:type="dxa"/>
            <w:vAlign w:val="bottom"/>
            <w:tcBorders>
              <w:bottom w:val="single" w:sz="8" w:color="0000EE"/>
            </w:tcBorders>
            <w:gridSpan w:val="9"/>
          </w:tcPr>
          <w:p>
            <w:pPr>
              <w:spacing w:after="0"/>
              <w:rPr>
                <w:rFonts w:ascii="Arial" w:cs="Arial" w:eastAsia="Arial" w:hAnsi="Arial"/>
                <w:sz w:val="17"/>
                <w:szCs w:val="17"/>
                <w:color w:val="0000EE"/>
                <w:w w:val="92"/>
              </w:rPr>
            </w:pPr>
            <w:hyperlink w:anchor="page121">
              <w:r>
                <w:rPr>
                  <w:rFonts w:ascii="Arial" w:cs="Arial" w:eastAsia="Arial" w:hAnsi="Arial"/>
                  <w:sz w:val="17"/>
                  <w:szCs w:val="17"/>
                  <w:color w:val="0000EE"/>
                  <w:w w:val="92"/>
                </w:rPr>
                <w:t>CONSOLIDATED STATEMENTS OF CASH FLOWS FOR THE YEARS ENDED DECEMBER 31, 2018, 2019 AND 2020</w:t>
              </w:r>
            </w:hyperlink>
          </w:p>
        </w:tc>
        <w:tc>
          <w:tcPr>
            <w:tcW w:w="16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181717"/>
              </w:rPr>
              <w:t>F-7</w:t>
            </w:r>
          </w:p>
        </w:tc>
      </w:tr>
      <w:tr>
        <w:trPr>
          <w:trHeight w:val="379"/>
        </w:trPr>
        <w:tc>
          <w:tcPr>
            <w:tcW w:w="10020" w:type="dxa"/>
            <w:vAlign w:val="bottom"/>
            <w:gridSpan w:val="11"/>
          </w:tcPr>
          <w:p>
            <w:pPr>
              <w:spacing w:after="0"/>
              <w:rPr>
                <w:rFonts w:ascii="Arial" w:cs="Arial" w:eastAsia="Arial" w:hAnsi="Arial"/>
                <w:sz w:val="17"/>
                <w:szCs w:val="17"/>
                <w:color w:val="0000EE"/>
              </w:rPr>
            </w:pPr>
            <w:hyperlink w:anchor="page122">
              <w:r>
                <w:rPr>
                  <w:rFonts w:ascii="Arial" w:cs="Arial" w:eastAsia="Arial" w:hAnsi="Arial"/>
                  <w:sz w:val="17"/>
                  <w:szCs w:val="17"/>
                  <w:color w:val="0000EE"/>
                </w:rPr>
                <w:t>NOTES TO CONSOLIDATED FINANCIAL STATEMENTS</w:t>
              </w:r>
            </w:hyperlink>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181717"/>
              </w:rPr>
              <w:t>F-8</w:t>
            </w:r>
          </w:p>
        </w:tc>
      </w:tr>
      <w:tr>
        <w:trPr>
          <w:trHeight w:val="20"/>
        </w:trPr>
        <w:tc>
          <w:tcPr>
            <w:tcW w:w="4120" w:type="dxa"/>
            <w:vAlign w:val="bottom"/>
            <w:gridSpan w:val="4"/>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79"/>
        </w:trPr>
        <w:tc>
          <w:tcPr>
            <w:tcW w:w="5260" w:type="dxa"/>
            <w:vAlign w:val="bottom"/>
            <w:tcBorders>
              <w:bottom w:val="single" w:sz="8" w:color="0000EE"/>
            </w:tcBorders>
            <w:gridSpan w:val="5"/>
          </w:tcPr>
          <w:p>
            <w:pPr>
              <w:spacing w:after="0"/>
              <w:rPr>
                <w:rFonts w:ascii="Arial" w:cs="Arial" w:eastAsia="Arial" w:hAnsi="Arial"/>
                <w:sz w:val="17"/>
                <w:szCs w:val="17"/>
                <w:color w:val="0000EE"/>
                <w:w w:val="96"/>
              </w:rPr>
            </w:pPr>
            <w:hyperlink w:anchor="page146">
              <w:r>
                <w:rPr>
                  <w:rFonts w:ascii="Arial" w:cs="Arial" w:eastAsia="Arial" w:hAnsi="Arial"/>
                  <w:sz w:val="17"/>
                  <w:szCs w:val="17"/>
                  <w:color w:val="0000EE"/>
                  <w:w w:val="96"/>
                </w:rPr>
                <w:t>ADDITIONAL INFORMATION - FINANCIAL STATEMENT SCHEDULE I</w:t>
              </w:r>
            </w:hyperlink>
          </w:p>
        </w:tc>
        <w:tc>
          <w:tcPr>
            <w:tcW w:w="476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181717"/>
              </w:rPr>
              <w:t>F-32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96"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color w:val="181717"/>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181717"/>
        </w:rPr>
        <w:t>To the Board of Directors and Shareholders of Sunlands Technology Group</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181717"/>
        </w:rPr>
        <w:t>Opinion on the Financial Statements</w:t>
      </w:r>
    </w:p>
    <w:p>
      <w:pPr>
        <w:spacing w:after="0" w:line="207"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color w:val="181717"/>
        </w:rPr>
        <w:t>We have audited the accompanying consolidated balance sheets of Sunlands Technology Group, and its subsidiaries (the "Company") as of December 31, 2019 and 2020, the related consolidated statements of operations, comprehensive loss, changes in shareholders' deficit and cash flows for each of the three years in the period ended December 31, 2020, and the related notes and Schedule I (collectively referred to as the "financial statements"). In our opinion, the financial statements present fairly, in all material respects, the financial position of the Company as of December 31, 2019 and 2020, and the results of its operations and its cash flows for each of the three years in the period ended December 31, 2020, in conformity with accounting principles generally accepted in the United States of America.</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181717"/>
        </w:rPr>
        <w:t>Convenience Translation</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181717"/>
        </w:rPr>
        <w:t>Our audits also comprehended the translation of Renminbi amounts into United States dollar amounts and, in our opinion, such translation has been made in conformity with the basis stated in Note 2 to the financial statements. Such United States dollar amounts are presented solely for the convenience of readers outside the People’s Republic of China.</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181717"/>
        </w:rPr>
        <w:t>Basis for Opinion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7"/>
          <w:szCs w:val="17"/>
          <w:color w:val="181717"/>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181717"/>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181717"/>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181717"/>
        </w:rPr>
        <w:t>/s/ Deloitte Touche Tohmatsu Certified Public Accountants LLP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181717"/>
        </w:rPr>
        <w:t>Beijing, the People's Republic of China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181717"/>
        </w:rPr>
        <w:t>April 16, 2021</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181717"/>
        </w:rPr>
        <w:t>We have served as the Company's auditor since 2017.</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2"/>
          <w:szCs w:val="12"/>
          <w:color w:val="181717"/>
        </w:rPr>
        <w:t>CONSOLIDATED BALANCE SHEETS</w:t>
      </w:r>
    </w:p>
    <w:p>
      <w:pPr>
        <w:jc w:val="center"/>
        <w:ind w:right="-19"/>
        <w:spacing w:after="0"/>
        <w:rPr>
          <w:sz w:val="20"/>
          <w:szCs w:val="20"/>
          <w:color w:val="auto"/>
        </w:rPr>
      </w:pPr>
      <w:r>
        <w:rPr>
          <w:rFonts w:ascii="Arial" w:cs="Arial" w:eastAsia="Arial" w:hAnsi="Arial"/>
          <w:sz w:val="12"/>
          <w:szCs w:val="12"/>
          <w:u w:val="single" w:color="auto"/>
          <w:color w:val="181717"/>
        </w:rPr>
        <w:t>(Amounts in thousands, except for share and per share data, or otherwise noted)</w:t>
      </w:r>
    </w:p>
    <w:p>
      <w:pPr>
        <w:spacing w:after="0" w:line="73" w:lineRule="exact"/>
        <w:rPr>
          <w:sz w:val="20"/>
          <w:szCs w:val="20"/>
          <w:color w:val="auto"/>
        </w:rPr>
      </w:pPr>
    </w:p>
    <w:p>
      <w:pPr>
        <w:ind w:left="8080"/>
        <w:spacing w:after="0"/>
        <w:rPr>
          <w:sz w:val="20"/>
          <w:szCs w:val="20"/>
          <w:color w:val="auto"/>
        </w:rPr>
      </w:pPr>
      <w:r>
        <w:rPr>
          <w:rFonts w:ascii="Arial" w:cs="Arial" w:eastAsia="Arial" w:hAnsi="Arial"/>
          <w:sz w:val="11"/>
          <w:szCs w:val="11"/>
          <w:color w:val="auto"/>
        </w:rPr>
        <w:t>As of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920" w:type="dxa"/>
            <w:vAlign w:val="bottom"/>
            <w:gridSpan w:val="2"/>
          </w:tcPr>
          <w:p>
            <w:pPr>
              <w:spacing w:after="0"/>
              <w:rPr>
                <w:sz w:val="11"/>
                <w:szCs w:val="11"/>
                <w:color w:val="auto"/>
              </w:rPr>
            </w:pPr>
          </w:p>
        </w:tc>
        <w:tc>
          <w:tcPr>
            <w:tcW w:w="9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color w:val="auto"/>
              </w:rPr>
              <w:t>2019</w:t>
            </w:r>
          </w:p>
        </w:tc>
        <w:tc>
          <w:tcPr>
            <w:tcW w:w="5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8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1"/>
                <w:szCs w:val="11"/>
                <w:color w:val="auto"/>
              </w:rPr>
              <w:t>2020</w:t>
            </w:r>
          </w:p>
        </w:tc>
        <w:tc>
          <w:tcPr>
            <w:tcW w:w="260" w:type="dxa"/>
            <w:vAlign w:val="bottom"/>
            <w:tcBorders>
              <w:top w:val="single" w:sz="8" w:color="auto"/>
            </w:tcBorders>
          </w:tcPr>
          <w:p>
            <w:pPr>
              <w:spacing w:after="0"/>
              <w:rPr>
                <w:sz w:val="11"/>
                <w:szCs w:val="11"/>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980" w:type="dxa"/>
            <w:vAlign w:val="bottom"/>
          </w:tcPr>
          <w:p>
            <w:pPr>
              <w:ind w:left="640"/>
              <w:spacing w:after="0"/>
              <w:rPr>
                <w:sz w:val="20"/>
                <w:szCs w:val="20"/>
                <w:color w:val="auto"/>
              </w:rPr>
            </w:pPr>
            <w:r>
              <w:rPr>
                <w:rFonts w:ascii="Arial" w:cs="Arial" w:eastAsia="Arial" w:hAnsi="Arial"/>
                <w:sz w:val="11"/>
                <w:szCs w:val="11"/>
                <w:color w:val="auto"/>
              </w:rPr>
              <w:t>RMB</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1"/>
                <w:szCs w:val="11"/>
                <w:color w:val="auto"/>
              </w:rPr>
              <w:t>RMB</w:t>
            </w:r>
          </w:p>
        </w:tc>
        <w:tc>
          <w:tcPr>
            <w:tcW w:w="1680" w:type="dxa"/>
            <w:vAlign w:val="bottom"/>
            <w:gridSpan w:val="2"/>
          </w:tcPr>
          <w:p>
            <w:pPr>
              <w:jc w:val="center"/>
              <w:ind w:right="140"/>
              <w:spacing w:after="0"/>
              <w:rPr>
                <w:sz w:val="20"/>
                <w:szCs w:val="20"/>
                <w:color w:val="auto"/>
              </w:rPr>
            </w:pPr>
            <w:r>
              <w:rPr>
                <w:rFonts w:ascii="Arial" w:cs="Arial" w:eastAsia="Arial" w:hAnsi="Arial"/>
                <w:sz w:val="11"/>
                <w:szCs w:val="11"/>
                <w:color w:val="auto"/>
                <w:w w:val="83"/>
              </w:rPr>
              <w:t>US$</w:t>
            </w:r>
          </w:p>
        </w:tc>
      </w:tr>
      <w:tr>
        <w:trPr>
          <w:trHeight w:val="130"/>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(Note 2)</w:t>
            </w: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ASSETS</w:t>
            </w: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7"/>
        </w:trPr>
        <w:tc>
          <w:tcPr>
            <w:tcW w:w="6900" w:type="dxa"/>
            <w:vAlign w:val="bottom"/>
            <w:gridSpan w:val="3"/>
          </w:tcPr>
          <w:p>
            <w:pPr>
              <w:spacing w:after="0"/>
              <w:rPr>
                <w:sz w:val="20"/>
                <w:szCs w:val="20"/>
                <w:color w:val="auto"/>
              </w:rPr>
            </w:pPr>
            <w:r>
              <w:rPr>
                <w:rFonts w:ascii="Arial" w:cs="Arial" w:eastAsia="Arial" w:hAnsi="Arial"/>
                <w:sz w:val="11"/>
                <w:szCs w:val="11"/>
                <w:color w:val="auto"/>
              </w:rPr>
              <w:t>Current assets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Cash and cash equivalents</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1,402,226</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760,710</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116,584</w:t>
            </w:r>
          </w:p>
        </w:tc>
        <w:tc>
          <w:tcPr>
            <w:tcW w:w="10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Short-term investments</w:t>
            </w:r>
          </w:p>
        </w:tc>
        <w:tc>
          <w:tcPr>
            <w:tcW w:w="580" w:type="dxa"/>
            <w:vAlign w:val="bottom"/>
          </w:tcPr>
          <w:p>
            <w:pPr>
              <w:jc w:val="right"/>
              <w:spacing w:after="0"/>
              <w:rPr>
                <w:sz w:val="20"/>
                <w:szCs w:val="20"/>
                <w:color w:val="auto"/>
              </w:rPr>
            </w:pPr>
            <w:r>
              <w:rPr>
                <w:rFonts w:ascii="Arial" w:cs="Arial" w:eastAsia="Arial" w:hAnsi="Arial"/>
                <w:sz w:val="11"/>
                <w:szCs w:val="11"/>
                <w:color w:val="auto"/>
              </w:rPr>
              <w:t>217,640</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517,815</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79,359</w:t>
            </w: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Prepaid expenses and other current assets</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180,881</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117,637</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18,028</w:t>
            </w:r>
          </w:p>
        </w:tc>
        <w:tc>
          <w:tcPr>
            <w:tcW w:w="10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5900" w:type="dxa"/>
            <w:vAlign w:val="bottom"/>
            <w:tcBorders>
              <w:bottom w:val="single" w:sz="8" w:color="CFF0FC"/>
            </w:tcBorders>
          </w:tcPr>
          <w:p>
            <w:pPr>
              <w:ind w:left="220"/>
              <w:spacing w:after="0"/>
              <w:rPr>
                <w:sz w:val="20"/>
                <w:szCs w:val="20"/>
                <w:color w:val="auto"/>
              </w:rPr>
            </w:pPr>
            <w:r>
              <w:rPr>
                <w:rFonts w:ascii="Arial" w:cs="Arial" w:eastAsia="Arial" w:hAnsi="Arial"/>
                <w:sz w:val="11"/>
                <w:szCs w:val="11"/>
                <w:color w:val="auto"/>
              </w:rPr>
              <w:t>Deferred costs, current</w:t>
            </w:r>
          </w:p>
        </w:tc>
        <w:tc>
          <w:tcPr>
            <w:tcW w:w="9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243,447</w:t>
            </w:r>
          </w:p>
        </w:tc>
        <w:tc>
          <w:tcPr>
            <w:tcW w:w="260" w:type="dxa"/>
            <w:vAlign w:val="bottom"/>
            <w:tcBorders>
              <w:bottom w:val="single" w:sz="8" w:color="CFF0FC"/>
            </w:tcBorders>
          </w:tcPr>
          <w:p>
            <w:pPr>
              <w:spacing w:after="0"/>
              <w:rPr>
                <w:sz w:val="11"/>
                <w:szCs w:val="1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158,092</w:t>
            </w:r>
          </w:p>
        </w:tc>
        <w:tc>
          <w:tcPr>
            <w:tcW w:w="260" w:type="dxa"/>
            <w:vAlign w:val="bottom"/>
            <w:tcBorders>
              <w:bottom w:val="single" w:sz="8" w:color="CFF0FC"/>
            </w:tcBorders>
          </w:tcPr>
          <w:p>
            <w:pPr>
              <w:spacing w:after="0"/>
              <w:rPr>
                <w:sz w:val="11"/>
                <w:szCs w:val="1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24,229</w:t>
            </w:r>
          </w:p>
        </w:tc>
        <w:tc>
          <w:tcPr>
            <w:tcW w:w="100" w:type="dxa"/>
            <w:vAlign w:val="bottom"/>
            <w:tcBorders>
              <w:bottom w:val="single" w:sz="8" w:color="CFF0FC"/>
            </w:tcBorders>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1"/>
                <w:szCs w:val="11"/>
                <w:color w:val="auto"/>
              </w:rPr>
              <w:t>Total current assets</w:t>
            </w:r>
          </w:p>
        </w:tc>
        <w:tc>
          <w:tcPr>
            <w:tcW w:w="9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2,044,194</w:t>
            </w:r>
          </w:p>
        </w:tc>
        <w:tc>
          <w:tcPr>
            <w:tcW w:w="260" w:type="dxa"/>
            <w:vAlign w:val="bottom"/>
            <w:shd w:val="clear" w:color="auto" w:fill="CFF0FC"/>
          </w:tcPr>
          <w:p>
            <w:pPr>
              <w:spacing w:after="0"/>
              <w:rPr>
                <w:sz w:val="11"/>
                <w:szCs w:val="1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1,554,254</w:t>
            </w:r>
          </w:p>
        </w:tc>
        <w:tc>
          <w:tcPr>
            <w:tcW w:w="260" w:type="dxa"/>
            <w:vAlign w:val="bottom"/>
            <w:shd w:val="clear" w:color="auto" w:fill="CFF0FC"/>
          </w:tcPr>
          <w:p>
            <w:pPr>
              <w:spacing w:after="0"/>
              <w:rPr>
                <w:sz w:val="11"/>
                <w:szCs w:val="1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238,200</w:t>
            </w:r>
          </w:p>
        </w:tc>
        <w:tc>
          <w:tcPr>
            <w:tcW w:w="100" w:type="dxa"/>
            <w:vAlign w:val="bottom"/>
            <w:shd w:val="clear" w:color="auto" w:fill="CFF0FC"/>
          </w:tcPr>
          <w:p>
            <w:pPr>
              <w:spacing w:after="0"/>
              <w:rPr>
                <w:sz w:val="11"/>
                <w:szCs w:val="11"/>
                <w:color w:val="auto"/>
              </w:rPr>
            </w:pPr>
          </w:p>
        </w:tc>
      </w:tr>
      <w:tr>
        <w:trPr>
          <w:trHeight w:val="129"/>
        </w:trPr>
        <w:tc>
          <w:tcPr>
            <w:tcW w:w="6900" w:type="dxa"/>
            <w:vAlign w:val="bottom"/>
            <w:gridSpan w:val="3"/>
          </w:tcPr>
          <w:p>
            <w:pPr>
              <w:spacing w:after="0"/>
              <w:rPr>
                <w:sz w:val="20"/>
                <w:szCs w:val="20"/>
                <w:color w:val="auto"/>
              </w:rPr>
            </w:pPr>
            <w:r>
              <w:rPr>
                <w:rFonts w:ascii="Arial" w:cs="Arial" w:eastAsia="Arial" w:hAnsi="Arial"/>
                <w:sz w:val="11"/>
                <w:szCs w:val="11"/>
                <w:color w:val="auto"/>
              </w:rPr>
              <w:t>Non-current assets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Property and equipment, net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545,675</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511,092</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78,328</w:t>
            </w:r>
          </w:p>
        </w:tc>
        <w:tc>
          <w:tcPr>
            <w:tcW w:w="10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Intangible assets, net</w:t>
            </w:r>
          </w:p>
        </w:tc>
        <w:tc>
          <w:tcPr>
            <w:tcW w:w="580" w:type="dxa"/>
            <w:vAlign w:val="bottom"/>
          </w:tcPr>
          <w:p>
            <w:pPr>
              <w:jc w:val="right"/>
              <w:spacing w:after="0"/>
              <w:rPr>
                <w:sz w:val="20"/>
                <w:szCs w:val="20"/>
                <w:color w:val="auto"/>
              </w:rPr>
            </w:pPr>
            <w:r>
              <w:rPr>
                <w:rFonts w:ascii="Arial" w:cs="Arial" w:eastAsia="Arial" w:hAnsi="Arial"/>
                <w:sz w:val="11"/>
                <w:szCs w:val="11"/>
                <w:color w:val="auto"/>
              </w:rPr>
              <w:t>1,176</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1,211</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186</w:t>
            </w: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Land use right, net</w:t>
            </w: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13,564</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2,079</w:t>
            </w:r>
          </w:p>
        </w:tc>
        <w:tc>
          <w:tcPr>
            <w:tcW w:w="10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Right-of-use assets</w:t>
            </w:r>
          </w:p>
        </w:tc>
        <w:tc>
          <w:tcPr>
            <w:tcW w:w="580" w:type="dxa"/>
            <w:vAlign w:val="bottom"/>
          </w:tcPr>
          <w:p>
            <w:pPr>
              <w:jc w:val="right"/>
              <w:spacing w:after="0"/>
              <w:rPr>
                <w:sz w:val="20"/>
                <w:szCs w:val="20"/>
                <w:color w:val="auto"/>
              </w:rPr>
            </w:pPr>
            <w:r>
              <w:rPr>
                <w:rFonts w:ascii="Arial" w:cs="Arial" w:eastAsia="Arial" w:hAnsi="Arial"/>
                <w:sz w:val="11"/>
                <w:szCs w:val="11"/>
                <w:color w:val="auto"/>
              </w:rPr>
              <w:t>598,991</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488,877</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74,924</w:t>
            </w: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Deferred costs, non-current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205,488</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170,160</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26,078</w:t>
            </w:r>
          </w:p>
        </w:tc>
        <w:tc>
          <w:tcPr>
            <w:tcW w:w="10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Long-term investments</w:t>
            </w:r>
          </w:p>
        </w:tc>
        <w:tc>
          <w:tcPr>
            <w:tcW w:w="580" w:type="dxa"/>
            <w:vAlign w:val="bottom"/>
          </w:tcPr>
          <w:p>
            <w:pPr>
              <w:jc w:val="right"/>
              <w:spacing w:after="0"/>
              <w:rPr>
                <w:sz w:val="20"/>
                <w:szCs w:val="20"/>
                <w:color w:val="auto"/>
              </w:rPr>
            </w:pPr>
            <w:r>
              <w:rPr>
                <w:rFonts w:ascii="Arial" w:cs="Arial" w:eastAsia="Arial" w:hAnsi="Arial"/>
                <w:sz w:val="11"/>
                <w:szCs w:val="11"/>
                <w:color w:val="auto"/>
              </w:rPr>
              <w:t>40,026</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64,093</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9,823</w:t>
            </w: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Deferred tax assets</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85,513</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13,015</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1,995</w:t>
            </w:r>
          </w:p>
        </w:tc>
        <w:tc>
          <w:tcPr>
            <w:tcW w:w="10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5900" w:type="dxa"/>
            <w:vAlign w:val="bottom"/>
            <w:tcBorders>
              <w:bottom w:val="single" w:sz="8" w:color="CFF0FC"/>
            </w:tcBorders>
          </w:tcPr>
          <w:p>
            <w:pPr>
              <w:ind w:left="220"/>
              <w:spacing w:after="0"/>
              <w:rPr>
                <w:sz w:val="20"/>
                <w:szCs w:val="20"/>
                <w:color w:val="auto"/>
              </w:rPr>
            </w:pPr>
            <w:r>
              <w:rPr>
                <w:rFonts w:ascii="Arial" w:cs="Arial" w:eastAsia="Arial" w:hAnsi="Arial"/>
                <w:sz w:val="11"/>
                <w:szCs w:val="11"/>
                <w:color w:val="auto"/>
              </w:rPr>
              <w:t>Other non-current assets</w:t>
            </w:r>
          </w:p>
        </w:tc>
        <w:tc>
          <w:tcPr>
            <w:tcW w:w="9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447,639</w:t>
            </w:r>
          </w:p>
        </w:tc>
        <w:tc>
          <w:tcPr>
            <w:tcW w:w="260" w:type="dxa"/>
            <w:vAlign w:val="bottom"/>
            <w:tcBorders>
              <w:bottom w:val="single" w:sz="8" w:color="CFF0FC"/>
            </w:tcBorders>
          </w:tcPr>
          <w:p>
            <w:pPr>
              <w:spacing w:after="0"/>
              <w:rPr>
                <w:sz w:val="11"/>
                <w:szCs w:val="1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444,628</w:t>
            </w:r>
          </w:p>
        </w:tc>
        <w:tc>
          <w:tcPr>
            <w:tcW w:w="260" w:type="dxa"/>
            <w:vAlign w:val="bottom"/>
            <w:tcBorders>
              <w:bottom w:val="single" w:sz="8" w:color="CFF0FC"/>
            </w:tcBorders>
          </w:tcPr>
          <w:p>
            <w:pPr>
              <w:spacing w:after="0"/>
              <w:rPr>
                <w:sz w:val="11"/>
                <w:szCs w:val="1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68,142</w:t>
            </w:r>
          </w:p>
        </w:tc>
        <w:tc>
          <w:tcPr>
            <w:tcW w:w="100" w:type="dxa"/>
            <w:vAlign w:val="bottom"/>
            <w:tcBorders>
              <w:bottom w:val="single" w:sz="8" w:color="CFF0FC"/>
            </w:tcBorders>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1"/>
                <w:szCs w:val="11"/>
                <w:color w:val="auto"/>
              </w:rPr>
              <w:t>Total non-current assets</w:t>
            </w:r>
          </w:p>
        </w:tc>
        <w:tc>
          <w:tcPr>
            <w:tcW w:w="9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1,924,508</w:t>
            </w:r>
          </w:p>
        </w:tc>
        <w:tc>
          <w:tcPr>
            <w:tcW w:w="260" w:type="dxa"/>
            <w:vAlign w:val="bottom"/>
            <w:shd w:val="clear" w:color="auto" w:fill="CFF0FC"/>
          </w:tcPr>
          <w:p>
            <w:pPr>
              <w:spacing w:after="0"/>
              <w:rPr>
                <w:sz w:val="11"/>
                <w:szCs w:val="1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1,706,640</w:t>
            </w:r>
          </w:p>
        </w:tc>
        <w:tc>
          <w:tcPr>
            <w:tcW w:w="260" w:type="dxa"/>
            <w:vAlign w:val="bottom"/>
            <w:shd w:val="clear" w:color="auto" w:fill="CFF0FC"/>
          </w:tcPr>
          <w:p>
            <w:pPr>
              <w:spacing w:after="0"/>
              <w:rPr>
                <w:sz w:val="11"/>
                <w:szCs w:val="1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261,555</w:t>
            </w:r>
          </w:p>
        </w:tc>
        <w:tc>
          <w:tcPr>
            <w:tcW w:w="100" w:type="dxa"/>
            <w:vAlign w:val="bottom"/>
            <w:shd w:val="clear" w:color="auto" w:fill="CFF0FC"/>
          </w:tcPr>
          <w:p>
            <w:pPr>
              <w:spacing w:after="0"/>
              <w:rPr>
                <w:sz w:val="11"/>
                <w:szCs w:val="11"/>
                <w:color w:val="auto"/>
              </w:rPr>
            </w:pPr>
          </w:p>
        </w:tc>
      </w:tr>
      <w:tr>
        <w:trPr>
          <w:trHeight w:val="129"/>
        </w:trPr>
        <w:tc>
          <w:tcPr>
            <w:tcW w:w="6900" w:type="dxa"/>
            <w:vAlign w:val="bottom"/>
            <w:gridSpan w:val="3"/>
          </w:tcPr>
          <w:p>
            <w:pPr>
              <w:spacing w:after="0"/>
              <w:rPr>
                <w:sz w:val="20"/>
                <w:szCs w:val="20"/>
                <w:color w:val="auto"/>
              </w:rPr>
            </w:pPr>
            <w:r>
              <w:rPr>
                <w:rFonts w:ascii="Arial" w:cs="Arial" w:eastAsia="Arial" w:hAnsi="Arial"/>
                <w:sz w:val="11"/>
                <w:szCs w:val="11"/>
                <w:color w:val="auto"/>
              </w:rPr>
              <w:t>TOTAL ASSETS</w:t>
            </w:r>
          </w:p>
        </w:tc>
        <w:tc>
          <w:tcPr>
            <w:tcW w:w="580" w:type="dxa"/>
            <w:vAlign w:val="bottom"/>
          </w:tcPr>
          <w:p>
            <w:pPr>
              <w:jc w:val="right"/>
              <w:spacing w:after="0"/>
              <w:rPr>
                <w:sz w:val="20"/>
                <w:szCs w:val="20"/>
                <w:color w:val="auto"/>
              </w:rPr>
            </w:pPr>
            <w:r>
              <w:rPr>
                <w:rFonts w:ascii="Arial" w:cs="Arial" w:eastAsia="Arial" w:hAnsi="Arial"/>
                <w:sz w:val="11"/>
                <w:szCs w:val="11"/>
                <w:color w:val="auto"/>
              </w:rPr>
              <w:t>3,968,702</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3,260,894</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499,755</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LIABILITIES AND SHAREHOLDERS’ DEFICIT</w:t>
            </w:r>
          </w:p>
        </w:tc>
        <w:tc>
          <w:tcPr>
            <w:tcW w:w="9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5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7"/>
        </w:trPr>
        <w:tc>
          <w:tcPr>
            <w:tcW w:w="6900" w:type="dxa"/>
            <w:vAlign w:val="bottom"/>
            <w:gridSpan w:val="3"/>
          </w:tcPr>
          <w:p>
            <w:pPr>
              <w:spacing w:after="0"/>
              <w:rPr>
                <w:sz w:val="20"/>
                <w:szCs w:val="20"/>
                <w:color w:val="auto"/>
              </w:rPr>
            </w:pPr>
            <w:r>
              <w:rPr>
                <w:rFonts w:ascii="Arial" w:cs="Arial" w:eastAsia="Arial" w:hAnsi="Arial"/>
                <w:sz w:val="11"/>
                <w:szCs w:val="11"/>
                <w:color w:val="auto"/>
              </w:rPr>
              <w:t>LIABILITIES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Current liabilities</w:t>
            </w: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Accrued expenses and other current liabilities (including accrued expenses and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other current liabilities of the consolidated VIEs without recourse to Sunlands</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Technology Group of RMB209,727 and RMB175,900 as of December 31,</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tcPr>
          <w:p>
            <w:pPr>
              <w:ind w:left="300"/>
              <w:spacing w:after="0"/>
              <w:rPr>
                <w:sz w:val="20"/>
                <w:szCs w:val="20"/>
                <w:color w:val="auto"/>
              </w:rPr>
            </w:pPr>
            <w:r>
              <w:rPr>
                <w:rFonts w:ascii="Arial" w:cs="Arial" w:eastAsia="Arial" w:hAnsi="Arial"/>
                <w:sz w:val="11"/>
                <w:szCs w:val="11"/>
                <w:color w:val="auto"/>
              </w:rPr>
              <w:t>2019 and 2020, respectively)</w:t>
            </w:r>
          </w:p>
        </w:tc>
        <w:tc>
          <w:tcPr>
            <w:tcW w:w="580" w:type="dxa"/>
            <w:vAlign w:val="bottom"/>
          </w:tcPr>
          <w:p>
            <w:pPr>
              <w:jc w:val="right"/>
              <w:spacing w:after="0"/>
              <w:rPr>
                <w:sz w:val="20"/>
                <w:szCs w:val="20"/>
                <w:color w:val="auto"/>
              </w:rPr>
            </w:pPr>
            <w:r>
              <w:rPr>
                <w:rFonts w:ascii="Arial" w:cs="Arial" w:eastAsia="Arial" w:hAnsi="Arial"/>
                <w:sz w:val="11"/>
                <w:szCs w:val="11"/>
                <w:color w:val="auto"/>
              </w:rPr>
              <w:t>435,225</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607,789</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93,149</w:t>
            </w:r>
          </w:p>
        </w:tc>
        <w:tc>
          <w:tcPr>
            <w:tcW w:w="10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Deferred revenue, current (including deferred revenue, current of the consolidated</w:t>
            </w: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shd w:val="clear" w:color="auto" w:fill="CFF0FC"/>
          </w:tcPr>
          <w:p>
            <w:pPr>
              <w:ind w:left="300"/>
              <w:spacing w:after="0" w:line="125" w:lineRule="exact"/>
              <w:rPr>
                <w:sz w:val="20"/>
                <w:szCs w:val="20"/>
                <w:color w:val="auto"/>
              </w:rPr>
            </w:pPr>
            <w:r>
              <w:rPr>
                <w:rFonts w:ascii="Arial" w:cs="Arial" w:eastAsia="Arial" w:hAnsi="Arial"/>
                <w:sz w:val="11"/>
                <w:szCs w:val="11"/>
                <w:color w:val="auto"/>
              </w:rPr>
              <w:t>VIEs without recourse to Sunlands Technology Group of RMB1,162,938 and</w:t>
            </w: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RMB435,254 as of December 31, 2019 and 2020, respectively)</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1,670,076</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1,463,165</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224,240</w:t>
            </w:r>
          </w:p>
        </w:tc>
        <w:tc>
          <w:tcPr>
            <w:tcW w:w="100" w:type="dxa"/>
            <w:vAlign w:val="bottom"/>
            <w:shd w:val="clear" w:color="auto" w:fill="CFF0FC"/>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Lease liabilities, current (including lease liabilities, current of the consolidated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VIEs without recourse to Sunlands Technology Group of RMB22,659 and</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tcPr>
          <w:p>
            <w:pPr>
              <w:ind w:left="300"/>
              <w:spacing w:after="0"/>
              <w:rPr>
                <w:sz w:val="20"/>
                <w:szCs w:val="20"/>
                <w:color w:val="auto"/>
              </w:rPr>
            </w:pPr>
            <w:r>
              <w:rPr>
                <w:rFonts w:ascii="Arial" w:cs="Arial" w:eastAsia="Arial" w:hAnsi="Arial"/>
                <w:sz w:val="11"/>
                <w:szCs w:val="11"/>
                <w:color w:val="auto"/>
              </w:rPr>
              <w:t>RMB15,833 as of December 31, 2019 and 2020, respectively)</w:t>
            </w:r>
          </w:p>
        </w:tc>
        <w:tc>
          <w:tcPr>
            <w:tcW w:w="580" w:type="dxa"/>
            <w:vAlign w:val="bottom"/>
          </w:tcPr>
          <w:p>
            <w:pPr>
              <w:jc w:val="right"/>
              <w:spacing w:after="0"/>
              <w:rPr>
                <w:sz w:val="20"/>
                <w:szCs w:val="20"/>
                <w:color w:val="auto"/>
              </w:rPr>
            </w:pPr>
            <w:r>
              <w:rPr>
                <w:rFonts w:ascii="Arial" w:cs="Arial" w:eastAsia="Arial" w:hAnsi="Arial"/>
                <w:sz w:val="11"/>
                <w:szCs w:val="11"/>
                <w:color w:val="auto"/>
              </w:rPr>
              <w:t>40,236</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30,702</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4,705</w:t>
            </w:r>
          </w:p>
        </w:tc>
        <w:tc>
          <w:tcPr>
            <w:tcW w:w="10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Payables to acquire buildings (including payables to acquire buildings of the</w:t>
            </w: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shd w:val="clear" w:color="auto" w:fill="CFF0FC"/>
          </w:tcPr>
          <w:p>
            <w:pPr>
              <w:ind w:left="300"/>
              <w:spacing w:after="0" w:line="125" w:lineRule="exact"/>
              <w:rPr>
                <w:sz w:val="20"/>
                <w:szCs w:val="20"/>
                <w:color w:val="auto"/>
              </w:rPr>
            </w:pPr>
            <w:r>
              <w:rPr>
                <w:rFonts w:ascii="Arial" w:cs="Arial" w:eastAsia="Arial" w:hAnsi="Arial"/>
                <w:sz w:val="11"/>
                <w:szCs w:val="11"/>
                <w:color w:val="auto"/>
              </w:rPr>
              <w:t>consolidated VIEs without recourse to Sunlands Technology Group of</w:t>
            </w: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nil and nil as of December 31, 2019 and 2020, respectively)</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61,540</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61,540</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9,431</w:t>
            </w:r>
          </w:p>
        </w:tc>
        <w:tc>
          <w:tcPr>
            <w:tcW w:w="100" w:type="dxa"/>
            <w:vAlign w:val="bottom"/>
            <w:shd w:val="clear" w:color="auto" w:fill="CFF0FC"/>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Long-term debt, current portion (including long-term debt, current portion of the</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consolidated VIEs without recourse to Sunlands Technology Group of nil and nil as</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5900" w:type="dxa"/>
            <w:vAlign w:val="bottom"/>
            <w:tcBorders>
              <w:bottom w:val="single" w:sz="8" w:color="CFF0FC"/>
            </w:tcBorders>
          </w:tcPr>
          <w:p>
            <w:pPr>
              <w:ind w:left="300"/>
              <w:spacing w:after="0"/>
              <w:rPr>
                <w:sz w:val="20"/>
                <w:szCs w:val="20"/>
                <w:color w:val="auto"/>
              </w:rPr>
            </w:pPr>
            <w:r>
              <w:rPr>
                <w:rFonts w:ascii="Arial" w:cs="Arial" w:eastAsia="Arial" w:hAnsi="Arial"/>
                <w:sz w:val="11"/>
                <w:szCs w:val="11"/>
                <w:color w:val="auto"/>
              </w:rPr>
              <w:t>of December 31, 2019 and 2020, respectively)</w:t>
            </w:r>
          </w:p>
        </w:tc>
        <w:tc>
          <w:tcPr>
            <w:tcW w:w="9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32,500</w:t>
            </w:r>
          </w:p>
        </w:tc>
        <w:tc>
          <w:tcPr>
            <w:tcW w:w="260" w:type="dxa"/>
            <w:vAlign w:val="bottom"/>
            <w:tcBorders>
              <w:bottom w:val="single" w:sz="8" w:color="CFF0FC"/>
            </w:tcBorders>
          </w:tcPr>
          <w:p>
            <w:pPr>
              <w:spacing w:after="0"/>
              <w:rPr>
                <w:sz w:val="11"/>
                <w:szCs w:val="1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32,500</w:t>
            </w:r>
          </w:p>
        </w:tc>
        <w:tc>
          <w:tcPr>
            <w:tcW w:w="260" w:type="dxa"/>
            <w:vAlign w:val="bottom"/>
            <w:tcBorders>
              <w:bottom w:val="single" w:sz="8" w:color="CFF0FC"/>
            </w:tcBorders>
          </w:tcPr>
          <w:p>
            <w:pPr>
              <w:spacing w:after="0"/>
              <w:rPr>
                <w:sz w:val="11"/>
                <w:szCs w:val="1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4,981</w:t>
            </w:r>
          </w:p>
        </w:tc>
        <w:tc>
          <w:tcPr>
            <w:tcW w:w="100" w:type="dxa"/>
            <w:vAlign w:val="bottom"/>
            <w:tcBorders>
              <w:bottom w:val="single" w:sz="8" w:color="CFF0FC"/>
            </w:tcBorders>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1"/>
                <w:szCs w:val="11"/>
                <w:color w:val="auto"/>
              </w:rPr>
              <w:t>Total current liabilities</w:t>
            </w:r>
          </w:p>
        </w:tc>
        <w:tc>
          <w:tcPr>
            <w:tcW w:w="9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2,239,577</w:t>
            </w:r>
          </w:p>
        </w:tc>
        <w:tc>
          <w:tcPr>
            <w:tcW w:w="260" w:type="dxa"/>
            <w:vAlign w:val="bottom"/>
            <w:shd w:val="clear" w:color="auto" w:fill="CFF0FC"/>
          </w:tcPr>
          <w:p>
            <w:pPr>
              <w:spacing w:after="0"/>
              <w:rPr>
                <w:sz w:val="11"/>
                <w:szCs w:val="1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2,195,696</w:t>
            </w:r>
          </w:p>
        </w:tc>
        <w:tc>
          <w:tcPr>
            <w:tcW w:w="260" w:type="dxa"/>
            <w:vAlign w:val="bottom"/>
            <w:shd w:val="clear" w:color="auto" w:fill="CFF0FC"/>
          </w:tcPr>
          <w:p>
            <w:pPr>
              <w:spacing w:after="0"/>
              <w:rPr>
                <w:sz w:val="11"/>
                <w:szCs w:val="1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336,506</w:t>
            </w:r>
          </w:p>
        </w:tc>
        <w:tc>
          <w:tcPr>
            <w:tcW w:w="100" w:type="dxa"/>
            <w:vAlign w:val="bottom"/>
            <w:shd w:val="clear" w:color="auto" w:fill="CFF0FC"/>
          </w:tcPr>
          <w:p>
            <w:pPr>
              <w:spacing w:after="0"/>
              <w:rPr>
                <w:sz w:val="11"/>
                <w:szCs w:val="11"/>
                <w:color w:val="auto"/>
              </w:rPr>
            </w:pPr>
          </w:p>
        </w:tc>
      </w:tr>
      <w:tr>
        <w:trPr>
          <w:trHeight w:val="129"/>
        </w:trPr>
        <w:tc>
          <w:tcPr>
            <w:tcW w:w="6900" w:type="dxa"/>
            <w:vAlign w:val="bottom"/>
            <w:gridSpan w:val="3"/>
          </w:tcPr>
          <w:p>
            <w:pPr>
              <w:spacing w:after="0"/>
              <w:rPr>
                <w:sz w:val="20"/>
                <w:szCs w:val="20"/>
                <w:color w:val="auto"/>
              </w:rPr>
            </w:pPr>
            <w:r>
              <w:rPr>
                <w:rFonts w:ascii="Arial" w:cs="Arial" w:eastAsia="Arial" w:hAnsi="Arial"/>
                <w:sz w:val="11"/>
                <w:szCs w:val="11"/>
                <w:color w:val="auto"/>
              </w:rPr>
              <w:t>Non-current liabilities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Deferred revenue, non-current (including deferred revenue, non-current of the</w:t>
            </w: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shd w:val="clear" w:color="auto" w:fill="CFF0FC"/>
          </w:tcPr>
          <w:p>
            <w:pPr>
              <w:ind w:left="300"/>
              <w:spacing w:after="0" w:line="125" w:lineRule="exact"/>
              <w:rPr>
                <w:sz w:val="20"/>
                <w:szCs w:val="20"/>
                <w:color w:val="auto"/>
              </w:rPr>
            </w:pPr>
            <w:r>
              <w:rPr>
                <w:rFonts w:ascii="Arial" w:cs="Arial" w:eastAsia="Arial" w:hAnsi="Arial"/>
                <w:sz w:val="11"/>
                <w:szCs w:val="11"/>
                <w:color w:val="auto"/>
              </w:rPr>
              <w:t>consolidated VIEs without recourse to Sunlands Technology Group of</w:t>
            </w: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RMB1,096,482 and RMB468,577 as of December 31, 2019 and 2020, respectively)</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1,558,694</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1,561,278</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239,276</w:t>
            </w:r>
          </w:p>
        </w:tc>
        <w:tc>
          <w:tcPr>
            <w:tcW w:w="100" w:type="dxa"/>
            <w:vAlign w:val="bottom"/>
            <w:shd w:val="clear" w:color="auto" w:fill="CFF0FC"/>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Lease liabilities, non-current (including lease liabilities, non-current of the</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consolidated VIEs without recourse to Sunlands Technology Group of</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tcPr>
          <w:p>
            <w:pPr>
              <w:ind w:left="300"/>
              <w:spacing w:after="0"/>
              <w:rPr>
                <w:sz w:val="20"/>
                <w:szCs w:val="20"/>
                <w:color w:val="auto"/>
              </w:rPr>
            </w:pPr>
            <w:r>
              <w:rPr>
                <w:rFonts w:ascii="Arial" w:cs="Arial" w:eastAsia="Arial" w:hAnsi="Arial"/>
                <w:sz w:val="11"/>
                <w:szCs w:val="11"/>
                <w:color w:val="auto"/>
              </w:rPr>
              <w:t>RMB358,467 and RMB340,763 as of December 31, 2019 and 2020, respectively)</w:t>
            </w:r>
          </w:p>
        </w:tc>
        <w:tc>
          <w:tcPr>
            <w:tcW w:w="580" w:type="dxa"/>
            <w:vAlign w:val="bottom"/>
          </w:tcPr>
          <w:p>
            <w:pPr>
              <w:jc w:val="right"/>
              <w:spacing w:after="0"/>
              <w:rPr>
                <w:sz w:val="20"/>
                <w:szCs w:val="20"/>
                <w:color w:val="auto"/>
              </w:rPr>
            </w:pPr>
            <w:r>
              <w:rPr>
                <w:rFonts w:ascii="Arial" w:cs="Arial" w:eastAsia="Arial" w:hAnsi="Arial"/>
                <w:sz w:val="11"/>
                <w:szCs w:val="11"/>
                <w:color w:val="auto"/>
              </w:rPr>
              <w:t>616,246</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532,538</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81,615</w:t>
            </w:r>
          </w:p>
        </w:tc>
        <w:tc>
          <w:tcPr>
            <w:tcW w:w="10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Deferred tax liabilities(including deferred tax liabilities of the consolidated</w:t>
            </w: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shd w:val="clear" w:color="auto" w:fill="CFF0FC"/>
          </w:tcPr>
          <w:p>
            <w:pPr>
              <w:ind w:left="300"/>
              <w:spacing w:after="0" w:line="125" w:lineRule="exact"/>
              <w:rPr>
                <w:sz w:val="20"/>
                <w:szCs w:val="20"/>
                <w:color w:val="auto"/>
              </w:rPr>
            </w:pPr>
            <w:r>
              <w:rPr>
                <w:rFonts w:ascii="Arial" w:cs="Arial" w:eastAsia="Arial" w:hAnsi="Arial"/>
                <w:sz w:val="11"/>
                <w:szCs w:val="11"/>
                <w:color w:val="auto"/>
              </w:rPr>
              <w:t>VIEs without recourse to Sunlands Technology Group of RMB4,415 and RMB3,203</w:t>
            </w: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as of December 31, 2019 and 2020, respectively)</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87,954</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15,220</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2,333</w:t>
            </w:r>
          </w:p>
        </w:tc>
        <w:tc>
          <w:tcPr>
            <w:tcW w:w="100" w:type="dxa"/>
            <w:vAlign w:val="bottom"/>
            <w:shd w:val="clear" w:color="auto" w:fill="CFF0FC"/>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Other non-current liabilities (including other non-current liabilities of the consolidated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VIEs without recourse to Sunlands Technology Group of RMB135 and RMB135 as</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tcPr>
          <w:p>
            <w:pPr>
              <w:ind w:left="300"/>
              <w:spacing w:after="0"/>
              <w:rPr>
                <w:sz w:val="20"/>
                <w:szCs w:val="20"/>
                <w:color w:val="auto"/>
              </w:rPr>
            </w:pPr>
            <w:r>
              <w:rPr>
                <w:rFonts w:ascii="Arial" w:cs="Arial" w:eastAsia="Arial" w:hAnsi="Arial"/>
                <w:sz w:val="11"/>
                <w:szCs w:val="11"/>
                <w:color w:val="auto"/>
              </w:rPr>
              <w:t>of December 31, 2019 and 2020, respectively)</w:t>
            </w:r>
          </w:p>
        </w:tc>
        <w:tc>
          <w:tcPr>
            <w:tcW w:w="580" w:type="dxa"/>
            <w:vAlign w:val="bottom"/>
          </w:tcPr>
          <w:p>
            <w:pPr>
              <w:jc w:val="right"/>
              <w:spacing w:after="0"/>
              <w:rPr>
                <w:sz w:val="20"/>
                <w:szCs w:val="20"/>
                <w:color w:val="auto"/>
              </w:rPr>
            </w:pPr>
            <w:r>
              <w:rPr>
                <w:rFonts w:ascii="Arial" w:cs="Arial" w:eastAsia="Arial" w:hAnsi="Arial"/>
                <w:sz w:val="11"/>
                <w:szCs w:val="11"/>
                <w:color w:val="auto"/>
              </w:rPr>
              <w:t>11,469</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7,664</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1,175</w:t>
            </w:r>
          </w:p>
        </w:tc>
        <w:tc>
          <w:tcPr>
            <w:tcW w:w="10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Long-term debt, non-current portion (including long-term debt, non-current portion of</w:t>
            </w: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shd w:val="clear" w:color="auto" w:fill="CFF0FC"/>
          </w:tcPr>
          <w:p>
            <w:pPr>
              <w:ind w:left="300"/>
              <w:spacing w:after="0" w:line="125" w:lineRule="exact"/>
              <w:rPr>
                <w:sz w:val="20"/>
                <w:szCs w:val="20"/>
                <w:color w:val="auto"/>
              </w:rPr>
            </w:pPr>
            <w:r>
              <w:rPr>
                <w:rFonts w:ascii="Arial" w:cs="Arial" w:eastAsia="Arial" w:hAnsi="Arial"/>
                <w:sz w:val="11"/>
                <w:szCs w:val="11"/>
                <w:color w:val="auto"/>
              </w:rPr>
              <w:t>the consolidated VIEs without recourse to Sunlands Technology Group of nil and nil</w:t>
            </w: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5900" w:type="dxa"/>
            <w:vAlign w:val="bottom"/>
            <w:shd w:val="clear" w:color="auto" w:fill="CFF0FC"/>
          </w:tcPr>
          <w:p>
            <w:pPr>
              <w:ind w:left="300"/>
              <w:spacing w:after="0"/>
              <w:rPr>
                <w:sz w:val="20"/>
                <w:szCs w:val="20"/>
                <w:color w:val="auto"/>
              </w:rPr>
            </w:pPr>
            <w:r>
              <w:rPr>
                <w:rFonts w:ascii="Arial" w:cs="Arial" w:eastAsia="Arial" w:hAnsi="Arial"/>
                <w:sz w:val="11"/>
                <w:szCs w:val="11"/>
                <w:color w:val="auto"/>
              </w:rPr>
              <w:t>as of December 31, 2019 and 2020, respectively)</w:t>
            </w:r>
          </w:p>
        </w:tc>
        <w:tc>
          <w:tcPr>
            <w:tcW w:w="9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193,125</w:t>
            </w:r>
          </w:p>
        </w:tc>
        <w:tc>
          <w:tcPr>
            <w:tcW w:w="260" w:type="dxa"/>
            <w:vAlign w:val="bottom"/>
            <w:shd w:val="clear" w:color="auto" w:fill="CFF0FC"/>
          </w:tcPr>
          <w:p>
            <w:pPr>
              <w:spacing w:after="0"/>
              <w:rPr>
                <w:sz w:val="11"/>
                <w:szCs w:val="1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160,625</w:t>
            </w:r>
          </w:p>
        </w:tc>
        <w:tc>
          <w:tcPr>
            <w:tcW w:w="260" w:type="dxa"/>
            <w:vAlign w:val="bottom"/>
            <w:shd w:val="clear" w:color="auto" w:fill="CFF0FC"/>
          </w:tcPr>
          <w:p>
            <w:pPr>
              <w:spacing w:after="0"/>
              <w:rPr>
                <w:sz w:val="11"/>
                <w:szCs w:val="1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24,617</w:t>
            </w:r>
          </w:p>
        </w:tc>
        <w:tc>
          <w:tcPr>
            <w:tcW w:w="100" w:type="dxa"/>
            <w:vAlign w:val="bottom"/>
            <w:shd w:val="clear" w:color="auto" w:fill="CFF0FC"/>
          </w:tcPr>
          <w:p>
            <w:pPr>
              <w:spacing w:after="0"/>
              <w:rPr>
                <w:sz w:val="11"/>
                <w:szCs w:val="11"/>
                <w:color w:val="auto"/>
              </w:rPr>
            </w:pPr>
          </w:p>
        </w:tc>
      </w:tr>
      <w:tr>
        <w:trPr>
          <w:trHeight w:val="129"/>
        </w:trPr>
        <w:tc>
          <w:tcPr>
            <w:tcW w:w="6900" w:type="dxa"/>
            <w:vAlign w:val="bottom"/>
            <w:gridSpan w:val="3"/>
          </w:tcPr>
          <w:p>
            <w:pPr>
              <w:spacing w:after="0"/>
              <w:rPr>
                <w:sz w:val="20"/>
                <w:szCs w:val="20"/>
                <w:color w:val="auto"/>
              </w:rPr>
            </w:pPr>
            <w:r>
              <w:rPr>
                <w:rFonts w:ascii="Arial" w:cs="Arial" w:eastAsia="Arial" w:hAnsi="Arial"/>
                <w:sz w:val="11"/>
                <w:szCs w:val="11"/>
                <w:color w:val="auto"/>
              </w:rPr>
              <w:t>Total non-current liabilities</w:t>
            </w:r>
          </w:p>
        </w:tc>
        <w:tc>
          <w:tcPr>
            <w:tcW w:w="580" w:type="dxa"/>
            <w:vAlign w:val="bottom"/>
          </w:tcPr>
          <w:p>
            <w:pPr>
              <w:jc w:val="right"/>
              <w:spacing w:after="0"/>
              <w:rPr>
                <w:sz w:val="20"/>
                <w:szCs w:val="20"/>
                <w:color w:val="auto"/>
              </w:rPr>
            </w:pPr>
            <w:r>
              <w:rPr>
                <w:rFonts w:ascii="Arial" w:cs="Arial" w:eastAsia="Arial" w:hAnsi="Arial"/>
                <w:sz w:val="11"/>
                <w:szCs w:val="11"/>
                <w:color w:val="auto"/>
              </w:rPr>
              <w:t>2,467,488</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2,277,325</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349,016</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TOTAL LIABILITIES</w:t>
            </w:r>
          </w:p>
        </w:tc>
        <w:tc>
          <w:tcPr>
            <w:tcW w:w="980" w:type="dxa"/>
            <w:vAlign w:val="bottom"/>
            <w:tcBorders>
              <w:top w:val="single" w:sz="8" w:color="auto"/>
              <w:bottom w:val="single" w:sz="8" w:color="auto"/>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4,707,065</w:t>
            </w:r>
          </w:p>
        </w:tc>
        <w:tc>
          <w:tcPr>
            <w:tcW w:w="260" w:type="dxa"/>
            <w:vAlign w:val="bottom"/>
            <w:tcBorders>
              <w:top w:val="single" w:sz="8" w:color="CFF0FC"/>
            </w:tcBorders>
            <w:shd w:val="clear" w:color="auto" w:fill="CFF0FC"/>
          </w:tcPr>
          <w:p>
            <w:pPr>
              <w:spacing w:after="0"/>
              <w:rPr>
                <w:sz w:val="11"/>
                <w:szCs w:val="11"/>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4,473,021</w:t>
            </w:r>
          </w:p>
        </w:tc>
        <w:tc>
          <w:tcPr>
            <w:tcW w:w="260" w:type="dxa"/>
            <w:vAlign w:val="bottom"/>
            <w:tcBorders>
              <w:top w:val="single" w:sz="8" w:color="CFF0FC"/>
            </w:tcBorders>
            <w:shd w:val="clear" w:color="auto" w:fill="CFF0FC"/>
          </w:tcPr>
          <w:p>
            <w:pPr>
              <w:spacing w:after="0"/>
              <w:rPr>
                <w:sz w:val="11"/>
                <w:szCs w:val="11"/>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685,522</w:t>
            </w:r>
          </w:p>
        </w:tc>
        <w:tc>
          <w:tcPr>
            <w:tcW w:w="100" w:type="dxa"/>
            <w:vAlign w:val="bottom"/>
            <w:tcBorders>
              <w:top w:val="single" w:sz="8" w:color="CFF0FC"/>
            </w:tcBorders>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COMMITMENTS AND CONTINGENCIES (Note 20)</w:t>
            </w: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7"/>
        </w:trPr>
        <w:tc>
          <w:tcPr>
            <w:tcW w:w="592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SHAREHOLDERS’ DEFICIT</w:t>
            </w: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Class A ordinary shares (par value of US$0.00005, 796,062,195 shares authorized;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1,830,183 and 1,978,621 shares issued as of December 31, 2019 and 2020,</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respectively; 1,728,006 and 1,792,560 shares outstanding as of December 31,</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tcPr>
          <w:p>
            <w:pPr>
              <w:ind w:left="300"/>
              <w:spacing w:after="0"/>
              <w:rPr>
                <w:sz w:val="20"/>
                <w:szCs w:val="20"/>
                <w:color w:val="auto"/>
              </w:rPr>
            </w:pPr>
            <w:r>
              <w:rPr>
                <w:rFonts w:ascii="Arial" w:cs="Arial" w:eastAsia="Arial" w:hAnsi="Arial"/>
                <w:sz w:val="11"/>
                <w:szCs w:val="11"/>
                <w:color w:val="auto"/>
              </w:rPr>
              <w:t>2019 and 2020, respectively)</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1"/>
                <w:szCs w:val="11"/>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Class B ordinary shares (par value of US$0.00005, 826,389 shares authorized;</w:t>
            </w: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shd w:val="clear" w:color="auto" w:fill="CFF0FC"/>
          </w:tcPr>
          <w:p>
            <w:pPr>
              <w:ind w:left="300"/>
              <w:spacing w:after="0" w:line="125" w:lineRule="exact"/>
              <w:rPr>
                <w:sz w:val="20"/>
                <w:szCs w:val="20"/>
                <w:color w:val="auto"/>
              </w:rPr>
            </w:pPr>
            <w:r>
              <w:rPr>
                <w:rFonts w:ascii="Arial" w:cs="Arial" w:eastAsia="Arial" w:hAnsi="Arial"/>
                <w:sz w:val="11"/>
                <w:szCs w:val="11"/>
                <w:color w:val="auto"/>
              </w:rPr>
              <w:t>826,389 and 826,389 shares issued and outstanding as of December 31, 2019</w:t>
            </w: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and 2020, respectively)</w:t>
            </w: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Class C ordinary shares (par value of US$0.00005, 203,111,416 shares authorized;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88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4,258,686 and 4,110,248 shares issued and outstanding as of December 31,</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880" w:type="dxa"/>
            <w:vAlign w:val="bottom"/>
            <w:gridSpan w:val="2"/>
          </w:tcPr>
          <w:p>
            <w:pPr>
              <w:ind w:left="300"/>
              <w:spacing w:after="0"/>
              <w:rPr>
                <w:sz w:val="20"/>
                <w:szCs w:val="20"/>
                <w:color w:val="auto"/>
              </w:rPr>
            </w:pPr>
            <w:r>
              <w:rPr>
                <w:rFonts w:ascii="Arial" w:cs="Arial" w:eastAsia="Arial" w:hAnsi="Arial"/>
                <w:sz w:val="11"/>
                <w:szCs w:val="11"/>
                <w:color w:val="auto"/>
              </w:rPr>
              <w:t>2019 and 2020, respectively)</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1"/>
                <w:szCs w:val="11"/>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Treasury stock</w:t>
            </w: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7"/>
        </w:trPr>
        <w:tc>
          <w:tcPr>
            <w:tcW w:w="20" w:type="dxa"/>
            <w:vAlign w:val="bottom"/>
          </w:tcPr>
          <w:p>
            <w:pPr>
              <w:spacing w:after="0"/>
              <w:rPr>
                <w:sz w:val="11"/>
                <w:szCs w:val="11"/>
                <w:color w:val="auto"/>
              </w:rPr>
            </w:pPr>
          </w:p>
        </w:tc>
        <w:tc>
          <w:tcPr>
            <w:tcW w:w="6880" w:type="dxa"/>
            <w:vAlign w:val="bottom"/>
            <w:gridSpan w:val="2"/>
          </w:tcPr>
          <w:p>
            <w:pPr>
              <w:ind w:left="220"/>
              <w:spacing w:after="0"/>
              <w:rPr>
                <w:sz w:val="20"/>
                <w:szCs w:val="20"/>
                <w:color w:val="auto"/>
              </w:rPr>
            </w:pPr>
            <w:r>
              <w:rPr>
                <w:rFonts w:ascii="Arial" w:cs="Arial" w:eastAsia="Arial" w:hAnsi="Arial"/>
                <w:sz w:val="11"/>
                <w:szCs w:val="11"/>
                <w:color w:val="auto"/>
              </w:rPr>
              <w:t>Additional paid-in capital</w:t>
            </w:r>
          </w:p>
        </w:tc>
        <w:tc>
          <w:tcPr>
            <w:tcW w:w="580" w:type="dxa"/>
            <w:vAlign w:val="bottom"/>
          </w:tcPr>
          <w:p>
            <w:pPr>
              <w:jc w:val="right"/>
              <w:spacing w:after="0"/>
              <w:rPr>
                <w:sz w:val="20"/>
                <w:szCs w:val="20"/>
                <w:color w:val="auto"/>
              </w:rPr>
            </w:pPr>
            <w:r>
              <w:rPr>
                <w:rFonts w:ascii="Arial" w:cs="Arial" w:eastAsia="Arial" w:hAnsi="Arial"/>
                <w:sz w:val="11"/>
                <w:szCs w:val="11"/>
                <w:color w:val="auto"/>
              </w:rPr>
              <w:t>2,363,999</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2,367,168</w:t>
            </w:r>
          </w:p>
        </w:tc>
        <w:tc>
          <w:tcPr>
            <w:tcW w:w="26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362,784</w:t>
            </w: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6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Accumulated other comprehensive income</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142,435</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96,490</w:t>
            </w:r>
          </w:p>
        </w:tc>
        <w:tc>
          <w:tcPr>
            <w:tcW w:w="260" w:type="dxa"/>
            <w:vAlign w:val="bottom"/>
            <w:shd w:val="clear" w:color="auto" w:fill="CFF0FC"/>
          </w:tcPr>
          <w:p>
            <w:pPr>
              <w:spacing w:after="0"/>
              <w:rPr>
                <w:sz w:val="11"/>
                <w:szCs w:val="1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14,788</w:t>
            </w:r>
          </w:p>
        </w:tc>
        <w:tc>
          <w:tcPr>
            <w:tcW w:w="10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5900" w:type="dxa"/>
            <w:vAlign w:val="bottom"/>
          </w:tcPr>
          <w:p>
            <w:pPr>
              <w:ind w:left="220"/>
              <w:spacing w:after="0"/>
              <w:rPr>
                <w:sz w:val="20"/>
                <w:szCs w:val="20"/>
                <w:color w:val="auto"/>
              </w:rPr>
            </w:pPr>
            <w:r>
              <w:rPr>
                <w:rFonts w:ascii="Arial" w:cs="Arial" w:eastAsia="Arial" w:hAnsi="Arial"/>
                <w:sz w:val="11"/>
                <w:szCs w:val="11"/>
                <w:color w:val="auto"/>
              </w:rPr>
              <w:t>Accumulated deficit</w:t>
            </w:r>
          </w:p>
        </w:tc>
        <w:tc>
          <w:tcPr>
            <w:tcW w:w="9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(3,244,587)</w:t>
            </w:r>
          </w:p>
        </w:tc>
        <w:tc>
          <w:tcPr>
            <w:tcW w:w="1840" w:type="dxa"/>
            <w:vAlign w:val="bottom"/>
            <w:gridSpan w:val="2"/>
          </w:tcPr>
          <w:p>
            <w:pPr>
              <w:jc w:val="right"/>
              <w:ind w:right="240"/>
              <w:spacing w:after="0"/>
              <w:rPr>
                <w:sz w:val="20"/>
                <w:szCs w:val="20"/>
                <w:color w:val="auto"/>
              </w:rPr>
            </w:pPr>
            <w:r>
              <w:rPr>
                <w:rFonts w:ascii="Arial" w:cs="Arial" w:eastAsia="Arial" w:hAnsi="Arial"/>
                <w:sz w:val="11"/>
                <w:szCs w:val="11"/>
                <w:color w:val="auto"/>
              </w:rPr>
              <w:t>(3,675,129)</w:t>
            </w:r>
          </w:p>
        </w:tc>
        <w:tc>
          <w:tcPr>
            <w:tcW w:w="1680" w:type="dxa"/>
            <w:vAlign w:val="bottom"/>
            <w:gridSpan w:val="2"/>
          </w:tcPr>
          <w:p>
            <w:pPr>
              <w:jc w:val="right"/>
              <w:ind w:right="80"/>
              <w:spacing w:after="0"/>
              <w:rPr>
                <w:sz w:val="20"/>
                <w:szCs w:val="20"/>
                <w:color w:val="auto"/>
              </w:rPr>
            </w:pPr>
            <w:r>
              <w:rPr>
                <w:rFonts w:ascii="Arial" w:cs="Arial" w:eastAsia="Arial" w:hAnsi="Arial"/>
                <w:sz w:val="11"/>
                <w:szCs w:val="11"/>
                <w:color w:val="auto"/>
              </w:rPr>
              <w:t>(563,238)</w:t>
            </w:r>
          </w:p>
        </w:tc>
      </w:tr>
      <w:tr>
        <w:trPr>
          <w:trHeight w:val="20"/>
        </w:trPr>
        <w:tc>
          <w:tcPr>
            <w:tcW w:w="20" w:type="dxa"/>
            <w:vAlign w:val="bottom"/>
          </w:tcPr>
          <w:p>
            <w:pPr>
              <w:spacing w:after="0" w:line="20" w:lineRule="exact"/>
              <w:rPr>
                <w:sz w:val="1"/>
                <w:szCs w:val="1"/>
                <w:color w:val="auto"/>
              </w:rPr>
            </w:pPr>
          </w:p>
        </w:tc>
        <w:tc>
          <w:tcPr>
            <w:tcW w:w="59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1"/>
                <w:szCs w:val="11"/>
                <w:color w:val="auto"/>
              </w:rPr>
              <w:t>Total Sunlands Technology Group shareholders’ deficit</w:t>
            </w:r>
          </w:p>
        </w:tc>
        <w:tc>
          <w:tcPr>
            <w:tcW w:w="9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(738,151)</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(1,211,469)</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(185,666)</w:t>
            </w:r>
          </w:p>
        </w:tc>
      </w:tr>
      <w:tr>
        <w:trPr>
          <w:trHeight w:val="20"/>
        </w:trPr>
        <w:tc>
          <w:tcPr>
            <w:tcW w:w="592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920" w:type="dxa"/>
            <w:vAlign w:val="bottom"/>
            <w:gridSpan w:val="2"/>
          </w:tcPr>
          <w:p>
            <w:pPr>
              <w:spacing w:after="0"/>
              <w:rPr>
                <w:sz w:val="20"/>
                <w:szCs w:val="20"/>
                <w:color w:val="auto"/>
              </w:rPr>
            </w:pPr>
            <w:r>
              <w:rPr>
                <w:rFonts w:ascii="Arial" w:cs="Arial" w:eastAsia="Arial" w:hAnsi="Arial"/>
                <w:sz w:val="11"/>
                <w:szCs w:val="11"/>
                <w:color w:val="auto"/>
              </w:rPr>
              <w:t>Noncontrolling interest</w:t>
            </w:r>
          </w:p>
        </w:tc>
        <w:tc>
          <w:tcPr>
            <w:tcW w:w="9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(212)</w:t>
            </w:r>
          </w:p>
        </w:tc>
        <w:tc>
          <w:tcPr>
            <w:tcW w:w="1840" w:type="dxa"/>
            <w:vAlign w:val="bottom"/>
            <w:gridSpan w:val="2"/>
          </w:tcPr>
          <w:p>
            <w:pPr>
              <w:jc w:val="right"/>
              <w:ind w:right="240"/>
              <w:spacing w:after="0"/>
              <w:rPr>
                <w:sz w:val="20"/>
                <w:szCs w:val="20"/>
                <w:color w:val="auto"/>
              </w:rPr>
            </w:pPr>
            <w:r>
              <w:rPr>
                <w:rFonts w:ascii="Arial" w:cs="Arial" w:eastAsia="Arial" w:hAnsi="Arial"/>
                <w:sz w:val="11"/>
                <w:szCs w:val="11"/>
                <w:color w:val="auto"/>
              </w:rPr>
              <w:t>(658)</w:t>
            </w:r>
          </w:p>
        </w:tc>
        <w:tc>
          <w:tcPr>
            <w:tcW w:w="1680" w:type="dxa"/>
            <w:vAlign w:val="bottom"/>
            <w:gridSpan w:val="2"/>
          </w:tcPr>
          <w:p>
            <w:pPr>
              <w:jc w:val="right"/>
              <w:ind w:right="80"/>
              <w:spacing w:after="0"/>
              <w:rPr>
                <w:sz w:val="20"/>
                <w:szCs w:val="20"/>
                <w:color w:val="auto"/>
              </w:rPr>
            </w:pPr>
            <w:r>
              <w:rPr>
                <w:rFonts w:ascii="Arial" w:cs="Arial" w:eastAsia="Arial" w:hAnsi="Arial"/>
                <w:sz w:val="11"/>
                <w:szCs w:val="11"/>
                <w:color w:val="auto"/>
              </w:rPr>
              <w:t>(101)</w:t>
            </w:r>
          </w:p>
        </w:tc>
      </w:tr>
      <w:tr>
        <w:trPr>
          <w:trHeight w:val="137"/>
        </w:trPr>
        <w:tc>
          <w:tcPr>
            <w:tcW w:w="20" w:type="dxa"/>
            <w:vAlign w:val="bottom"/>
          </w:tcPr>
          <w:p>
            <w:pPr>
              <w:spacing w:after="0"/>
              <w:rPr>
                <w:sz w:val="11"/>
                <w:szCs w:val="11"/>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1"/>
                <w:szCs w:val="11"/>
                <w:color w:val="auto"/>
              </w:rPr>
              <w:t>TOTAL SHAREHOLDERS’ DEFICIT</w:t>
            </w:r>
          </w:p>
        </w:tc>
        <w:tc>
          <w:tcPr>
            <w:tcW w:w="9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(738,363)</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(1,212,127)</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(185,767)</w:t>
            </w:r>
          </w:p>
        </w:tc>
      </w:tr>
      <w:tr>
        <w:trPr>
          <w:trHeight w:val="129"/>
        </w:trPr>
        <w:tc>
          <w:tcPr>
            <w:tcW w:w="5920" w:type="dxa"/>
            <w:vAlign w:val="bottom"/>
            <w:gridSpan w:val="2"/>
          </w:tcPr>
          <w:p>
            <w:pPr>
              <w:spacing w:after="0"/>
              <w:rPr>
                <w:sz w:val="20"/>
                <w:szCs w:val="20"/>
                <w:color w:val="auto"/>
              </w:rPr>
            </w:pPr>
            <w:r>
              <w:rPr>
                <w:rFonts w:ascii="Arial" w:cs="Arial" w:eastAsia="Arial" w:hAnsi="Arial"/>
                <w:sz w:val="11"/>
                <w:szCs w:val="11"/>
                <w:color w:val="auto"/>
              </w:rPr>
              <w:t>TOTAL LIABILITIES AND SHAREHOLDERS’ DEFICIT</w:t>
            </w:r>
          </w:p>
        </w:tc>
        <w:tc>
          <w:tcPr>
            <w:tcW w:w="9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3,968,702</w:t>
            </w:r>
          </w:p>
        </w:tc>
        <w:tc>
          <w:tcPr>
            <w:tcW w:w="260" w:type="dxa"/>
            <w:vAlign w:val="bottom"/>
          </w:tcPr>
          <w:p>
            <w:pPr>
              <w:spacing w:after="0"/>
              <w:rPr>
                <w:sz w:val="11"/>
                <w:szCs w:val="1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3,260,894</w:t>
            </w:r>
          </w:p>
        </w:tc>
        <w:tc>
          <w:tcPr>
            <w:tcW w:w="260" w:type="dxa"/>
            <w:vAlign w:val="bottom"/>
          </w:tcPr>
          <w:p>
            <w:pPr>
              <w:spacing w:after="0"/>
              <w:rPr>
                <w:sz w:val="11"/>
                <w:szCs w:val="1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499,755</w:t>
            </w:r>
          </w:p>
        </w:tc>
        <w:tc>
          <w:tcPr>
            <w:tcW w:w="100" w:type="dxa"/>
            <w:vAlign w:val="bottom"/>
          </w:tcPr>
          <w:p>
            <w:pPr>
              <w:spacing w:after="0"/>
              <w:rPr>
                <w:sz w:val="11"/>
                <w:szCs w:val="11"/>
                <w:color w:val="auto"/>
              </w:rPr>
            </w:pP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346"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7"/>
          <w:szCs w:val="17"/>
          <w:color w:val="181717"/>
        </w:rPr>
        <w:t>CONSOLIDATED STATEMENTS OF OPERATIONS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181717"/>
        </w:rPr>
        <w:t>(Amounts in thousands, except for share and per share data, or otherwise noted)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7"/>
                <w:szCs w:val="17"/>
                <w:color w:val="auto"/>
              </w:rPr>
              <w:t>Years ended 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2019</w:t>
            </w:r>
          </w:p>
        </w:tc>
        <w:tc>
          <w:tcPr>
            <w:tcW w:w="22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2020</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140" w:type="dxa"/>
            <w:vAlign w:val="bottom"/>
          </w:tcPr>
          <w:p>
            <w:pPr>
              <w:jc w:val="right"/>
              <w:ind w:right="317"/>
              <w:spacing w:after="0"/>
              <w:rPr>
                <w:sz w:val="20"/>
                <w:szCs w:val="20"/>
                <w:color w:val="auto"/>
              </w:rPr>
            </w:pPr>
            <w:r>
              <w:rPr>
                <w:rFonts w:ascii="Arial" w:cs="Arial" w:eastAsia="Arial" w:hAnsi="Arial"/>
                <w:sz w:val="17"/>
                <w:szCs w:val="17"/>
                <w:color w:val="auto"/>
              </w:rPr>
              <w:t>RMB</w:t>
            </w:r>
          </w:p>
        </w:tc>
        <w:tc>
          <w:tcPr>
            <w:tcW w:w="240" w:type="dxa"/>
            <w:vAlign w:val="bottom"/>
          </w:tcPr>
          <w:p>
            <w:pPr>
              <w:spacing w:after="0"/>
              <w:rPr>
                <w:sz w:val="17"/>
                <w:szCs w:val="17"/>
                <w:color w:val="auto"/>
              </w:rPr>
            </w:pPr>
          </w:p>
        </w:tc>
        <w:tc>
          <w:tcPr>
            <w:tcW w:w="1140" w:type="dxa"/>
            <w:vAlign w:val="bottom"/>
          </w:tcPr>
          <w:p>
            <w:pPr>
              <w:jc w:val="right"/>
              <w:ind w:right="317"/>
              <w:spacing w:after="0"/>
              <w:rPr>
                <w:sz w:val="20"/>
                <w:szCs w:val="20"/>
                <w:color w:val="auto"/>
              </w:rPr>
            </w:pPr>
            <w:r>
              <w:rPr>
                <w:rFonts w:ascii="Arial" w:cs="Arial" w:eastAsia="Arial" w:hAnsi="Arial"/>
                <w:sz w:val="17"/>
                <w:szCs w:val="17"/>
                <w:color w:val="auto"/>
              </w:rPr>
              <w:t>RMB</w:t>
            </w:r>
          </w:p>
        </w:tc>
        <w:tc>
          <w:tcPr>
            <w:tcW w:w="220" w:type="dxa"/>
            <w:vAlign w:val="bottom"/>
          </w:tcPr>
          <w:p>
            <w:pPr>
              <w:spacing w:after="0"/>
              <w:rPr>
                <w:sz w:val="17"/>
                <w:szCs w:val="17"/>
                <w:color w:val="auto"/>
              </w:rPr>
            </w:pPr>
          </w:p>
        </w:tc>
        <w:tc>
          <w:tcPr>
            <w:tcW w:w="1560" w:type="dxa"/>
            <w:vAlign w:val="bottom"/>
            <w:gridSpan w:val="3"/>
          </w:tcPr>
          <w:p>
            <w:pPr>
              <w:jc w:val="right"/>
              <w:ind w:right="800"/>
              <w:spacing w:after="0"/>
              <w:rPr>
                <w:sz w:val="20"/>
                <w:szCs w:val="20"/>
                <w:color w:val="auto"/>
              </w:rPr>
            </w:pPr>
            <w:r>
              <w:rPr>
                <w:rFonts w:ascii="Arial" w:cs="Arial" w:eastAsia="Arial" w:hAnsi="Arial"/>
                <w:sz w:val="17"/>
                <w:szCs w:val="17"/>
                <w:color w:val="auto"/>
              </w:rPr>
              <w:t>RMB</w:t>
            </w:r>
          </w:p>
        </w:tc>
        <w:tc>
          <w:tcPr>
            <w:tcW w:w="980" w:type="dxa"/>
            <w:vAlign w:val="bottom"/>
          </w:tcPr>
          <w:p>
            <w:pPr>
              <w:jc w:val="right"/>
              <w:ind w:right="357"/>
              <w:spacing w:after="0"/>
              <w:rPr>
                <w:sz w:val="20"/>
                <w:szCs w:val="20"/>
                <w:color w:val="auto"/>
              </w:rPr>
            </w:pPr>
            <w:r>
              <w:rPr>
                <w:rFonts w:ascii="Arial" w:cs="Arial" w:eastAsia="Arial" w:hAnsi="Arial"/>
                <w:sz w:val="17"/>
                <w:szCs w:val="17"/>
                <w:color w:val="auto"/>
              </w:rPr>
              <w:t>US$</w:t>
            </w:r>
          </w:p>
        </w:tc>
        <w:tc>
          <w:tcPr>
            <w:tcW w:w="1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(Note 2)</w:t>
            </w:r>
          </w:p>
        </w:tc>
      </w:tr>
      <w:tr>
        <w:trPr>
          <w:trHeight w:val="212"/>
        </w:trPr>
        <w:tc>
          <w:tcPr>
            <w:tcW w:w="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Net revenues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1,973,985</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2,193,902</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2,203,791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337,746</w:t>
            </w:r>
          </w:p>
        </w:tc>
        <w:tc>
          <w:tcPr>
            <w:tcW w:w="120" w:type="dxa"/>
            <w:vAlign w:val="bottom"/>
            <w:shd w:val="clear" w:color="auto" w:fill="CFF0F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Cost of revenues (including share-based compensation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rPr>
              <w:t>expenses of RMB314, RMB317 and RMB146 for the years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rPr>
              <w:t>ended December 31, 2018, 2019 and 2020, respectively)</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(330,376)</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(396,316)</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(387,272)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(59,352)</w:t>
            </w:r>
          </w:p>
        </w:tc>
      </w:tr>
      <w:tr>
        <w:trPr>
          <w:trHeight w:val="204"/>
        </w:trPr>
        <w:tc>
          <w:tcPr>
            <w:tcW w:w="20" w:type="dxa"/>
            <w:vAlign w:val="bottom"/>
          </w:tcPr>
          <w:p>
            <w:pPr>
              <w:spacing w:after="0"/>
              <w:rPr>
                <w:sz w:val="17"/>
                <w:szCs w:val="17"/>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Gross profit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1,643,609</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1,797,586</w:t>
            </w:r>
          </w:p>
        </w:tc>
        <w:tc>
          <w:tcPr>
            <w:tcW w:w="2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1,816,519</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278,394</w:t>
            </w:r>
          </w:p>
        </w:tc>
        <w:tc>
          <w:tcPr>
            <w:tcW w:w="120" w:type="dxa"/>
            <w:vAlign w:val="bottom"/>
            <w:tcBorders>
              <w:top w:val="single" w:sz="8" w:color="CFF0FC"/>
            </w:tcBorders>
            <w:shd w:val="clear" w:color="auto" w:fill="CFF0FC"/>
          </w:tcPr>
          <w:p>
            <w:pPr>
              <w:spacing w:after="0"/>
              <w:rPr>
                <w:sz w:val="17"/>
                <w:szCs w:val="17"/>
                <w:color w:val="auto"/>
              </w:rPr>
            </w:pPr>
          </w:p>
        </w:tc>
      </w:tr>
      <w:tr>
        <w:trPr>
          <w:trHeight w:val="204"/>
        </w:trPr>
        <w:tc>
          <w:tcPr>
            <w:tcW w:w="58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 expenses (including share-based</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compensation expenses of RMB773, RMB674 and</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RMB14,278 for the years ended December 31, 2018, 2019</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and 2020, respectively)</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(2,152,830)</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(1,792,285)</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(2,123,618)</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(325,459)</w:t>
            </w: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Product development expenses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(76,022)</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(101,717)</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(66,528)</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(10,196)</w:t>
            </w:r>
          </w:p>
        </w:tc>
      </w:tr>
      <w:tr>
        <w:trPr>
          <w:trHeight w:val="199"/>
        </w:trPr>
        <w:tc>
          <w:tcPr>
            <w:tcW w:w="20" w:type="dxa"/>
            <w:vAlign w:val="bottom"/>
          </w:tcPr>
          <w:p>
            <w:pPr>
              <w:spacing w:after="0"/>
              <w:rPr>
                <w:sz w:val="17"/>
                <w:szCs w:val="17"/>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 expenses (including share-based</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compensation expenses of RMB2,764, RMB1,979 and</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RMB15,324 for the years ended December 31, 2018, 2019</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and 2020, respectively)</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(443,691)</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(363,307)</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(275,391)</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(42,206)</w:t>
            </w:r>
          </w:p>
        </w:tc>
      </w:tr>
      <w:tr>
        <w:trPr>
          <w:trHeight w:val="204"/>
        </w:trPr>
        <w:tc>
          <w:tcPr>
            <w:tcW w:w="5860" w:type="dxa"/>
            <w:vAlign w:val="bottom"/>
            <w:gridSpan w:val="2"/>
          </w:tcPr>
          <w:p>
            <w:pPr>
              <w:spacing w:after="0"/>
              <w:rPr>
                <w:sz w:val="20"/>
                <w:szCs w:val="20"/>
                <w:color w:val="auto"/>
              </w:rPr>
            </w:pPr>
            <w:r>
              <w:rPr>
                <w:rFonts w:ascii="Arial" w:cs="Arial" w:eastAsia="Arial" w:hAnsi="Arial"/>
                <w:sz w:val="17"/>
                <w:szCs w:val="17"/>
                <w:color w:val="auto"/>
              </w:rPr>
              <w:t>Total operating expenses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(2,672,543)</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(2,257,309)</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(2,465,537)</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(377,861)</w:t>
            </w:r>
          </w:p>
        </w:tc>
        <w:tc>
          <w:tcPr>
            <w:tcW w:w="1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(1,028,934)</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(459,723)</w:t>
            </w:r>
          </w:p>
        </w:tc>
        <w:tc>
          <w:tcPr>
            <w:tcW w:w="2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(649,018)</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(99,467)</w:t>
            </w:r>
          </w:p>
        </w:tc>
        <w:tc>
          <w:tcPr>
            <w:tcW w:w="120" w:type="dxa"/>
            <w:vAlign w:val="bottom"/>
            <w:tcBorders>
              <w:top w:val="single" w:sz="8" w:color="CFF0FC"/>
            </w:tcBorders>
            <w:shd w:val="clear" w:color="auto" w:fill="CFF0FC"/>
          </w:tcPr>
          <w:p>
            <w:pPr>
              <w:spacing w:after="0"/>
              <w:rPr>
                <w:sz w:val="17"/>
                <w:szCs w:val="17"/>
                <w:color w:val="auto"/>
              </w:rPr>
            </w:pPr>
          </w:p>
        </w:tc>
      </w:tr>
      <w:tr>
        <w:trPr>
          <w:trHeight w:val="204"/>
        </w:trPr>
        <w:tc>
          <w:tcPr>
            <w:tcW w:w="586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140" w:type="dxa"/>
            <w:vAlign w:val="bottom"/>
          </w:tcPr>
          <w:p>
            <w:pPr>
              <w:jc w:val="right"/>
              <w:spacing w:after="0"/>
              <w:rPr>
                <w:sz w:val="20"/>
                <w:szCs w:val="20"/>
                <w:color w:val="auto"/>
              </w:rPr>
            </w:pPr>
            <w:r>
              <w:rPr>
                <w:rFonts w:ascii="Arial" w:cs="Arial" w:eastAsia="Arial" w:hAnsi="Arial"/>
                <w:sz w:val="17"/>
                <w:szCs w:val="17"/>
                <w:color w:val="auto"/>
              </w:rPr>
              <w:t>70,355</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60,166</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25,809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3,957</w:t>
            </w:r>
          </w:p>
        </w:tc>
        <w:tc>
          <w:tcPr>
            <w:tcW w:w="1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(2,171)</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(14,312)</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(11,692)</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(1,792)</w:t>
            </w: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Other income, net</w:t>
            </w:r>
          </w:p>
        </w:tc>
        <w:tc>
          <w:tcPr>
            <w:tcW w:w="1140" w:type="dxa"/>
            <w:vAlign w:val="bottom"/>
          </w:tcPr>
          <w:p>
            <w:pPr>
              <w:jc w:val="right"/>
              <w:spacing w:after="0"/>
              <w:rPr>
                <w:sz w:val="20"/>
                <w:szCs w:val="20"/>
                <w:color w:val="auto"/>
              </w:rPr>
            </w:pPr>
            <w:r>
              <w:rPr>
                <w:rFonts w:ascii="Arial" w:cs="Arial" w:eastAsia="Arial" w:hAnsi="Arial"/>
                <w:sz w:val="17"/>
                <w:szCs w:val="17"/>
                <w:color w:val="auto"/>
              </w:rPr>
              <w:t>32,090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21,280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203,210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31,143</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Impairment loss on long-term investments</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(882)</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(135)</w:t>
            </w:r>
          </w:p>
        </w:tc>
      </w:tr>
      <w:tr>
        <w:trPr>
          <w:trHeight w:val="204"/>
        </w:trPr>
        <w:tc>
          <w:tcPr>
            <w:tcW w:w="5860" w:type="dxa"/>
            <w:vAlign w:val="bottom"/>
            <w:gridSpan w:val="2"/>
          </w:tcPr>
          <w:p>
            <w:pPr>
              <w:spacing w:after="0"/>
              <w:rPr>
                <w:sz w:val="20"/>
                <w:szCs w:val="20"/>
                <w:color w:val="auto"/>
              </w:rPr>
            </w:pPr>
            <w:r>
              <w:rPr>
                <w:rFonts w:ascii="Arial" w:cs="Arial" w:eastAsia="Arial" w:hAnsi="Arial"/>
                <w:sz w:val="17"/>
                <w:szCs w:val="17"/>
                <w:color w:val="auto"/>
              </w:rPr>
              <w:t>Loss before income tax expenses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(928,660)</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(392,589)</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(432,573)</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(66,294)</w:t>
            </w:r>
          </w:p>
        </w:tc>
        <w:tc>
          <w:tcPr>
            <w:tcW w:w="1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(expenses)/benefit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(2,440)</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Gain/(loss) from equity method investments</w:t>
            </w:r>
          </w:p>
        </w:tc>
        <w:tc>
          <w:tcPr>
            <w:tcW w:w="1140" w:type="dxa"/>
            <w:vAlign w:val="bottom"/>
          </w:tcPr>
          <w:p>
            <w:pPr>
              <w:jc w:val="right"/>
              <w:spacing w:after="0"/>
              <w:rPr>
                <w:sz w:val="20"/>
                <w:szCs w:val="20"/>
                <w:color w:val="auto"/>
              </w:rPr>
            </w:pPr>
            <w:r>
              <w:rPr>
                <w:rFonts w:ascii="Arial" w:cs="Arial" w:eastAsia="Arial" w:hAnsi="Arial"/>
                <w:sz w:val="17"/>
                <w:szCs w:val="17"/>
                <w:color w:val="auto"/>
              </w:rPr>
              <w:t>1,710</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(136)</w:t>
            </w:r>
          </w:p>
        </w:tc>
        <w:tc>
          <w:tcPr>
            <w:tcW w:w="1160" w:type="dxa"/>
            <w:vAlign w:val="bottom"/>
          </w:tcPr>
          <w:p>
            <w:pPr>
              <w:jc w:val="right"/>
              <w:spacing w:after="0"/>
              <w:rPr>
                <w:sz w:val="20"/>
                <w:szCs w:val="20"/>
                <w:color w:val="auto"/>
              </w:rPr>
            </w:pPr>
            <w:r>
              <w:rPr>
                <w:rFonts w:ascii="Arial" w:cs="Arial" w:eastAsia="Arial" w:hAnsi="Arial"/>
                <w:sz w:val="17"/>
                <w:szCs w:val="17"/>
                <w:color w:val="auto"/>
              </w:rPr>
              <w:t>1,349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(926,950)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(395,165)</w:t>
            </w:r>
          </w:p>
        </w:tc>
        <w:tc>
          <w:tcPr>
            <w:tcW w:w="2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(430,988)</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(66,051)</w:t>
            </w:r>
          </w:p>
        </w:tc>
        <w:tc>
          <w:tcPr>
            <w:tcW w:w="120" w:type="dxa"/>
            <w:vAlign w:val="bottom"/>
            <w:tcBorders>
              <w:top w:val="single" w:sz="8" w:color="CFF0FC"/>
            </w:tcBorders>
            <w:shd w:val="clear" w:color="auto" w:fill="CFF0FC"/>
          </w:tcPr>
          <w:p>
            <w:pPr>
              <w:spacing w:after="0"/>
              <w:rPr>
                <w:sz w:val="17"/>
                <w:szCs w:val="17"/>
                <w:color w:val="auto"/>
              </w:rPr>
            </w:pPr>
          </w:p>
        </w:tc>
      </w:tr>
      <w:tr>
        <w:trPr>
          <w:trHeight w:val="204"/>
        </w:trPr>
        <w:tc>
          <w:tcPr>
            <w:tcW w:w="5860" w:type="dxa"/>
            <w:vAlign w:val="bottom"/>
            <w:gridSpan w:val="2"/>
          </w:tcPr>
          <w:p>
            <w:pPr>
              <w:spacing w:after="0"/>
              <w:rPr>
                <w:sz w:val="20"/>
                <w:szCs w:val="20"/>
                <w:color w:val="auto"/>
              </w:rPr>
            </w:pPr>
            <w:r>
              <w:rPr>
                <w:rFonts w:ascii="Arial" w:cs="Arial" w:eastAsia="Arial" w:hAnsi="Arial"/>
                <w:sz w:val="17"/>
                <w:szCs w:val="17"/>
                <w:color w:val="auto"/>
              </w:rPr>
              <w:t>Less: Net gain/(loss) attributable to noncontrolling interest</w:t>
            </w:r>
          </w:p>
        </w:tc>
        <w:tc>
          <w:tcPr>
            <w:tcW w:w="1140" w:type="dxa"/>
            <w:vAlign w:val="bottom"/>
          </w:tcPr>
          <w:p>
            <w:pPr>
              <w:jc w:val="right"/>
              <w:spacing w:after="0"/>
              <w:rPr>
                <w:sz w:val="20"/>
                <w:szCs w:val="20"/>
                <w:color w:val="auto"/>
              </w:rPr>
            </w:pPr>
            <w:r>
              <w:rPr>
                <w:rFonts w:ascii="Arial" w:cs="Arial" w:eastAsia="Arial" w:hAnsi="Arial"/>
                <w:sz w:val="17"/>
                <w:szCs w:val="17"/>
                <w:color w:val="auto"/>
              </w:rPr>
              <w:t>72</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(348)</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attributable to Sunlands Technology Group</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(927,022)</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(394,817)</w:t>
            </w:r>
          </w:p>
        </w:tc>
        <w:tc>
          <w:tcPr>
            <w:tcW w:w="2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(430,542)</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(65,983)</w:t>
            </w:r>
          </w:p>
        </w:tc>
        <w:tc>
          <w:tcPr>
            <w:tcW w:w="120" w:type="dxa"/>
            <w:vAlign w:val="bottom"/>
            <w:tcBorders>
              <w:top w:val="single" w:sz="8" w:color="CFF0FC"/>
            </w:tcBorders>
            <w:shd w:val="clear" w:color="auto" w:fill="CFF0FC"/>
          </w:tcPr>
          <w:p>
            <w:pPr>
              <w:spacing w:after="0"/>
              <w:rPr>
                <w:sz w:val="17"/>
                <w:szCs w:val="17"/>
                <w:color w:val="auto"/>
              </w:rPr>
            </w:pPr>
          </w:p>
        </w:tc>
      </w:tr>
      <w:tr>
        <w:trPr>
          <w:trHeight w:val="192"/>
        </w:trPr>
        <w:tc>
          <w:tcPr>
            <w:tcW w:w="5860" w:type="dxa"/>
            <w:vAlign w:val="bottom"/>
            <w:gridSpan w:val="2"/>
          </w:tcPr>
          <w:p>
            <w:pPr>
              <w:spacing w:after="0" w:line="192" w:lineRule="exact"/>
              <w:rPr>
                <w:sz w:val="20"/>
                <w:szCs w:val="20"/>
                <w:color w:val="auto"/>
              </w:rPr>
            </w:pPr>
            <w:r>
              <w:rPr>
                <w:rFonts w:ascii="Arial" w:cs="Arial" w:eastAsia="Arial" w:hAnsi="Arial"/>
                <w:sz w:val="17"/>
                <w:szCs w:val="17"/>
                <w:color w:val="auto"/>
              </w:rPr>
              <w:t>Net loss per share attributable to ordinary shareholders of</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rPr>
              <w:t>Sunlands Technology Group:</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Basic and diluted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(147.27)</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(57.81)</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(63.74)</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(9.77)</w:t>
            </w:r>
          </w:p>
        </w:tc>
      </w:tr>
      <w:tr>
        <w:trPr>
          <w:trHeight w:val="199"/>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Weighted average shares used in calculating net loss per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rPr>
              <w:t>ordinary share(1):</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Basic and diluted</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6,294,870</w:t>
            </w:r>
          </w:p>
        </w:tc>
        <w:tc>
          <w:tcPr>
            <w:tcW w:w="24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6,830,058</w:t>
            </w:r>
          </w:p>
        </w:tc>
        <w:tc>
          <w:tcPr>
            <w:tcW w:w="22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6,754,134</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6,754,134</w:t>
            </w:r>
          </w:p>
        </w:tc>
        <w:tc>
          <w:tcPr>
            <w:tcW w:w="120" w:type="dxa"/>
            <w:vAlign w:val="bottom"/>
            <w:shd w:val="clear" w:color="auto" w:fill="CFF0FC"/>
          </w:tcPr>
          <w:p>
            <w:pPr>
              <w:spacing w:after="0"/>
              <w:rPr>
                <w:sz w:val="18"/>
                <w:szCs w:val="18"/>
                <w:color w:val="auto"/>
              </w:rPr>
            </w:pPr>
          </w:p>
        </w:tc>
      </w:tr>
    </w:tbl>
    <w:p>
      <w:pPr>
        <w:spacing w:after="0" w:line="208" w:lineRule="exact"/>
        <w:rPr>
          <w:sz w:val="20"/>
          <w:szCs w:val="20"/>
          <w:color w:val="auto"/>
        </w:rPr>
      </w:pPr>
    </w:p>
    <w:p>
      <w:pPr>
        <w:ind w:left="820" w:hanging="800"/>
        <w:spacing w:after="0"/>
        <w:tabs>
          <w:tab w:leader="none" w:pos="8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25 American depositary shares ("ADSs") represents one of the Company's Class A ordinary shares.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351"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7"/>
          <w:szCs w:val="17"/>
          <w:color w:val="181717"/>
        </w:rPr>
        <w:t>CONSOLIDATED STATEMENTS OF COMPREHENSIVE LOSS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5"/>
                <w:szCs w:val="15"/>
                <w:color w:val="auto"/>
              </w:rPr>
              <w:t>Years ended December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1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rPr>
              <w:t>2018</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2019</w:t>
            </w:r>
          </w:p>
        </w:tc>
        <w:tc>
          <w:tcPr>
            <w:tcW w:w="220" w:type="dxa"/>
            <w:vAlign w:val="bottom"/>
          </w:tcPr>
          <w:p>
            <w:pPr>
              <w:spacing w:after="0"/>
              <w:rPr>
                <w:sz w:val="16"/>
                <w:szCs w:val="16"/>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color w:val="auto"/>
              </w:rPr>
              <w:t>2020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5"/>
                <w:szCs w:val="15"/>
                <w:color w:val="auto"/>
              </w:rPr>
              <w:t>RMB</w:t>
            </w:r>
          </w:p>
        </w:tc>
        <w:tc>
          <w:tcPr>
            <w:tcW w:w="1360" w:type="dxa"/>
            <w:vAlign w:val="bottom"/>
            <w:gridSpan w:val="2"/>
          </w:tcPr>
          <w:p>
            <w:pPr>
              <w:jc w:val="right"/>
              <w:ind w:right="640"/>
              <w:spacing w:after="0"/>
              <w:rPr>
                <w:sz w:val="20"/>
                <w:szCs w:val="20"/>
                <w:color w:val="auto"/>
              </w:rPr>
            </w:pPr>
            <w:r>
              <w:rPr>
                <w:rFonts w:ascii="Arial" w:cs="Arial" w:eastAsia="Arial" w:hAnsi="Arial"/>
                <w:sz w:val="15"/>
                <w:szCs w:val="15"/>
                <w:color w:val="auto"/>
              </w:rPr>
              <w:t>RMB</w:t>
            </w:r>
          </w:p>
        </w:tc>
        <w:tc>
          <w:tcPr>
            <w:tcW w:w="1560" w:type="dxa"/>
            <w:vAlign w:val="bottom"/>
            <w:gridSpan w:val="3"/>
          </w:tcPr>
          <w:p>
            <w:pPr>
              <w:jc w:val="right"/>
              <w:ind w:right="820"/>
              <w:spacing w:after="0"/>
              <w:rPr>
                <w:sz w:val="20"/>
                <w:szCs w:val="20"/>
                <w:color w:val="auto"/>
              </w:rPr>
            </w:pPr>
            <w:r>
              <w:rPr>
                <w:rFonts w:ascii="Arial" w:cs="Arial" w:eastAsia="Arial" w:hAnsi="Arial"/>
                <w:sz w:val="15"/>
                <w:szCs w:val="15"/>
                <w:color w:val="auto"/>
              </w:rPr>
              <w:t>RMB</w:t>
            </w:r>
          </w:p>
        </w:tc>
        <w:tc>
          <w:tcPr>
            <w:tcW w:w="1100" w:type="dxa"/>
            <w:vAlign w:val="bottom"/>
            <w:gridSpan w:val="2"/>
          </w:tcPr>
          <w:p>
            <w:pPr>
              <w:jc w:val="right"/>
              <w:ind w:right="580"/>
              <w:spacing w:after="0"/>
              <w:rPr>
                <w:sz w:val="20"/>
                <w:szCs w:val="20"/>
                <w:color w:val="auto"/>
              </w:rPr>
            </w:pPr>
            <w:r>
              <w:rPr>
                <w:rFonts w:ascii="Arial" w:cs="Arial" w:eastAsia="Arial" w:hAnsi="Arial"/>
                <w:sz w:val="15"/>
                <w:szCs w:val="15"/>
                <w:color w:val="auto"/>
              </w:rPr>
              <w:t>US$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5"/>
                <w:szCs w:val="15"/>
                <w:color w:val="auto"/>
              </w:rPr>
              <w:t>(Note 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(926,950)</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(395,165)</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(430,988)</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(66,051)</w:t>
            </w:r>
          </w:p>
        </w:tc>
        <w:tc>
          <w:tcPr>
            <w:tcW w:w="0" w:type="dxa"/>
            <w:vAlign w:val="bottom"/>
          </w:tcPr>
          <w:p>
            <w:pPr>
              <w:spacing w:after="0"/>
              <w:rPr>
                <w:sz w:val="1"/>
                <w:szCs w:val="1"/>
                <w:color w:val="auto"/>
              </w:rPr>
            </w:pPr>
          </w:p>
        </w:tc>
      </w:tr>
      <w:tr>
        <w:trPr>
          <w:trHeight w:val="196"/>
        </w:trPr>
        <w:tc>
          <w:tcPr>
            <w:tcW w:w="5860" w:type="dxa"/>
            <w:vAlign w:val="bottom"/>
            <w:gridSpan w:val="2"/>
          </w:tcPr>
          <w:p>
            <w:pPr>
              <w:spacing w:after="0"/>
              <w:rPr>
                <w:sz w:val="20"/>
                <w:szCs w:val="20"/>
                <w:color w:val="auto"/>
              </w:rPr>
            </w:pPr>
            <w:r>
              <w:rPr>
                <w:rFonts w:ascii="Arial" w:cs="Arial" w:eastAsia="Arial" w:hAnsi="Arial"/>
                <w:sz w:val="15"/>
                <w:szCs w:val="15"/>
                <w:color w:val="auto"/>
              </w:rPr>
              <w:t>Other comprehensive income/(loss), net of tax effect of nil:</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5"/>
                <w:szCs w:val="15"/>
                <w:color w:val="auto"/>
              </w:rPr>
              <w:t>Change in cumulative foreign currency translation adjustments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127,586</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23,608</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(45,945)</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(7,041)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color w:val="auto"/>
              </w:rPr>
              <w:t>Total comprehensive loss</w:t>
            </w: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60" w:type="dxa"/>
            <w:vAlign w:val="bottom"/>
            <w:gridSpan w:val="2"/>
            <w:vMerge w:val="continue"/>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(799,364)</w:t>
            </w: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(371,557)</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(476,933)</w:t>
            </w:r>
          </w:p>
        </w:tc>
        <w:tc>
          <w:tcPr>
            <w:tcW w:w="18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(73,092)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5"/>
                <w:szCs w:val="15"/>
                <w:color w:val="auto"/>
              </w:rPr>
              <w:t>Less: comprehensive income/(loss) attributable to noncontrolling</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interest</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w:t>
            </w: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(348)</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(446)</w:t>
            </w:r>
          </w:p>
        </w:tc>
        <w:tc>
          <w:tcPr>
            <w:tcW w:w="1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96"/>
        </w:trPr>
        <w:tc>
          <w:tcPr>
            <w:tcW w:w="5860" w:type="dxa"/>
            <w:vAlign w:val="bottom"/>
            <w:gridSpan w:val="2"/>
          </w:tcPr>
          <w:p>
            <w:pPr>
              <w:spacing w:after="0"/>
              <w:rPr>
                <w:sz w:val="20"/>
                <w:szCs w:val="20"/>
                <w:color w:val="auto"/>
              </w:rPr>
            </w:pPr>
            <w:r>
              <w:rPr>
                <w:rFonts w:ascii="Arial" w:cs="Arial" w:eastAsia="Arial" w:hAnsi="Arial"/>
                <w:sz w:val="15"/>
                <w:szCs w:val="15"/>
                <w:color w:val="auto"/>
              </w:rPr>
              <w:t>Comprehensive loss attributable to Sunlands Technology Group</w:t>
            </w: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(799,436)</w:t>
            </w: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(371,209)</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(476,487)</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(73,024)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351" w:right="339" w:bottom="1440" w:gutter="0" w:footer="0" w:header="0"/>
        </w:sectPr>
      </w:pPr>
    </w:p>
    <w:bookmarkStart w:id="119" w:name="page120"/>
    <w:bookmarkEnd w:id="119"/>
    <w:p>
      <w:pPr>
        <w:jc w:val="center"/>
        <w:ind w:right="80"/>
        <w:spacing w:after="0"/>
        <w:rPr>
          <w:sz w:val="20"/>
          <w:szCs w:val="20"/>
          <w:color w:val="auto"/>
        </w:rPr>
      </w:pPr>
      <w:r>
        <w:rPr>
          <w:rFonts w:ascii="Arial" w:cs="Arial" w:eastAsia="Arial" w:hAnsi="Arial"/>
          <w:sz w:val="17"/>
          <w:szCs w:val="17"/>
          <w:color w:val="181717"/>
        </w:rPr>
        <w:t>CONSOLIDATED STATEMENTS OF CHANGES IN SHAREHOLDERS’ DEFICIT</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181717"/>
        </w:rPr>
        <w:t>(Amounts in thousands, except for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Accumulated</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Total Sunlands</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5"/>
          </w:tcPr>
          <w:p>
            <w:pPr>
              <w:jc w:val="center"/>
              <w:ind w:right="60"/>
              <w:spacing w:after="0" w:line="137" w:lineRule="exact"/>
              <w:rPr>
                <w:sz w:val="20"/>
                <w:szCs w:val="20"/>
                <w:color w:val="auto"/>
              </w:rPr>
            </w:pPr>
            <w:r>
              <w:rPr>
                <w:rFonts w:ascii="Arial" w:cs="Arial" w:eastAsia="Arial" w:hAnsi="Arial"/>
                <w:sz w:val="13"/>
                <w:szCs w:val="13"/>
                <w:color w:val="auto"/>
                <w:w w:val="93"/>
              </w:rPr>
              <w:t>Class A</w:t>
            </w:r>
          </w:p>
        </w:tc>
        <w:tc>
          <w:tcPr>
            <w:tcW w:w="1020" w:type="dxa"/>
            <w:vAlign w:val="bottom"/>
            <w:gridSpan w:val="4"/>
          </w:tcPr>
          <w:p>
            <w:pPr>
              <w:jc w:val="center"/>
              <w:ind w:right="60"/>
              <w:spacing w:after="0" w:line="137" w:lineRule="exact"/>
              <w:rPr>
                <w:sz w:val="20"/>
                <w:szCs w:val="20"/>
                <w:color w:val="auto"/>
              </w:rPr>
            </w:pPr>
            <w:r>
              <w:rPr>
                <w:rFonts w:ascii="Arial" w:cs="Arial" w:eastAsia="Arial" w:hAnsi="Arial"/>
                <w:sz w:val="13"/>
                <w:szCs w:val="13"/>
                <w:color w:val="auto"/>
                <w:w w:val="89"/>
              </w:rPr>
              <w:t>Class B</w:t>
            </w:r>
          </w:p>
        </w:tc>
        <w:tc>
          <w:tcPr>
            <w:tcW w:w="1120" w:type="dxa"/>
            <w:vAlign w:val="bottom"/>
            <w:gridSpan w:val="4"/>
          </w:tcPr>
          <w:p>
            <w:pPr>
              <w:jc w:val="right"/>
              <w:ind w:right="294"/>
              <w:spacing w:after="0" w:line="137" w:lineRule="exact"/>
              <w:rPr>
                <w:sz w:val="20"/>
                <w:szCs w:val="20"/>
                <w:color w:val="auto"/>
              </w:rPr>
            </w:pPr>
            <w:r>
              <w:rPr>
                <w:rFonts w:ascii="Arial" w:cs="Arial" w:eastAsia="Arial" w:hAnsi="Arial"/>
                <w:sz w:val="13"/>
                <w:szCs w:val="13"/>
                <w:color w:val="auto"/>
              </w:rPr>
              <w:t>Class C</w:t>
            </w:r>
          </w:p>
        </w:tc>
        <w:tc>
          <w:tcPr>
            <w:tcW w:w="660" w:type="dxa"/>
            <w:vAlign w:val="bottom"/>
            <w:gridSpan w:val="3"/>
          </w:tcPr>
          <w:p>
            <w:pPr>
              <w:jc w:val="center"/>
              <w:ind w:right="40"/>
              <w:spacing w:after="0" w:line="137" w:lineRule="exact"/>
              <w:rPr>
                <w:sz w:val="20"/>
                <w:szCs w:val="20"/>
                <w:color w:val="auto"/>
              </w:rPr>
            </w:pPr>
            <w:r>
              <w:rPr>
                <w:rFonts w:ascii="Arial" w:cs="Arial" w:eastAsia="Arial" w:hAnsi="Arial"/>
                <w:sz w:val="13"/>
                <w:szCs w:val="13"/>
                <w:color w:val="auto"/>
              </w:rPr>
              <w:t>Additional</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80"/>
              <w:spacing w:after="0" w:line="137" w:lineRule="exact"/>
              <w:rPr>
                <w:sz w:val="20"/>
                <w:szCs w:val="20"/>
                <w:color w:val="auto"/>
              </w:rPr>
            </w:pPr>
            <w:r>
              <w:rPr>
                <w:rFonts w:ascii="Arial" w:cs="Arial" w:eastAsia="Arial" w:hAnsi="Arial"/>
                <w:sz w:val="13"/>
                <w:szCs w:val="13"/>
                <w:color w:val="auto"/>
                <w:w w:val="87"/>
              </w:rPr>
              <w:t>other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jc w:val="center"/>
              <w:ind w:right="80"/>
              <w:spacing w:after="0" w:line="137" w:lineRule="exact"/>
              <w:rPr>
                <w:sz w:val="20"/>
                <w:szCs w:val="20"/>
                <w:color w:val="auto"/>
              </w:rPr>
            </w:pPr>
            <w:r>
              <w:rPr>
                <w:rFonts w:ascii="Arial" w:cs="Arial" w:eastAsia="Arial" w:hAnsi="Arial"/>
                <w:sz w:val="13"/>
                <w:szCs w:val="13"/>
                <w:color w:val="auto"/>
                <w:w w:val="92"/>
              </w:rPr>
              <w:t>Technology</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80"/>
              <w:spacing w:after="0" w:line="137" w:lineRule="exact"/>
              <w:rPr>
                <w:sz w:val="20"/>
                <w:szCs w:val="20"/>
                <w:color w:val="auto"/>
              </w:rPr>
            </w:pPr>
            <w:r>
              <w:rPr>
                <w:rFonts w:ascii="Arial" w:cs="Arial" w:eastAsia="Arial" w:hAnsi="Arial"/>
                <w:sz w:val="13"/>
                <w:szCs w:val="13"/>
                <w:color w:val="auto"/>
                <w:w w:val="96"/>
              </w:rPr>
              <w:t>Total</w:t>
            </w: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gridSpan w:val="5"/>
          </w:tcPr>
          <w:p>
            <w:pPr>
              <w:ind w:left="140"/>
              <w:spacing w:after="0"/>
              <w:rPr>
                <w:sz w:val="20"/>
                <w:szCs w:val="20"/>
                <w:color w:val="auto"/>
              </w:rPr>
            </w:pPr>
            <w:r>
              <w:rPr>
                <w:rFonts w:ascii="Arial" w:cs="Arial" w:eastAsia="Arial" w:hAnsi="Arial"/>
                <w:sz w:val="13"/>
                <w:szCs w:val="13"/>
                <w:color w:val="auto"/>
              </w:rPr>
              <w:t>Ordinary shares</w:t>
            </w:r>
          </w:p>
        </w:tc>
        <w:tc>
          <w:tcPr>
            <w:tcW w:w="1160" w:type="dxa"/>
            <w:vAlign w:val="bottom"/>
            <w:gridSpan w:val="5"/>
          </w:tcPr>
          <w:p>
            <w:pPr>
              <w:jc w:val="center"/>
              <w:ind w:right="60"/>
              <w:spacing w:after="0"/>
              <w:rPr>
                <w:sz w:val="20"/>
                <w:szCs w:val="20"/>
                <w:color w:val="auto"/>
              </w:rPr>
            </w:pPr>
            <w:r>
              <w:rPr>
                <w:rFonts w:ascii="Arial" w:cs="Arial" w:eastAsia="Arial" w:hAnsi="Arial"/>
                <w:sz w:val="13"/>
                <w:szCs w:val="13"/>
                <w:color w:val="auto"/>
                <w:w w:val="92"/>
              </w:rPr>
              <w:t>Ordinary shares</w:t>
            </w:r>
          </w:p>
        </w:tc>
        <w:tc>
          <w:tcPr>
            <w:tcW w:w="1020" w:type="dxa"/>
            <w:vAlign w:val="bottom"/>
            <w:gridSpan w:val="4"/>
          </w:tcPr>
          <w:p>
            <w:pPr>
              <w:jc w:val="center"/>
              <w:ind w:right="60"/>
              <w:spacing w:after="0"/>
              <w:rPr>
                <w:sz w:val="20"/>
                <w:szCs w:val="20"/>
                <w:color w:val="auto"/>
              </w:rPr>
            </w:pPr>
            <w:r>
              <w:rPr>
                <w:rFonts w:ascii="Arial" w:cs="Arial" w:eastAsia="Arial" w:hAnsi="Arial"/>
                <w:sz w:val="13"/>
                <w:szCs w:val="13"/>
                <w:color w:val="auto"/>
                <w:w w:val="90"/>
              </w:rPr>
              <w:t>Ordinary shares</w:t>
            </w:r>
          </w:p>
        </w:tc>
        <w:tc>
          <w:tcPr>
            <w:tcW w:w="1120" w:type="dxa"/>
            <w:vAlign w:val="bottom"/>
            <w:gridSpan w:val="4"/>
          </w:tcPr>
          <w:p>
            <w:pPr>
              <w:jc w:val="right"/>
              <w:ind w:right="74"/>
              <w:spacing w:after="0"/>
              <w:rPr>
                <w:sz w:val="20"/>
                <w:szCs w:val="20"/>
                <w:color w:val="auto"/>
              </w:rPr>
            </w:pPr>
            <w:r>
              <w:rPr>
                <w:rFonts w:ascii="Arial" w:cs="Arial" w:eastAsia="Arial" w:hAnsi="Arial"/>
                <w:sz w:val="13"/>
                <w:szCs w:val="13"/>
                <w:color w:val="auto"/>
              </w:rPr>
              <w:t>Ordinary shares</w:t>
            </w:r>
          </w:p>
        </w:tc>
        <w:tc>
          <w:tcPr>
            <w:tcW w:w="40" w:type="dxa"/>
            <w:vAlign w:val="bottom"/>
          </w:tcPr>
          <w:p>
            <w:pPr>
              <w:spacing w:after="0"/>
              <w:rPr>
                <w:sz w:val="12"/>
                <w:szCs w:val="12"/>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paid-in</w:t>
            </w:r>
          </w:p>
        </w:tc>
        <w:tc>
          <w:tcPr>
            <w:tcW w:w="1000" w:type="dxa"/>
            <w:vAlign w:val="bottom"/>
            <w:gridSpan w:val="4"/>
          </w:tcPr>
          <w:p>
            <w:pPr>
              <w:jc w:val="right"/>
              <w:ind w:right="54"/>
              <w:spacing w:after="0"/>
              <w:rPr>
                <w:sz w:val="20"/>
                <w:szCs w:val="20"/>
                <w:color w:val="auto"/>
              </w:rPr>
            </w:pPr>
            <w:r>
              <w:rPr>
                <w:rFonts w:ascii="Arial" w:cs="Arial" w:eastAsia="Arial" w:hAnsi="Arial"/>
                <w:sz w:val="13"/>
                <w:szCs w:val="13"/>
                <w:color w:val="auto"/>
              </w:rPr>
              <w:t>Treasury stock</w:t>
            </w:r>
          </w:p>
        </w:tc>
        <w:tc>
          <w:tcPr>
            <w:tcW w:w="4420" w:type="dxa"/>
            <w:vAlign w:val="bottom"/>
            <w:gridSpan w:val="11"/>
          </w:tcPr>
          <w:p>
            <w:pPr>
              <w:jc w:val="center"/>
              <w:ind w:right="20"/>
              <w:spacing w:after="0"/>
              <w:rPr>
                <w:sz w:val="20"/>
                <w:szCs w:val="20"/>
                <w:color w:val="auto"/>
              </w:rPr>
            </w:pPr>
            <w:r>
              <w:rPr>
                <w:rFonts w:ascii="Arial" w:cs="Arial" w:eastAsia="Arial" w:hAnsi="Arial"/>
                <w:sz w:val="13"/>
                <w:szCs w:val="13"/>
                <w:color w:val="auto"/>
                <w:w w:val="94"/>
              </w:rPr>
              <w:t>comprehensive Accumulated Group shareholders’ Noncontrolling shareholders’</w:t>
            </w:r>
          </w:p>
        </w:tc>
      </w:tr>
      <w:tr>
        <w:trPr>
          <w:trHeight w:val="153"/>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Shares</w:t>
            </w:r>
          </w:p>
        </w:tc>
        <w:tc>
          <w:tcPr>
            <w:tcW w:w="540" w:type="dxa"/>
            <w:vAlign w:val="bottom"/>
            <w:gridSpan w:val="3"/>
          </w:tcPr>
          <w:p>
            <w:pPr>
              <w:spacing w:after="0"/>
              <w:rPr>
                <w:sz w:val="20"/>
                <w:szCs w:val="20"/>
                <w:color w:val="auto"/>
              </w:rPr>
            </w:pPr>
            <w:r>
              <w:rPr>
                <w:rFonts w:ascii="Arial" w:cs="Arial" w:eastAsia="Arial" w:hAnsi="Arial"/>
                <w:sz w:val="13"/>
                <w:szCs w:val="13"/>
                <w:color w:val="auto"/>
              </w:rPr>
              <w:t>Amounts</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Shares</w:t>
            </w:r>
          </w:p>
        </w:tc>
        <w:tc>
          <w:tcPr>
            <w:tcW w:w="540" w:type="dxa"/>
            <w:vAlign w:val="bottom"/>
            <w:gridSpan w:val="3"/>
          </w:tcPr>
          <w:p>
            <w:pPr>
              <w:spacing w:after="0"/>
              <w:rPr>
                <w:sz w:val="20"/>
                <w:szCs w:val="20"/>
                <w:color w:val="auto"/>
              </w:rPr>
            </w:pPr>
            <w:r>
              <w:rPr>
                <w:rFonts w:ascii="Arial" w:cs="Arial" w:eastAsia="Arial" w:hAnsi="Arial"/>
                <w:sz w:val="13"/>
                <w:szCs w:val="13"/>
                <w:color w:val="auto"/>
              </w:rPr>
              <w:t>Amounts</w:t>
            </w:r>
          </w:p>
        </w:tc>
        <w:tc>
          <w:tcPr>
            <w:tcW w:w="460" w:type="dxa"/>
            <w:vAlign w:val="bottom"/>
          </w:tcPr>
          <w:p>
            <w:pPr>
              <w:jc w:val="right"/>
              <w:spacing w:after="0"/>
              <w:rPr>
                <w:sz w:val="20"/>
                <w:szCs w:val="20"/>
                <w:color w:val="auto"/>
              </w:rPr>
            </w:pPr>
            <w:r>
              <w:rPr>
                <w:rFonts w:ascii="Arial" w:cs="Arial" w:eastAsia="Arial" w:hAnsi="Arial"/>
                <w:sz w:val="13"/>
                <w:szCs w:val="13"/>
                <w:color w:val="auto"/>
                <w:w w:val="92"/>
              </w:rPr>
              <w:t>Shares</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w w:val="97"/>
              </w:rPr>
              <w:t>Amounts</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Shares</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w w:val="89"/>
              </w:rPr>
              <w:t>Amounts</w:t>
            </w:r>
          </w:p>
        </w:tc>
        <w:tc>
          <w:tcPr>
            <w:tcW w:w="4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capital</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Shares</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w w:val="93"/>
              </w:rPr>
              <w:t>Amounts</w:t>
            </w:r>
          </w:p>
        </w:tc>
        <w:tc>
          <w:tcPr>
            <w:tcW w:w="4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(loss)/income</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deficit</w:t>
            </w:r>
          </w:p>
        </w:tc>
        <w:tc>
          <w:tcPr>
            <w:tcW w:w="1140" w:type="dxa"/>
            <w:vAlign w:val="bottom"/>
            <w:gridSpan w:val="2"/>
          </w:tcPr>
          <w:p>
            <w:pPr>
              <w:jc w:val="center"/>
              <w:ind w:right="80"/>
              <w:spacing w:after="0"/>
              <w:rPr>
                <w:sz w:val="20"/>
                <w:szCs w:val="20"/>
                <w:color w:val="auto"/>
              </w:rPr>
            </w:pPr>
            <w:r>
              <w:rPr>
                <w:rFonts w:ascii="Arial" w:cs="Arial" w:eastAsia="Arial" w:hAnsi="Arial"/>
                <w:sz w:val="13"/>
                <w:szCs w:val="13"/>
                <w:color w:val="auto"/>
                <w:w w:val="99"/>
              </w:rPr>
              <w:t>deficit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interest</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color w:val="auto"/>
                <w:w w:val="99"/>
              </w:rPr>
              <w:t>deficit</w:t>
            </w:r>
          </w:p>
        </w:tc>
      </w:tr>
      <w:tr>
        <w:trPr>
          <w:trHeight w:val="142"/>
        </w:trPr>
        <w:tc>
          <w:tcPr>
            <w:tcW w:w="20" w:type="dxa"/>
            <w:vAlign w:val="bottom"/>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80" w:type="dxa"/>
            <w:vAlign w:val="bottom"/>
            <w:tcBorders>
              <w:top w:val="single" w:sz="8" w:color="auto"/>
              <w:bottom w:val="single" w:sz="8" w:color="CFF0FC"/>
            </w:tcBorders>
          </w:tcPr>
          <w:p>
            <w:pPr>
              <w:jc w:val="right"/>
              <w:ind w:right="34"/>
              <w:spacing w:after="0" w:line="142" w:lineRule="exact"/>
              <w:rPr>
                <w:sz w:val="20"/>
                <w:szCs w:val="20"/>
                <w:color w:val="auto"/>
              </w:rPr>
            </w:pPr>
            <w:r>
              <w:rPr>
                <w:rFonts w:ascii="Arial" w:cs="Arial" w:eastAsia="Arial" w:hAnsi="Arial"/>
                <w:sz w:val="13"/>
                <w:szCs w:val="13"/>
                <w:color w:val="auto"/>
              </w:rPr>
              <w:t>RMB</w:t>
            </w:r>
          </w:p>
        </w:tc>
        <w:tc>
          <w:tcPr>
            <w:tcW w:w="40" w:type="dxa"/>
            <w:vAlign w:val="bottom"/>
            <w:tcBorders>
              <w:bottom w:val="single" w:sz="8" w:color="CFF0FC"/>
            </w:tcBorders>
          </w:tcPr>
          <w:p>
            <w:pPr>
              <w:spacing w:after="0"/>
              <w:rPr>
                <w:sz w:val="12"/>
                <w:szCs w:val="12"/>
                <w:color w:val="auto"/>
              </w:rPr>
            </w:pPr>
          </w:p>
        </w:tc>
        <w:tc>
          <w:tcPr>
            <w:tcW w:w="580" w:type="dxa"/>
            <w:vAlign w:val="bottom"/>
            <w:tcBorders>
              <w:top w:val="single" w:sz="8" w:color="auto"/>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80" w:type="dxa"/>
            <w:vAlign w:val="bottom"/>
            <w:tcBorders>
              <w:top w:val="single" w:sz="8" w:color="auto"/>
              <w:bottom w:val="single" w:sz="8" w:color="CFF0FC"/>
            </w:tcBorders>
          </w:tcPr>
          <w:p>
            <w:pPr>
              <w:jc w:val="right"/>
              <w:ind w:right="54"/>
              <w:spacing w:after="0" w:line="142" w:lineRule="exact"/>
              <w:rPr>
                <w:sz w:val="20"/>
                <w:szCs w:val="20"/>
                <w:color w:val="auto"/>
              </w:rPr>
            </w:pPr>
            <w:r>
              <w:rPr>
                <w:rFonts w:ascii="Arial" w:cs="Arial" w:eastAsia="Arial" w:hAnsi="Arial"/>
                <w:sz w:val="13"/>
                <w:szCs w:val="13"/>
                <w:color w:val="auto"/>
              </w:rPr>
              <w:t>RMB</w:t>
            </w:r>
          </w:p>
        </w:tc>
        <w:tc>
          <w:tcPr>
            <w:tcW w:w="40" w:type="dxa"/>
            <w:vAlign w:val="bottom"/>
            <w:tcBorders>
              <w:bottom w:val="single" w:sz="8" w:color="CFF0FC"/>
            </w:tcBorders>
          </w:tcPr>
          <w:p>
            <w:pPr>
              <w:spacing w:after="0"/>
              <w:rPr>
                <w:sz w:val="12"/>
                <w:szCs w:val="12"/>
                <w:color w:val="auto"/>
              </w:rPr>
            </w:pPr>
          </w:p>
        </w:tc>
        <w:tc>
          <w:tcPr>
            <w:tcW w:w="460" w:type="dxa"/>
            <w:vAlign w:val="bottom"/>
            <w:tcBorders>
              <w:top w:val="single" w:sz="8" w:color="auto"/>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500" w:type="dxa"/>
            <w:vAlign w:val="bottom"/>
            <w:tcBorders>
              <w:top w:val="single" w:sz="8" w:color="auto"/>
              <w:bottom w:val="single" w:sz="8" w:color="CFF0FC"/>
            </w:tcBorders>
          </w:tcPr>
          <w:p>
            <w:pPr>
              <w:jc w:val="right"/>
              <w:ind w:right="54"/>
              <w:spacing w:after="0" w:line="142" w:lineRule="exact"/>
              <w:rPr>
                <w:sz w:val="20"/>
                <w:szCs w:val="20"/>
                <w:color w:val="auto"/>
              </w:rPr>
            </w:pPr>
            <w:r>
              <w:rPr>
                <w:rFonts w:ascii="Arial" w:cs="Arial" w:eastAsia="Arial" w:hAnsi="Arial"/>
                <w:sz w:val="13"/>
                <w:szCs w:val="13"/>
                <w:color w:val="auto"/>
              </w:rPr>
              <w:t>RMB</w:t>
            </w:r>
          </w:p>
        </w:tc>
        <w:tc>
          <w:tcPr>
            <w:tcW w:w="20" w:type="dxa"/>
            <w:vAlign w:val="bottom"/>
            <w:tcBorders>
              <w:bottom w:val="single" w:sz="8" w:color="CFF0FC"/>
            </w:tcBorders>
          </w:tcPr>
          <w:p>
            <w:pPr>
              <w:spacing w:after="0"/>
              <w:rPr>
                <w:sz w:val="12"/>
                <w:szCs w:val="12"/>
                <w:color w:val="auto"/>
              </w:rPr>
            </w:pPr>
          </w:p>
        </w:tc>
        <w:tc>
          <w:tcPr>
            <w:tcW w:w="580" w:type="dxa"/>
            <w:vAlign w:val="bottom"/>
            <w:tcBorders>
              <w:top w:val="single" w:sz="8" w:color="auto"/>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80" w:type="dxa"/>
            <w:vAlign w:val="bottom"/>
            <w:tcBorders>
              <w:top w:val="single" w:sz="8" w:color="auto"/>
              <w:bottom w:val="single" w:sz="8" w:color="CFF0FC"/>
            </w:tcBorders>
          </w:tcPr>
          <w:p>
            <w:pPr>
              <w:jc w:val="right"/>
              <w:ind w:right="54"/>
              <w:spacing w:after="0" w:line="142" w:lineRule="exact"/>
              <w:rPr>
                <w:sz w:val="20"/>
                <w:szCs w:val="20"/>
                <w:color w:val="auto"/>
              </w:rPr>
            </w:pPr>
            <w:r>
              <w:rPr>
                <w:rFonts w:ascii="Arial" w:cs="Arial" w:eastAsia="Arial" w:hAnsi="Arial"/>
                <w:sz w:val="13"/>
                <w:szCs w:val="13"/>
                <w:color w:val="auto"/>
              </w:rPr>
              <w:t>RMB</w:t>
            </w:r>
          </w:p>
        </w:tc>
        <w:tc>
          <w:tcPr>
            <w:tcW w:w="40" w:type="dxa"/>
            <w:vAlign w:val="bottom"/>
            <w:tcBorders>
              <w:bottom w:val="single" w:sz="8" w:color="CFF0FC"/>
            </w:tcBorders>
          </w:tcPr>
          <w:p>
            <w:pPr>
              <w:spacing w:after="0"/>
              <w:rPr>
                <w:sz w:val="12"/>
                <w:szCs w:val="12"/>
                <w:color w:val="auto"/>
              </w:rPr>
            </w:pPr>
          </w:p>
        </w:tc>
        <w:tc>
          <w:tcPr>
            <w:tcW w:w="560" w:type="dxa"/>
            <w:vAlign w:val="bottom"/>
            <w:tcBorders>
              <w:top w:val="single" w:sz="8" w:color="auto"/>
              <w:bottom w:val="single" w:sz="8" w:color="CFF0FC"/>
            </w:tcBorders>
          </w:tcPr>
          <w:p>
            <w:pPr>
              <w:jc w:val="center"/>
              <w:spacing w:after="0" w:line="142" w:lineRule="exact"/>
              <w:rPr>
                <w:sz w:val="20"/>
                <w:szCs w:val="20"/>
                <w:color w:val="auto"/>
              </w:rPr>
            </w:pPr>
            <w:r>
              <w:rPr>
                <w:rFonts w:ascii="Arial" w:cs="Arial" w:eastAsia="Arial" w:hAnsi="Arial"/>
                <w:sz w:val="13"/>
                <w:szCs w:val="13"/>
                <w:color w:val="auto"/>
              </w:rPr>
              <w:t>RMB</w:t>
            </w:r>
          </w:p>
        </w:tc>
        <w:tc>
          <w:tcPr>
            <w:tcW w:w="60" w:type="dxa"/>
            <w:vAlign w:val="bottom"/>
            <w:tcBorders>
              <w:bottom w:val="single" w:sz="8" w:color="CFF0FC"/>
            </w:tcBorders>
          </w:tcPr>
          <w:p>
            <w:pPr>
              <w:spacing w:after="0"/>
              <w:rPr>
                <w:sz w:val="12"/>
                <w:szCs w:val="12"/>
                <w:color w:val="auto"/>
              </w:rPr>
            </w:pPr>
          </w:p>
        </w:tc>
        <w:tc>
          <w:tcPr>
            <w:tcW w:w="480" w:type="dxa"/>
            <w:vAlign w:val="bottom"/>
            <w:tcBorders>
              <w:top w:val="single" w:sz="8" w:color="auto"/>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3"/>
                <w:szCs w:val="13"/>
                <w:color w:val="auto"/>
              </w:rPr>
              <w:t>RMB</w:t>
            </w:r>
          </w:p>
        </w:tc>
        <w:tc>
          <w:tcPr>
            <w:tcW w:w="40" w:type="dxa"/>
            <w:vAlign w:val="bottom"/>
            <w:tcBorders>
              <w:bottom w:val="single" w:sz="8" w:color="CFF0FC"/>
            </w:tcBorders>
          </w:tcPr>
          <w:p>
            <w:pPr>
              <w:spacing w:after="0"/>
              <w:rPr>
                <w:sz w:val="12"/>
                <w:szCs w:val="12"/>
                <w:color w:val="auto"/>
              </w:rPr>
            </w:pPr>
          </w:p>
        </w:tc>
        <w:tc>
          <w:tcPr>
            <w:tcW w:w="800" w:type="dxa"/>
            <w:vAlign w:val="bottom"/>
            <w:tcBorders>
              <w:top w:val="single" w:sz="8" w:color="auto"/>
              <w:bottom w:val="single" w:sz="8" w:color="CFF0FC"/>
            </w:tcBorders>
          </w:tcPr>
          <w:p>
            <w:pPr>
              <w:jc w:val="center"/>
              <w:spacing w:after="0" w:line="142" w:lineRule="exact"/>
              <w:rPr>
                <w:sz w:val="20"/>
                <w:szCs w:val="20"/>
                <w:color w:val="auto"/>
              </w:rPr>
            </w:pPr>
            <w:r>
              <w:rPr>
                <w:rFonts w:ascii="Arial" w:cs="Arial" w:eastAsia="Arial" w:hAnsi="Arial"/>
                <w:sz w:val="13"/>
                <w:szCs w:val="13"/>
                <w:color w:val="auto"/>
              </w:rPr>
              <w:t>RMB</w:t>
            </w:r>
          </w:p>
        </w:tc>
        <w:tc>
          <w:tcPr>
            <w:tcW w:w="60" w:type="dxa"/>
            <w:vAlign w:val="bottom"/>
            <w:tcBorders>
              <w:bottom w:val="single" w:sz="8" w:color="CFF0FC"/>
            </w:tcBorders>
          </w:tcPr>
          <w:p>
            <w:pPr>
              <w:spacing w:after="0"/>
              <w:rPr>
                <w:sz w:val="12"/>
                <w:szCs w:val="12"/>
                <w:color w:val="auto"/>
              </w:rPr>
            </w:pPr>
          </w:p>
        </w:tc>
        <w:tc>
          <w:tcPr>
            <w:tcW w:w="720" w:type="dxa"/>
            <w:vAlign w:val="bottom"/>
            <w:tcBorders>
              <w:top w:val="single" w:sz="8" w:color="auto"/>
              <w:bottom w:val="single" w:sz="8" w:color="CFF0FC"/>
            </w:tcBorders>
          </w:tcPr>
          <w:p>
            <w:pPr>
              <w:jc w:val="right"/>
              <w:ind w:right="174"/>
              <w:spacing w:after="0" w:line="142" w:lineRule="exact"/>
              <w:rPr>
                <w:sz w:val="20"/>
                <w:szCs w:val="20"/>
                <w:color w:val="auto"/>
              </w:rPr>
            </w:pPr>
            <w:r>
              <w:rPr>
                <w:rFonts w:ascii="Arial" w:cs="Arial" w:eastAsia="Arial" w:hAnsi="Arial"/>
                <w:sz w:val="13"/>
                <w:szCs w:val="13"/>
                <w:color w:val="auto"/>
              </w:rPr>
              <w:t>RMB</w:t>
            </w:r>
          </w:p>
        </w:tc>
        <w:tc>
          <w:tcPr>
            <w:tcW w:w="40" w:type="dxa"/>
            <w:vAlign w:val="bottom"/>
            <w:tcBorders>
              <w:bottom w:val="single" w:sz="8" w:color="CFF0FC"/>
            </w:tcBorders>
          </w:tcPr>
          <w:p>
            <w:pPr>
              <w:spacing w:after="0"/>
              <w:rPr>
                <w:sz w:val="12"/>
                <w:szCs w:val="12"/>
                <w:color w:val="auto"/>
              </w:rPr>
            </w:pPr>
          </w:p>
        </w:tc>
        <w:tc>
          <w:tcPr>
            <w:tcW w:w="1080" w:type="dxa"/>
            <w:vAlign w:val="bottom"/>
            <w:tcBorders>
              <w:top w:val="single" w:sz="8" w:color="auto"/>
              <w:bottom w:val="single" w:sz="8" w:color="CFF0FC"/>
            </w:tcBorders>
          </w:tcPr>
          <w:p>
            <w:pPr>
              <w:jc w:val="center"/>
              <w:spacing w:after="0" w:line="142" w:lineRule="exact"/>
              <w:rPr>
                <w:sz w:val="20"/>
                <w:szCs w:val="20"/>
                <w:color w:val="auto"/>
              </w:rPr>
            </w:pPr>
            <w:r>
              <w:rPr>
                <w:rFonts w:ascii="Arial" w:cs="Arial" w:eastAsia="Arial" w:hAnsi="Arial"/>
                <w:sz w:val="13"/>
                <w:szCs w:val="13"/>
                <w:color w:val="auto"/>
              </w:rPr>
              <w:t>RMB</w:t>
            </w:r>
          </w:p>
        </w:tc>
        <w:tc>
          <w:tcPr>
            <w:tcW w:w="60" w:type="dxa"/>
            <w:vAlign w:val="bottom"/>
            <w:tcBorders>
              <w:bottom w:val="single" w:sz="8" w:color="CFF0FC"/>
            </w:tcBorders>
          </w:tcPr>
          <w:p>
            <w:pPr>
              <w:spacing w:after="0"/>
              <w:rPr>
                <w:sz w:val="12"/>
                <w:szCs w:val="12"/>
                <w:color w:val="auto"/>
              </w:rPr>
            </w:pPr>
          </w:p>
        </w:tc>
        <w:tc>
          <w:tcPr>
            <w:tcW w:w="800" w:type="dxa"/>
            <w:vAlign w:val="bottom"/>
            <w:tcBorders>
              <w:top w:val="single" w:sz="8" w:color="auto"/>
              <w:bottom w:val="single" w:sz="8" w:color="CFF0FC"/>
            </w:tcBorders>
          </w:tcPr>
          <w:p>
            <w:pPr>
              <w:jc w:val="right"/>
              <w:ind w:right="194"/>
              <w:spacing w:after="0" w:line="142" w:lineRule="exact"/>
              <w:rPr>
                <w:sz w:val="20"/>
                <w:szCs w:val="20"/>
                <w:color w:val="auto"/>
              </w:rPr>
            </w:pPr>
            <w:r>
              <w:rPr>
                <w:rFonts w:ascii="Arial" w:cs="Arial" w:eastAsia="Arial" w:hAnsi="Arial"/>
                <w:sz w:val="13"/>
                <w:szCs w:val="13"/>
                <w:color w:val="auto"/>
              </w:rPr>
              <w:t>RMB</w:t>
            </w:r>
          </w:p>
        </w:tc>
        <w:tc>
          <w:tcPr>
            <w:tcW w:w="60" w:type="dxa"/>
            <w:vAlign w:val="bottom"/>
            <w:tcBorders>
              <w:bottom w:val="single" w:sz="8" w:color="CFF0FC"/>
            </w:tcBorders>
          </w:tcPr>
          <w:p>
            <w:pPr>
              <w:spacing w:after="0"/>
              <w:rPr>
                <w:sz w:val="12"/>
                <w:szCs w:val="12"/>
                <w:color w:val="auto"/>
              </w:rPr>
            </w:pPr>
          </w:p>
        </w:tc>
        <w:tc>
          <w:tcPr>
            <w:tcW w:w="720" w:type="dxa"/>
            <w:vAlign w:val="bottom"/>
            <w:tcBorders>
              <w:top w:val="single" w:sz="8" w:color="auto"/>
              <w:bottom w:val="single" w:sz="8" w:color="CFF0FC"/>
            </w:tcBorders>
          </w:tcPr>
          <w:p>
            <w:pPr>
              <w:jc w:val="center"/>
              <w:spacing w:after="0" w:line="142" w:lineRule="exact"/>
              <w:rPr>
                <w:sz w:val="20"/>
                <w:szCs w:val="20"/>
                <w:color w:val="auto"/>
              </w:rPr>
            </w:pPr>
            <w:r>
              <w:rPr>
                <w:rFonts w:ascii="Arial" w:cs="Arial" w:eastAsia="Arial" w:hAnsi="Arial"/>
                <w:sz w:val="13"/>
                <w:szCs w:val="13"/>
                <w:color w:val="auto"/>
              </w:rPr>
              <w:t>RMB</w:t>
            </w:r>
          </w:p>
        </w:tc>
        <w:tc>
          <w:tcPr>
            <w:tcW w:w="40" w:type="dxa"/>
            <w:vAlign w:val="bottom"/>
            <w:tcBorders>
              <w:bottom w:val="single" w:sz="8" w:color="CFF0FC"/>
            </w:tcBorders>
          </w:tcPr>
          <w:p>
            <w:pPr>
              <w:spacing w:after="0"/>
              <w:rPr>
                <w:sz w:val="12"/>
                <w:szCs w:val="12"/>
                <w:color w:val="auto"/>
              </w:rPr>
            </w:pPr>
          </w:p>
        </w:tc>
      </w:tr>
      <w:tr>
        <w:trPr>
          <w:trHeight w:val="126"/>
        </w:trPr>
        <w:tc>
          <w:tcPr>
            <w:tcW w:w="20" w:type="dxa"/>
            <w:vAlign w:val="bottom"/>
          </w:tcPr>
          <w:p>
            <w:pPr>
              <w:spacing w:after="0"/>
              <w:rPr>
                <w:sz w:val="10"/>
                <w:szCs w:val="10"/>
                <w:color w:val="auto"/>
              </w:rPr>
            </w:pPr>
          </w:p>
        </w:tc>
        <w:tc>
          <w:tcPr>
            <w:tcW w:w="76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w w:val="93"/>
              </w:rPr>
              <w:t>Balance as of</w:t>
            </w: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rPr>
              <w:t>January1,</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2018</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4,329,000</w:t>
            </w:r>
          </w:p>
        </w:tc>
        <w:tc>
          <w:tcPr>
            <w:tcW w:w="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289,674</w:t>
            </w:r>
          </w:p>
        </w:tc>
        <w:tc>
          <w:tcPr>
            <w:tcW w:w="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(8,759)</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(1,922,748)</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(1,641,832)</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(1,641,768)</w:t>
            </w:r>
          </w:p>
        </w:tc>
      </w:tr>
      <w:tr>
        <w:trPr>
          <w:trHeight w:val="126"/>
        </w:trPr>
        <w:tc>
          <w:tcPr>
            <w:tcW w:w="780" w:type="dxa"/>
            <w:vAlign w:val="bottom"/>
            <w:gridSpan w:val="2"/>
          </w:tcPr>
          <w:p>
            <w:pPr>
              <w:spacing w:after="0" w:line="126" w:lineRule="exact"/>
              <w:rPr>
                <w:sz w:val="20"/>
                <w:szCs w:val="20"/>
                <w:color w:val="auto"/>
              </w:rPr>
            </w:pPr>
            <w:r>
              <w:rPr>
                <w:rFonts w:ascii="Arial" w:cs="Arial" w:eastAsia="Arial" w:hAnsi="Arial"/>
                <w:sz w:val="13"/>
                <w:szCs w:val="13"/>
                <w:color w:val="auto"/>
              </w:rPr>
              <w:t>Net loss for</w:t>
            </w: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780" w:type="dxa"/>
            <w:vAlign w:val="bottom"/>
            <w:gridSpan w:val="2"/>
          </w:tcPr>
          <w:p>
            <w:pPr>
              <w:ind w:left="20"/>
              <w:spacing w:after="0"/>
              <w:rPr>
                <w:sz w:val="20"/>
                <w:szCs w:val="20"/>
                <w:color w:val="auto"/>
              </w:rPr>
            </w:pPr>
            <w:r>
              <w:rPr>
                <w:rFonts w:ascii="Arial" w:cs="Arial" w:eastAsia="Arial" w:hAnsi="Arial"/>
                <w:sz w:val="13"/>
                <w:szCs w:val="13"/>
                <w:color w:val="auto"/>
              </w:rPr>
              <w:t>the year</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(927,022)</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(927,022)</w:t>
            </w:r>
          </w:p>
        </w:tc>
        <w:tc>
          <w:tcPr>
            <w:tcW w:w="800" w:type="dxa"/>
            <w:vAlign w:val="bottom"/>
          </w:tcPr>
          <w:p>
            <w:pPr>
              <w:jc w:val="right"/>
              <w:spacing w:after="0"/>
              <w:rPr>
                <w:sz w:val="20"/>
                <w:szCs w:val="20"/>
                <w:color w:val="auto"/>
              </w:rPr>
            </w:pPr>
            <w:r>
              <w:rPr>
                <w:rFonts w:ascii="Arial" w:cs="Arial" w:eastAsia="Arial" w:hAnsi="Arial"/>
                <w:sz w:val="13"/>
                <w:szCs w:val="13"/>
                <w:color w:val="auto"/>
              </w:rPr>
              <w:t>72</w:t>
            </w: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(926,950)</w:t>
            </w:r>
          </w:p>
        </w:tc>
      </w:tr>
      <w:tr>
        <w:trPr>
          <w:trHeight w:val="133"/>
        </w:trPr>
        <w:tc>
          <w:tcPr>
            <w:tcW w:w="20" w:type="dxa"/>
            <w:vAlign w:val="bottom"/>
          </w:tcPr>
          <w:p>
            <w:pPr>
              <w:spacing w:after="0"/>
              <w:rPr>
                <w:sz w:val="11"/>
                <w:szCs w:val="11"/>
                <w:color w:val="auto"/>
              </w:rPr>
            </w:pPr>
          </w:p>
        </w:tc>
        <w:tc>
          <w:tcPr>
            <w:tcW w:w="76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Issuance of</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rPr>
              <w:t>ordinary</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w w:val="93"/>
              </w:rPr>
              <w:t>shares, net of</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ind w:left="80"/>
              <w:spacing w:after="0" w:line="137" w:lineRule="exact"/>
              <w:rPr>
                <w:sz w:val="20"/>
                <w:szCs w:val="20"/>
                <w:color w:val="auto"/>
              </w:rPr>
            </w:pPr>
            <w:r>
              <w:rPr>
                <w:rFonts w:ascii="Arial" w:cs="Arial" w:eastAsia="Arial" w:hAnsi="Arial"/>
                <w:sz w:val="13"/>
                <w:szCs w:val="13"/>
                <w:color w:val="auto"/>
              </w:rPr>
              <w:t>issuance</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rPr>
              <w:t>cost of</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80,128</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659,131</w:t>
            </w: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140" w:type="dxa"/>
            <w:vAlign w:val="bottom"/>
            <w:gridSpan w:val="4"/>
            <w:shd w:val="clear" w:color="auto" w:fill="CFF0FC"/>
          </w:tcPr>
          <w:p>
            <w:pPr>
              <w:jc w:val="right"/>
              <w:ind w:right="60"/>
              <w:spacing w:after="0"/>
              <w:rPr>
                <w:sz w:val="20"/>
                <w:szCs w:val="20"/>
                <w:color w:val="auto"/>
              </w:rPr>
            </w:pPr>
            <w:r>
              <w:rPr>
                <w:rFonts w:ascii="Arial" w:cs="Arial" w:eastAsia="Arial" w:hAnsi="Arial"/>
                <w:sz w:val="13"/>
                <w:szCs w:val="13"/>
                <w:color w:val="auto"/>
              </w:rPr>
              <w:t>— 1,109,517</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1,109,517</w:t>
            </w:r>
          </w:p>
        </w:tc>
        <w:tc>
          <w:tcPr>
            <w:tcW w:w="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1,109,517</w:t>
            </w:r>
          </w:p>
        </w:tc>
        <w:tc>
          <w:tcPr>
            <w:tcW w:w="40" w:type="dxa"/>
            <w:vAlign w:val="bottom"/>
            <w:shd w:val="clear" w:color="auto" w:fill="CFF0FC"/>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3"/>
                <w:szCs w:val="13"/>
                <w:color w:val="auto"/>
                <w:w w:val="92"/>
              </w:rPr>
              <w:t>Conversion of</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convertible</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redeemable</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tcPr>
          <w:p>
            <w:pPr>
              <w:ind w:left="80"/>
              <w:spacing w:after="0" w:line="137" w:lineRule="exact"/>
              <w:rPr>
                <w:sz w:val="20"/>
                <w:szCs w:val="20"/>
                <w:color w:val="auto"/>
              </w:rPr>
            </w:pPr>
            <w:r>
              <w:rPr>
                <w:rFonts w:ascii="Arial" w:cs="Arial" w:eastAsia="Arial" w:hAnsi="Arial"/>
                <w:sz w:val="13"/>
                <w:szCs w:val="13"/>
                <w:color w:val="auto"/>
              </w:rPr>
              <w:t>preferred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shares upon</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initial public</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tcPr>
          <w:p>
            <w:pPr>
              <w:ind w:left="80"/>
              <w:spacing w:after="0" w:line="137" w:lineRule="exact"/>
              <w:rPr>
                <w:sz w:val="20"/>
                <w:szCs w:val="20"/>
                <w:color w:val="auto"/>
              </w:rPr>
            </w:pPr>
            <w:r>
              <w:rPr>
                <w:rFonts w:ascii="Arial" w:cs="Arial" w:eastAsia="Arial" w:hAnsi="Arial"/>
                <w:sz w:val="13"/>
                <w:szCs w:val="13"/>
                <w:color w:val="auto"/>
              </w:rPr>
              <w:t>offering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780" w:type="dxa"/>
            <w:vAlign w:val="bottom"/>
            <w:gridSpan w:val="2"/>
          </w:tcPr>
          <w:p>
            <w:pPr>
              <w:ind w:left="20"/>
              <w:spacing w:after="0"/>
              <w:rPr>
                <w:sz w:val="20"/>
                <w:szCs w:val="20"/>
                <w:color w:val="auto"/>
              </w:rPr>
            </w:pPr>
            <w:r>
              <w:rPr>
                <w:rFonts w:ascii="Arial" w:cs="Arial" w:eastAsia="Arial" w:hAnsi="Arial"/>
                <w:sz w:val="13"/>
                <w:szCs w:val="13"/>
                <w:color w:val="auto"/>
              </w:rPr>
              <w:t>(Note 14)</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w w:val="96"/>
              </w:rPr>
              <w:t>(4,329,000)</w:t>
            </w:r>
          </w:p>
        </w:tc>
        <w:tc>
          <w:tcPr>
            <w:tcW w:w="1120" w:type="dxa"/>
            <w:vAlign w:val="bottom"/>
            <w:gridSpan w:val="4"/>
          </w:tcPr>
          <w:p>
            <w:pPr>
              <w:jc w:val="right"/>
              <w:spacing w:after="0"/>
              <w:rPr>
                <w:sz w:val="20"/>
                <w:szCs w:val="20"/>
                <w:color w:val="auto"/>
              </w:rPr>
            </w:pPr>
            <w:r>
              <w:rPr>
                <w:rFonts w:ascii="Arial" w:cs="Arial" w:eastAsia="Arial" w:hAnsi="Arial"/>
                <w:sz w:val="13"/>
                <w:szCs w:val="13"/>
                <w:color w:val="auto"/>
              </w:rPr>
              <w:t>(1) 1,159,252</w:t>
            </w:r>
          </w:p>
        </w:tc>
        <w:tc>
          <w:tcPr>
            <w:tcW w:w="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826,389</w:t>
            </w: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4,265,286</w:t>
            </w:r>
          </w:p>
        </w:tc>
        <w:tc>
          <w:tcPr>
            <w:tcW w:w="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1,024,708</w:t>
            </w:r>
          </w:p>
        </w:tc>
        <w:tc>
          <w:tcPr>
            <w:tcW w:w="6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1,024,709</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1,024,709</w:t>
            </w:r>
          </w:p>
        </w:tc>
        <w:tc>
          <w:tcPr>
            <w:tcW w:w="4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76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Share</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repurchase</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(45,082)</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(34,828)</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45,082</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(34,828)</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(34,828)</w:t>
            </w:r>
          </w:p>
        </w:tc>
      </w:tr>
      <w:tr>
        <w:trPr>
          <w:trHeight w:val="133"/>
        </w:trPr>
        <w:tc>
          <w:tcPr>
            <w:tcW w:w="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3"/>
                <w:szCs w:val="13"/>
                <w:color w:val="auto"/>
                <w:w w:val="99"/>
              </w:rPr>
              <w:t>Share-based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780" w:type="dxa"/>
            <w:vAlign w:val="bottom"/>
            <w:gridSpan w:val="2"/>
          </w:tcPr>
          <w:p>
            <w:pPr>
              <w:ind w:left="20"/>
              <w:spacing w:after="0"/>
              <w:rPr>
                <w:sz w:val="20"/>
                <w:szCs w:val="20"/>
                <w:color w:val="auto"/>
              </w:rPr>
            </w:pPr>
            <w:r>
              <w:rPr>
                <w:rFonts w:ascii="Arial" w:cs="Arial" w:eastAsia="Arial" w:hAnsi="Arial"/>
                <w:sz w:val="13"/>
                <w:szCs w:val="13"/>
                <w:color w:val="auto"/>
                <w:w w:val="91"/>
              </w:rPr>
              <w:t>compensation</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2,751</w:t>
            </w:r>
          </w:p>
        </w:tc>
        <w:tc>
          <w:tcPr>
            <w:tcW w:w="6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2,751</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2,751</w:t>
            </w:r>
          </w:p>
        </w:tc>
        <w:tc>
          <w:tcPr>
            <w:tcW w:w="4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76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Foreign</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rPr>
              <w:t>currency</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rPr>
              <w:t>translation</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ind w:left="80"/>
              <w:spacing w:after="0"/>
              <w:rPr>
                <w:sz w:val="20"/>
                <w:szCs w:val="20"/>
                <w:color w:val="auto"/>
              </w:rPr>
            </w:pPr>
            <w:r>
              <w:rPr>
                <w:rFonts w:ascii="Arial" w:cs="Arial" w:eastAsia="Arial" w:hAnsi="Arial"/>
                <w:sz w:val="13"/>
                <w:szCs w:val="13"/>
                <w:color w:val="auto"/>
                <w:w w:val="94"/>
              </w:rPr>
              <w:t>adjustments</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127,586</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127,586</w:t>
            </w:r>
          </w:p>
        </w:tc>
        <w:tc>
          <w:tcPr>
            <w:tcW w:w="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127,586</w:t>
            </w:r>
          </w:p>
        </w:tc>
        <w:tc>
          <w:tcPr>
            <w:tcW w:w="40" w:type="dxa"/>
            <w:vAlign w:val="bottom"/>
            <w:shd w:val="clear" w:color="auto" w:fill="CFF0FC"/>
          </w:tcPr>
          <w:p>
            <w:pPr>
              <w:spacing w:after="0"/>
              <w:rPr>
                <w:sz w:val="13"/>
                <w:szCs w:val="13"/>
                <w:color w:val="auto"/>
              </w:rPr>
            </w:pPr>
          </w:p>
        </w:tc>
      </w:tr>
      <w:tr>
        <w:trPr>
          <w:trHeight w:val="126"/>
        </w:trPr>
        <w:tc>
          <w:tcPr>
            <w:tcW w:w="780" w:type="dxa"/>
            <w:vAlign w:val="bottom"/>
            <w:gridSpan w:val="2"/>
          </w:tcPr>
          <w:p>
            <w:pPr>
              <w:spacing w:after="0" w:line="126" w:lineRule="exact"/>
              <w:rPr>
                <w:sz w:val="20"/>
                <w:szCs w:val="20"/>
                <w:color w:val="auto"/>
              </w:rPr>
            </w:pPr>
            <w:r>
              <w:rPr>
                <w:rFonts w:ascii="Arial" w:cs="Arial" w:eastAsia="Arial" w:hAnsi="Arial"/>
                <w:sz w:val="13"/>
                <w:szCs w:val="13"/>
                <w:color w:val="auto"/>
                <w:w w:val="96"/>
              </w:rPr>
              <w:t>Balance as of</w:t>
            </w: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w w:val="90"/>
              </w:rPr>
              <w:t>December 31,</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780" w:type="dxa"/>
            <w:vAlign w:val="bottom"/>
            <w:gridSpan w:val="2"/>
          </w:tcPr>
          <w:p>
            <w:pPr>
              <w:ind w:left="20"/>
              <w:spacing w:after="0"/>
              <w:rPr>
                <w:sz w:val="20"/>
                <w:szCs w:val="20"/>
                <w:color w:val="auto"/>
              </w:rPr>
            </w:pPr>
            <w:r>
              <w:rPr>
                <w:rFonts w:ascii="Arial" w:cs="Arial" w:eastAsia="Arial" w:hAnsi="Arial"/>
                <w:sz w:val="13"/>
                <w:szCs w:val="13"/>
                <w:color w:val="auto"/>
              </w:rPr>
              <w:t>2018</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1,773,301</w:t>
            </w:r>
          </w:p>
        </w:tc>
        <w:tc>
          <w:tcPr>
            <w:tcW w:w="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826,389</w:t>
            </w: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4,265,286</w:t>
            </w:r>
          </w:p>
        </w:tc>
        <w:tc>
          <w:tcPr>
            <w:tcW w:w="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2,391,822</w:t>
            </w: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45,082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118,827</w:t>
            </w:r>
          </w:p>
        </w:tc>
        <w:tc>
          <w:tcPr>
            <w:tcW w:w="6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(2,849,770)</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(339,119)</w:t>
            </w:r>
          </w:p>
        </w:tc>
        <w:tc>
          <w:tcPr>
            <w:tcW w:w="800" w:type="dxa"/>
            <w:vAlign w:val="bottom"/>
          </w:tcPr>
          <w:p>
            <w:pPr>
              <w:jc w:val="right"/>
              <w:spacing w:after="0"/>
              <w:rPr>
                <w:sz w:val="20"/>
                <w:szCs w:val="20"/>
                <w:color w:val="auto"/>
              </w:rPr>
            </w:pPr>
            <w:r>
              <w:rPr>
                <w:rFonts w:ascii="Arial" w:cs="Arial" w:eastAsia="Arial" w:hAnsi="Arial"/>
                <w:sz w:val="13"/>
                <w:szCs w:val="13"/>
                <w:color w:val="auto"/>
              </w:rPr>
              <w:t>136</w:t>
            </w: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(338,983)</w:t>
            </w:r>
          </w:p>
        </w:tc>
      </w:tr>
      <w:tr>
        <w:trPr>
          <w:trHeight w:val="126"/>
        </w:trPr>
        <w:tc>
          <w:tcPr>
            <w:tcW w:w="20" w:type="dxa"/>
            <w:vAlign w:val="bottom"/>
          </w:tcPr>
          <w:p>
            <w:pPr>
              <w:spacing w:after="0"/>
              <w:rPr>
                <w:sz w:val="10"/>
                <w:szCs w:val="10"/>
                <w:color w:val="auto"/>
              </w:rPr>
            </w:pPr>
          </w:p>
        </w:tc>
        <w:tc>
          <w:tcPr>
            <w:tcW w:w="760" w:type="dxa"/>
            <w:vAlign w:val="bottom"/>
            <w:tcBorders>
              <w:top w:val="single" w:sz="8" w:color="CFF0FC"/>
            </w:tcBorders>
            <w:shd w:val="clear" w:color="auto" w:fill="CFF0FC"/>
          </w:tcPr>
          <w:p>
            <w:pPr>
              <w:spacing w:after="0" w:line="126" w:lineRule="exact"/>
              <w:rPr>
                <w:sz w:val="20"/>
                <w:szCs w:val="20"/>
                <w:color w:val="auto"/>
              </w:rPr>
            </w:pPr>
            <w:r>
              <w:rPr>
                <w:rFonts w:ascii="Arial" w:cs="Arial" w:eastAsia="Arial" w:hAnsi="Arial"/>
                <w:sz w:val="13"/>
                <w:szCs w:val="13"/>
                <w:color w:val="auto"/>
              </w:rPr>
              <w:t>Net loss for</w:t>
            </w:r>
          </w:p>
        </w:tc>
        <w:tc>
          <w:tcPr>
            <w:tcW w:w="6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the year</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(394,817)</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(394,817)</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(348)</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(395,165)</w:t>
            </w:r>
          </w:p>
        </w:tc>
      </w:tr>
      <w:tr>
        <w:trPr>
          <w:trHeight w:val="133"/>
        </w:trPr>
        <w:tc>
          <w:tcPr>
            <w:tcW w:w="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3"/>
                <w:szCs w:val="13"/>
                <w:color w:val="auto"/>
              </w:rPr>
              <w:t>Conversion</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Class C</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Ordinary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shares to</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tcPr>
          <w:p>
            <w:pPr>
              <w:ind w:left="80"/>
              <w:spacing w:after="0" w:line="137" w:lineRule="exact"/>
              <w:rPr>
                <w:sz w:val="20"/>
                <w:szCs w:val="20"/>
                <w:color w:val="auto"/>
              </w:rPr>
            </w:pPr>
            <w:r>
              <w:rPr>
                <w:rFonts w:ascii="Arial" w:cs="Arial" w:eastAsia="Arial" w:hAnsi="Arial"/>
                <w:sz w:val="13"/>
                <w:szCs w:val="13"/>
                <w:color w:val="auto"/>
              </w:rPr>
              <w:t>Class A</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Ordinary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w w:val="99"/>
              </w:rPr>
              <w:t>shares (Note</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780" w:type="dxa"/>
            <w:vAlign w:val="bottom"/>
            <w:gridSpan w:val="2"/>
          </w:tcPr>
          <w:p>
            <w:pPr>
              <w:ind w:left="20"/>
              <w:spacing w:after="0"/>
              <w:rPr>
                <w:sz w:val="20"/>
                <w:szCs w:val="20"/>
                <w:color w:val="auto"/>
              </w:rPr>
            </w:pPr>
            <w:r>
              <w:rPr>
                <w:rFonts w:ascii="Arial" w:cs="Arial" w:eastAsia="Arial" w:hAnsi="Arial"/>
                <w:sz w:val="13"/>
                <w:szCs w:val="13"/>
                <w:color w:val="auto"/>
              </w:rPr>
              <w:t>14)</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6,600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(6,600)</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3"/>
        </w:trPr>
        <w:tc>
          <w:tcPr>
            <w:tcW w:w="20" w:type="dxa"/>
            <w:vAlign w:val="bottom"/>
          </w:tcPr>
          <w:p>
            <w:pPr>
              <w:spacing w:after="0"/>
              <w:rPr>
                <w:sz w:val="11"/>
                <w:szCs w:val="11"/>
                <w:color w:val="auto"/>
              </w:rPr>
            </w:pPr>
          </w:p>
        </w:tc>
        <w:tc>
          <w:tcPr>
            <w:tcW w:w="76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Share</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repurchase</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(51,895)</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(30,793)</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51,895</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(30,793)</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(30,793)</w:t>
            </w:r>
          </w:p>
        </w:tc>
      </w:tr>
      <w:tr>
        <w:trPr>
          <w:trHeight w:val="133"/>
        </w:trPr>
        <w:tc>
          <w:tcPr>
            <w:tcW w:w="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3"/>
                <w:szCs w:val="13"/>
                <w:color w:val="auto"/>
                <w:w w:val="99"/>
              </w:rPr>
              <w:t>Share-based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780" w:type="dxa"/>
            <w:vAlign w:val="bottom"/>
            <w:gridSpan w:val="2"/>
          </w:tcPr>
          <w:p>
            <w:pPr>
              <w:ind w:left="20"/>
              <w:spacing w:after="0"/>
              <w:rPr>
                <w:sz w:val="20"/>
                <w:szCs w:val="20"/>
                <w:color w:val="auto"/>
              </w:rPr>
            </w:pPr>
            <w:r>
              <w:rPr>
                <w:rFonts w:ascii="Arial" w:cs="Arial" w:eastAsia="Arial" w:hAnsi="Arial"/>
                <w:sz w:val="13"/>
                <w:szCs w:val="13"/>
                <w:color w:val="auto"/>
                <w:w w:val="91"/>
              </w:rPr>
              <w:t>compensation</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2,970</w:t>
            </w:r>
          </w:p>
        </w:tc>
        <w:tc>
          <w:tcPr>
            <w:tcW w:w="6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2,970</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2,970</w:t>
            </w:r>
          </w:p>
        </w:tc>
        <w:tc>
          <w:tcPr>
            <w:tcW w:w="4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76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Foreign</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rPr>
              <w:t>currency</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rPr>
              <w:t>translation</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adjustments</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23,608</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23,608</w:t>
            </w:r>
          </w:p>
        </w:tc>
        <w:tc>
          <w:tcPr>
            <w:tcW w:w="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23,608</w:t>
            </w:r>
          </w:p>
        </w:tc>
        <w:tc>
          <w:tcPr>
            <w:tcW w:w="40" w:type="dxa"/>
            <w:vAlign w:val="bottom"/>
            <w:shd w:val="clear" w:color="auto" w:fill="CFF0FC"/>
          </w:tcPr>
          <w:p>
            <w:pPr>
              <w:spacing w:after="0"/>
              <w:rPr>
                <w:sz w:val="13"/>
                <w:szCs w:val="13"/>
                <w:color w:val="auto"/>
              </w:rPr>
            </w:pPr>
          </w:p>
        </w:tc>
      </w:tr>
      <w:tr>
        <w:trPr>
          <w:trHeight w:val="126"/>
        </w:trPr>
        <w:tc>
          <w:tcPr>
            <w:tcW w:w="780" w:type="dxa"/>
            <w:vAlign w:val="bottom"/>
            <w:gridSpan w:val="2"/>
          </w:tcPr>
          <w:p>
            <w:pPr>
              <w:spacing w:after="0" w:line="126" w:lineRule="exact"/>
              <w:rPr>
                <w:sz w:val="20"/>
                <w:szCs w:val="20"/>
                <w:color w:val="auto"/>
              </w:rPr>
            </w:pPr>
            <w:r>
              <w:rPr>
                <w:rFonts w:ascii="Arial" w:cs="Arial" w:eastAsia="Arial" w:hAnsi="Arial"/>
                <w:sz w:val="13"/>
                <w:szCs w:val="13"/>
                <w:color w:val="auto"/>
                <w:w w:val="96"/>
              </w:rPr>
              <w:t>Balance as of</w:t>
            </w: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w w:val="90"/>
              </w:rPr>
              <w:t>December 31,</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2019 in</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auto"/>
              </w:rPr>
              <w:t>RMB</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1,728,006</w:t>
            </w:r>
          </w:p>
        </w:tc>
        <w:tc>
          <w:tcPr>
            <w:tcW w:w="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826,389</w:t>
            </w: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4,258,686</w:t>
            </w:r>
          </w:p>
        </w:tc>
        <w:tc>
          <w:tcPr>
            <w:tcW w:w="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2,363,999</w:t>
            </w: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96,977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142,435</w:t>
            </w:r>
          </w:p>
        </w:tc>
        <w:tc>
          <w:tcPr>
            <w:tcW w:w="6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(3,244,587)</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(738,151)</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(212)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(738,363)</w:t>
            </w:r>
          </w:p>
        </w:tc>
      </w:tr>
      <w:tr>
        <w:trPr>
          <w:trHeight w:val="126"/>
        </w:trPr>
        <w:tc>
          <w:tcPr>
            <w:tcW w:w="20" w:type="dxa"/>
            <w:vAlign w:val="bottom"/>
          </w:tcPr>
          <w:p>
            <w:pPr>
              <w:spacing w:after="0"/>
              <w:rPr>
                <w:sz w:val="10"/>
                <w:szCs w:val="10"/>
                <w:color w:val="auto"/>
              </w:rPr>
            </w:pPr>
          </w:p>
        </w:tc>
        <w:tc>
          <w:tcPr>
            <w:tcW w:w="760" w:type="dxa"/>
            <w:vAlign w:val="bottom"/>
            <w:tcBorders>
              <w:top w:val="single" w:sz="8" w:color="CFF0FC"/>
            </w:tcBorders>
            <w:shd w:val="clear" w:color="auto" w:fill="CFF0FC"/>
          </w:tcPr>
          <w:p>
            <w:pPr>
              <w:spacing w:after="0" w:line="126" w:lineRule="exact"/>
              <w:rPr>
                <w:sz w:val="20"/>
                <w:szCs w:val="20"/>
                <w:color w:val="auto"/>
              </w:rPr>
            </w:pPr>
            <w:r>
              <w:rPr>
                <w:rFonts w:ascii="Arial" w:cs="Arial" w:eastAsia="Arial" w:hAnsi="Arial"/>
                <w:sz w:val="13"/>
                <w:szCs w:val="13"/>
                <w:color w:val="auto"/>
              </w:rPr>
              <w:t>Net loss for</w:t>
            </w:r>
          </w:p>
        </w:tc>
        <w:tc>
          <w:tcPr>
            <w:tcW w:w="6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the year</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(430,542)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(430,542)</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(446)</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(430,988)</w:t>
            </w:r>
          </w:p>
        </w:tc>
      </w:tr>
      <w:tr>
        <w:trPr>
          <w:trHeight w:val="133"/>
        </w:trPr>
        <w:tc>
          <w:tcPr>
            <w:tcW w:w="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3"/>
                <w:szCs w:val="13"/>
                <w:color w:val="auto"/>
              </w:rPr>
              <w:t>Conversion</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Class C</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Ordinary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shares to</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tcPr>
          <w:p>
            <w:pPr>
              <w:ind w:left="80"/>
              <w:spacing w:after="0" w:line="137" w:lineRule="exact"/>
              <w:rPr>
                <w:sz w:val="20"/>
                <w:szCs w:val="20"/>
                <w:color w:val="auto"/>
              </w:rPr>
            </w:pPr>
            <w:r>
              <w:rPr>
                <w:rFonts w:ascii="Arial" w:cs="Arial" w:eastAsia="Arial" w:hAnsi="Arial"/>
                <w:sz w:val="13"/>
                <w:szCs w:val="13"/>
                <w:color w:val="auto"/>
              </w:rPr>
              <w:t>Class A</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Ordinary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w w:val="99"/>
              </w:rPr>
              <w:t>shares (Note</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780" w:type="dxa"/>
            <w:vAlign w:val="bottom"/>
            <w:gridSpan w:val="2"/>
          </w:tcPr>
          <w:p>
            <w:pPr>
              <w:ind w:left="20"/>
              <w:spacing w:after="0"/>
              <w:rPr>
                <w:sz w:val="20"/>
                <w:szCs w:val="20"/>
                <w:color w:val="auto"/>
              </w:rPr>
            </w:pPr>
            <w:r>
              <w:rPr>
                <w:rFonts w:ascii="Arial" w:cs="Arial" w:eastAsia="Arial" w:hAnsi="Arial"/>
                <w:sz w:val="13"/>
                <w:szCs w:val="13"/>
                <w:color w:val="auto"/>
              </w:rPr>
              <w:t>14)</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148,438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(148,438)</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3"/>
        </w:trPr>
        <w:tc>
          <w:tcPr>
            <w:tcW w:w="20" w:type="dxa"/>
            <w:vAlign w:val="bottom"/>
          </w:tcPr>
          <w:p>
            <w:pPr>
              <w:spacing w:after="0"/>
              <w:rPr>
                <w:sz w:val="11"/>
                <w:szCs w:val="11"/>
                <w:color w:val="auto"/>
              </w:rPr>
            </w:pPr>
          </w:p>
        </w:tc>
        <w:tc>
          <w:tcPr>
            <w:tcW w:w="76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Share</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repurchase</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(163,884)</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(26,579) 163,884</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(26,579)</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(26,579)</w:t>
            </w:r>
          </w:p>
        </w:tc>
      </w:tr>
      <w:tr>
        <w:trPr>
          <w:trHeight w:val="133"/>
        </w:trPr>
        <w:tc>
          <w:tcPr>
            <w:tcW w:w="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3"/>
                <w:szCs w:val="13"/>
                <w:color w:val="auto"/>
                <w:w w:val="99"/>
              </w:rPr>
              <w:t>Share-based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w w:val="91"/>
              </w:rPr>
              <w:t>compensation</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780" w:type="dxa"/>
            <w:vAlign w:val="bottom"/>
            <w:gridSpan w:val="2"/>
          </w:tcPr>
          <w:p>
            <w:pPr>
              <w:ind w:left="20"/>
              <w:spacing w:after="0"/>
              <w:rPr>
                <w:sz w:val="20"/>
                <w:szCs w:val="20"/>
                <w:color w:val="auto"/>
              </w:rPr>
            </w:pPr>
            <w:r>
              <w:rPr>
                <w:rFonts w:ascii="Arial" w:cs="Arial" w:eastAsia="Arial" w:hAnsi="Arial"/>
                <w:sz w:val="13"/>
                <w:szCs w:val="13"/>
                <w:color w:val="auto"/>
              </w:rPr>
              <w:t>(Note 16)</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80,000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29,748</w:t>
            </w: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w w:val="99"/>
              </w:rPr>
              <w:t>(80,000)</w:t>
            </w: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29,748</w:t>
            </w:r>
          </w:p>
        </w:tc>
        <w:tc>
          <w:tcPr>
            <w:tcW w:w="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29,748</w:t>
            </w:r>
          </w:p>
        </w:tc>
        <w:tc>
          <w:tcPr>
            <w:tcW w:w="4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76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Foreign</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rPr>
              <w:t>currency</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rPr>
              <w:t>translation</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ind w:left="80"/>
              <w:spacing w:after="0"/>
              <w:rPr>
                <w:sz w:val="20"/>
                <w:szCs w:val="20"/>
                <w:color w:val="auto"/>
              </w:rPr>
            </w:pPr>
            <w:r>
              <w:rPr>
                <w:rFonts w:ascii="Arial" w:cs="Arial" w:eastAsia="Arial" w:hAnsi="Arial"/>
                <w:sz w:val="13"/>
                <w:szCs w:val="13"/>
                <w:color w:val="auto"/>
                <w:w w:val="94"/>
              </w:rPr>
              <w:t>adjustments</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(45,945)</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(45,945)</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(45,945)</w:t>
            </w:r>
          </w:p>
        </w:tc>
      </w:tr>
      <w:tr>
        <w:trPr>
          <w:trHeight w:val="133"/>
        </w:trPr>
        <w:tc>
          <w:tcPr>
            <w:tcW w:w="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3"/>
                <w:szCs w:val="13"/>
                <w:color w:val="auto"/>
                <w:w w:val="93"/>
              </w:rPr>
              <w:t>Balance as of</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w w:val="90"/>
              </w:rPr>
              <w:t>December 31,</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780" w:type="dxa"/>
            <w:vAlign w:val="bottom"/>
            <w:gridSpan w:val="2"/>
          </w:tcPr>
          <w:p>
            <w:pPr>
              <w:ind w:left="20"/>
              <w:spacing w:after="0" w:line="137" w:lineRule="exact"/>
              <w:rPr>
                <w:sz w:val="20"/>
                <w:szCs w:val="20"/>
                <w:color w:val="auto"/>
              </w:rPr>
            </w:pPr>
            <w:r>
              <w:rPr>
                <w:rFonts w:ascii="Arial" w:cs="Arial" w:eastAsia="Arial" w:hAnsi="Arial"/>
                <w:sz w:val="13"/>
                <w:szCs w:val="13"/>
                <w:color w:val="auto"/>
              </w:rPr>
              <w:t>2020</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auto"/>
              </w:rPr>
              <w:t>in RMB</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1,792,560</w:t>
            </w:r>
          </w:p>
        </w:tc>
        <w:tc>
          <w:tcPr>
            <w:tcW w:w="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826,389</w:t>
            </w: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4,110,248</w:t>
            </w:r>
          </w:p>
        </w:tc>
        <w:tc>
          <w:tcPr>
            <w:tcW w:w="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2,367,168</w:t>
            </w: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3"/>
              </w:rPr>
              <w:t>180,861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96,490</w:t>
            </w:r>
          </w:p>
        </w:tc>
        <w:tc>
          <w:tcPr>
            <w:tcW w:w="6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(3,675,129)</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(1,211,469)</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(658)</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(1,212,127)</w:t>
            </w:r>
          </w:p>
        </w:tc>
      </w:tr>
      <w:tr>
        <w:trPr>
          <w:trHeight w:val="126"/>
        </w:trPr>
        <w:tc>
          <w:tcPr>
            <w:tcW w:w="20" w:type="dxa"/>
            <w:vAlign w:val="bottom"/>
          </w:tcPr>
          <w:p>
            <w:pPr>
              <w:spacing w:after="0"/>
              <w:rPr>
                <w:sz w:val="10"/>
                <w:szCs w:val="10"/>
                <w:color w:val="auto"/>
              </w:rPr>
            </w:pPr>
          </w:p>
        </w:tc>
        <w:tc>
          <w:tcPr>
            <w:tcW w:w="760" w:type="dxa"/>
            <w:vAlign w:val="bottom"/>
            <w:tcBorders>
              <w:top w:val="single" w:sz="8" w:color="CFF0FC"/>
            </w:tcBorders>
            <w:shd w:val="clear" w:color="auto" w:fill="CFF0FC"/>
          </w:tcPr>
          <w:p>
            <w:pPr>
              <w:spacing w:after="0" w:line="126" w:lineRule="exact"/>
              <w:rPr>
                <w:sz w:val="20"/>
                <w:szCs w:val="20"/>
                <w:color w:val="auto"/>
              </w:rPr>
            </w:pPr>
            <w:r>
              <w:rPr>
                <w:rFonts w:ascii="Arial" w:cs="Arial" w:eastAsia="Arial" w:hAnsi="Arial"/>
                <w:sz w:val="13"/>
                <w:szCs w:val="13"/>
                <w:color w:val="auto"/>
                <w:w w:val="93"/>
              </w:rPr>
              <w:t>Balance as of</w:t>
            </w:r>
          </w:p>
        </w:tc>
        <w:tc>
          <w:tcPr>
            <w:tcW w:w="6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w w:val="90"/>
              </w:rPr>
              <w:t>December 31,</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spacing w:after="0" w:line="137" w:lineRule="exact"/>
              <w:rPr>
                <w:sz w:val="20"/>
                <w:szCs w:val="20"/>
                <w:color w:val="auto"/>
              </w:rPr>
            </w:pPr>
            <w:r>
              <w:rPr>
                <w:rFonts w:ascii="Arial" w:cs="Arial" w:eastAsia="Arial" w:hAnsi="Arial"/>
                <w:sz w:val="13"/>
                <w:szCs w:val="13"/>
                <w:color w:val="auto"/>
              </w:rPr>
              <w:t>2020 in</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760" w:type="dxa"/>
            <w:vAlign w:val="bottom"/>
            <w:shd w:val="clear" w:color="auto" w:fill="CFF0FC"/>
          </w:tcPr>
          <w:p>
            <w:pPr>
              <w:ind w:left="80"/>
              <w:spacing w:after="0" w:line="137" w:lineRule="exact"/>
              <w:rPr>
                <w:sz w:val="20"/>
                <w:szCs w:val="20"/>
                <w:color w:val="auto"/>
              </w:rPr>
            </w:pPr>
            <w:r>
              <w:rPr>
                <w:rFonts w:ascii="Arial" w:cs="Arial" w:eastAsia="Arial" w:hAnsi="Arial"/>
                <w:sz w:val="13"/>
                <w:szCs w:val="13"/>
                <w:color w:val="auto"/>
              </w:rPr>
              <w:t>USD</w:t>
            </w: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(Note2)</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1,792,560</w:t>
            </w: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826,389</w:t>
            </w:r>
          </w:p>
        </w:tc>
        <w:tc>
          <w:tcPr>
            <w:tcW w:w="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4,110,248</w:t>
            </w: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362,784</w:t>
            </w: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180,861</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14,788</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(563,238)</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(185,666)</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(101)</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(185,767)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9" w:lineRule="exact"/>
        <w:rPr>
          <w:sz w:val="20"/>
          <w:szCs w:val="20"/>
          <w:color w:val="auto"/>
        </w:rPr>
      </w:pPr>
    </w:p>
    <w:p>
      <w:pPr>
        <w:ind w:left="20"/>
        <w:spacing w:after="0"/>
        <w:rPr>
          <w:sz w:val="20"/>
          <w:szCs w:val="20"/>
          <w:color w:val="auto"/>
        </w:rPr>
      </w:pPr>
      <w:r>
        <w:rPr>
          <w:rFonts w:ascii="Arial" w:cs="Arial" w:eastAsia="Arial" w:hAnsi="Arial"/>
          <w:sz w:val="17"/>
          <w:szCs w:val="17"/>
          <w:color w:val="181717"/>
        </w:rPr>
        <w:t>The accompanying notes are an integral part of the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181717"/>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60"/>
          </w:cols>
          <w:pgMar w:left="300" w:top="351"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7"/>
          <w:szCs w:val="17"/>
          <w:color w:val="181717"/>
        </w:rPr>
        <w:t>CONSOLIDATED STATEMENTS OF CASH FLOWS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181717"/>
        </w:rPr>
        <w:t>(Amounts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color w:val="auto"/>
              </w:rPr>
              <w:t>Years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80" w:type="dxa"/>
            <w:vAlign w:val="bottom"/>
            <w:tcBorders>
              <w:bottom w:val="single" w:sz="8" w:color="auto"/>
            </w:tcBorders>
          </w:tcPr>
          <w:p>
            <w:pPr>
              <w:jc w:val="right"/>
              <w:ind w:right="389"/>
              <w:spacing w:after="0" w:line="155" w:lineRule="exact"/>
              <w:rPr>
                <w:sz w:val="20"/>
                <w:szCs w:val="20"/>
                <w:color w:val="auto"/>
              </w:rPr>
            </w:pPr>
            <w:r>
              <w:rPr>
                <w:rFonts w:ascii="Arial" w:cs="Arial" w:eastAsia="Arial" w:hAnsi="Arial"/>
                <w:sz w:val="14"/>
                <w:szCs w:val="14"/>
                <w:color w:val="auto"/>
              </w:rPr>
              <w:t>2018</w:t>
            </w:r>
          </w:p>
        </w:tc>
        <w:tc>
          <w:tcPr>
            <w:tcW w:w="240" w:type="dxa"/>
            <w:vAlign w:val="bottom"/>
          </w:tcPr>
          <w:p>
            <w:pPr>
              <w:spacing w:after="0"/>
              <w:rPr>
                <w:sz w:val="13"/>
                <w:szCs w:val="13"/>
                <w:color w:val="auto"/>
              </w:rPr>
            </w:pPr>
          </w:p>
        </w:tc>
        <w:tc>
          <w:tcPr>
            <w:tcW w:w="1280" w:type="dxa"/>
            <w:vAlign w:val="bottom"/>
            <w:tcBorders>
              <w:bottom w:val="single" w:sz="8" w:color="auto"/>
            </w:tcBorders>
          </w:tcPr>
          <w:p>
            <w:pPr>
              <w:jc w:val="right"/>
              <w:ind w:right="389"/>
              <w:spacing w:after="0" w:line="155" w:lineRule="exact"/>
              <w:rPr>
                <w:sz w:val="20"/>
                <w:szCs w:val="20"/>
                <w:color w:val="auto"/>
              </w:rPr>
            </w:pPr>
            <w:r>
              <w:rPr>
                <w:rFonts w:ascii="Arial" w:cs="Arial" w:eastAsia="Arial" w:hAnsi="Arial"/>
                <w:sz w:val="14"/>
                <w:szCs w:val="14"/>
                <w:color w:val="auto"/>
              </w:rPr>
              <w:t>2019</w:t>
            </w:r>
          </w:p>
        </w:tc>
        <w:tc>
          <w:tcPr>
            <w:tcW w:w="240" w:type="dxa"/>
            <w:vAlign w:val="bottom"/>
          </w:tcPr>
          <w:p>
            <w:pPr>
              <w:spacing w:after="0"/>
              <w:rPr>
                <w:sz w:val="13"/>
                <w:szCs w:val="13"/>
                <w:color w:val="auto"/>
              </w:rPr>
            </w:pPr>
          </w:p>
        </w:tc>
        <w:tc>
          <w:tcPr>
            <w:tcW w:w="1720" w:type="dxa"/>
            <w:vAlign w:val="bottom"/>
            <w:tcBorders>
              <w:bottom w:val="single" w:sz="8" w:color="auto"/>
            </w:tcBorders>
            <w:gridSpan w:val="3"/>
          </w:tcPr>
          <w:p>
            <w:pPr>
              <w:jc w:val="right"/>
              <w:ind w:right="200"/>
              <w:spacing w:after="0" w:line="155" w:lineRule="exact"/>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80" w:type="dxa"/>
            <w:vAlign w:val="bottom"/>
          </w:tcPr>
          <w:p>
            <w:pPr>
              <w:jc w:val="right"/>
              <w:ind w:right="429"/>
              <w:spacing w:after="0" w:line="154" w:lineRule="exact"/>
              <w:rPr>
                <w:sz w:val="20"/>
                <w:szCs w:val="20"/>
                <w:color w:val="auto"/>
              </w:rPr>
            </w:pPr>
            <w:r>
              <w:rPr>
                <w:rFonts w:ascii="Arial" w:cs="Arial" w:eastAsia="Arial" w:hAnsi="Arial"/>
                <w:sz w:val="14"/>
                <w:szCs w:val="14"/>
                <w:color w:val="auto"/>
              </w:rPr>
              <w:t>RMB</w:t>
            </w:r>
          </w:p>
        </w:tc>
        <w:tc>
          <w:tcPr>
            <w:tcW w:w="240" w:type="dxa"/>
            <w:vAlign w:val="bottom"/>
          </w:tcPr>
          <w:p>
            <w:pPr>
              <w:spacing w:after="0"/>
              <w:rPr>
                <w:sz w:val="13"/>
                <w:szCs w:val="13"/>
                <w:color w:val="auto"/>
              </w:rPr>
            </w:pPr>
          </w:p>
        </w:tc>
        <w:tc>
          <w:tcPr>
            <w:tcW w:w="1280" w:type="dxa"/>
            <w:vAlign w:val="bottom"/>
          </w:tcPr>
          <w:p>
            <w:pPr>
              <w:jc w:val="right"/>
              <w:ind w:right="429"/>
              <w:spacing w:after="0" w:line="154" w:lineRule="exact"/>
              <w:rPr>
                <w:sz w:val="20"/>
                <w:szCs w:val="20"/>
                <w:color w:val="auto"/>
              </w:rPr>
            </w:pPr>
            <w:r>
              <w:rPr>
                <w:rFonts w:ascii="Arial" w:cs="Arial" w:eastAsia="Arial" w:hAnsi="Arial"/>
                <w:sz w:val="14"/>
                <w:szCs w:val="14"/>
                <w:color w:val="auto"/>
              </w:rPr>
              <w:t>RMB</w:t>
            </w:r>
          </w:p>
        </w:tc>
        <w:tc>
          <w:tcPr>
            <w:tcW w:w="240" w:type="dxa"/>
            <w:vAlign w:val="bottom"/>
          </w:tcPr>
          <w:p>
            <w:pPr>
              <w:spacing w:after="0"/>
              <w:rPr>
                <w:sz w:val="13"/>
                <w:szCs w:val="13"/>
                <w:color w:val="auto"/>
              </w:rPr>
            </w:pPr>
          </w:p>
        </w:tc>
        <w:tc>
          <w:tcPr>
            <w:tcW w:w="1720" w:type="dxa"/>
            <w:vAlign w:val="bottom"/>
            <w:gridSpan w:val="3"/>
          </w:tcPr>
          <w:p>
            <w:pPr>
              <w:jc w:val="right"/>
              <w:ind w:right="940"/>
              <w:spacing w:after="0" w:line="154" w:lineRule="exact"/>
              <w:rPr>
                <w:sz w:val="20"/>
                <w:szCs w:val="20"/>
                <w:color w:val="auto"/>
              </w:rPr>
            </w:pPr>
            <w:r>
              <w:rPr>
                <w:rFonts w:ascii="Arial" w:cs="Arial" w:eastAsia="Arial" w:hAnsi="Arial"/>
                <w:sz w:val="14"/>
                <w:szCs w:val="14"/>
                <w:color w:val="auto"/>
              </w:rPr>
              <w:t>RMB</w:t>
            </w:r>
          </w:p>
        </w:tc>
        <w:tc>
          <w:tcPr>
            <w:tcW w:w="1080" w:type="dxa"/>
            <w:vAlign w:val="bottom"/>
          </w:tcPr>
          <w:p>
            <w:pPr>
              <w:jc w:val="right"/>
              <w:ind w:right="469"/>
              <w:spacing w:after="0" w:line="154" w:lineRule="exact"/>
              <w:rPr>
                <w:sz w:val="20"/>
                <w:szCs w:val="20"/>
                <w:color w:val="auto"/>
              </w:rPr>
            </w:pPr>
            <w:r>
              <w:rPr>
                <w:rFonts w:ascii="Arial" w:cs="Arial" w:eastAsia="Arial" w:hAnsi="Arial"/>
                <w:sz w:val="14"/>
                <w:szCs w:val="14"/>
                <w:color w:val="auto"/>
              </w:rPr>
              <w:t>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(Note 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OPERATING ACTIVITIES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(926,950)</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(395,165)</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(430,988)</w:t>
            </w:r>
          </w:p>
        </w:tc>
        <w:tc>
          <w:tcPr>
            <w:tcW w:w="2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(66,051)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Adjustments to reconcile net loss to net cash generated</w:t>
            </w: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from operating activities: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Share-based compensation</w:t>
            </w:r>
          </w:p>
        </w:tc>
        <w:tc>
          <w:tcPr>
            <w:tcW w:w="1280" w:type="dxa"/>
            <w:vAlign w:val="bottom"/>
          </w:tcPr>
          <w:p>
            <w:pPr>
              <w:jc w:val="right"/>
              <w:spacing w:after="0"/>
              <w:rPr>
                <w:sz w:val="20"/>
                <w:szCs w:val="20"/>
                <w:color w:val="auto"/>
              </w:rPr>
            </w:pPr>
            <w:r>
              <w:rPr>
                <w:rFonts w:ascii="Arial" w:cs="Arial" w:eastAsia="Arial" w:hAnsi="Arial"/>
                <w:sz w:val="14"/>
                <w:szCs w:val="14"/>
                <w:color w:val="auto"/>
              </w:rPr>
              <w:t>3,851</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2,970</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29,748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Depreciation and amortization</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25,778</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37,223</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40,267</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Loss on disposal of property and equipment</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1,824</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7,622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(Gain)/loss from equity method investments</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(1,710)</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2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(1,349)</w:t>
            </w: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Impairment loss on long-term investments</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882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4"/>
                <w:szCs w:val="14"/>
                <w:color w:val="auto"/>
              </w:rPr>
              <w:t>Changes in operating assets and liabilities:</w:t>
            </w: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(92,291)</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(39,769)</w:t>
            </w:r>
          </w:p>
        </w:tc>
        <w:tc>
          <w:tcPr>
            <w:tcW w:w="1280" w:type="dxa"/>
            <w:vAlign w:val="bottom"/>
          </w:tcPr>
          <w:p>
            <w:pPr>
              <w:jc w:val="right"/>
              <w:spacing w:after="0"/>
              <w:rPr>
                <w:sz w:val="20"/>
                <w:szCs w:val="20"/>
                <w:color w:val="auto"/>
              </w:rPr>
            </w:pPr>
            <w:r>
              <w:rPr>
                <w:rFonts w:ascii="Arial" w:cs="Arial" w:eastAsia="Arial" w:hAnsi="Arial"/>
                <w:sz w:val="14"/>
                <w:szCs w:val="14"/>
                <w:color w:val="auto"/>
              </w:rPr>
              <w:t>63,692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costs</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(229,007)</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(121,668)</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120,683</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Right-of-use asset</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(38,805)</w:t>
            </w:r>
          </w:p>
        </w:tc>
        <w:tc>
          <w:tcPr>
            <w:tcW w:w="1280" w:type="dxa"/>
            <w:vAlign w:val="bottom"/>
          </w:tcPr>
          <w:p>
            <w:pPr>
              <w:jc w:val="right"/>
              <w:spacing w:after="0"/>
              <w:rPr>
                <w:sz w:val="20"/>
                <w:szCs w:val="20"/>
                <w:color w:val="auto"/>
              </w:rPr>
            </w:pPr>
            <w:r>
              <w:rPr>
                <w:rFonts w:ascii="Arial" w:cs="Arial" w:eastAsia="Arial" w:hAnsi="Arial"/>
                <w:sz w:val="14"/>
                <w:szCs w:val="14"/>
                <w:color w:val="auto"/>
              </w:rPr>
              <w:t>110,114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tax assets</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(85,513)</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72,498</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Other non-current assets</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(4,286)</w:t>
            </w:r>
          </w:p>
        </w:tc>
        <w:tc>
          <w:tcPr>
            <w:tcW w:w="1280" w:type="dxa"/>
            <w:vAlign w:val="bottom"/>
          </w:tcPr>
          <w:p>
            <w:pPr>
              <w:jc w:val="right"/>
              <w:spacing w:after="0"/>
              <w:rPr>
                <w:sz w:val="20"/>
                <w:szCs w:val="20"/>
                <w:color w:val="auto"/>
              </w:rPr>
            </w:pPr>
            <w:r>
              <w:rPr>
                <w:rFonts w:ascii="Arial" w:cs="Arial" w:eastAsia="Arial" w:hAnsi="Arial"/>
                <w:sz w:val="14"/>
                <w:szCs w:val="14"/>
                <w:color w:val="auto"/>
              </w:rPr>
              <w:t>3,446</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214,697</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25,216</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172,210</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1280" w:type="dxa"/>
            <w:vAlign w:val="bottom"/>
          </w:tcPr>
          <w:p>
            <w:pPr>
              <w:jc w:val="right"/>
              <w:spacing w:after="0"/>
              <w:rPr>
                <w:sz w:val="20"/>
                <w:szCs w:val="20"/>
                <w:color w:val="auto"/>
              </w:rPr>
            </w:pPr>
            <w:r>
              <w:rPr>
                <w:rFonts w:ascii="Arial" w:cs="Arial" w:eastAsia="Arial" w:hAnsi="Arial"/>
                <w:sz w:val="14"/>
                <w:szCs w:val="14"/>
                <w:color w:val="auto"/>
              </w:rPr>
              <w:t>1,175,597</w:t>
            </w:r>
          </w:p>
        </w:tc>
        <w:tc>
          <w:tcPr>
            <w:tcW w:w="24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(57,255)</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(204,327)</w:t>
            </w:r>
          </w:p>
        </w:tc>
        <w:tc>
          <w:tcPr>
            <w:tcW w:w="2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(31,314)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Lease liabilities</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49,253</w:t>
            </w:r>
          </w:p>
        </w:tc>
        <w:tc>
          <w:tcPr>
            <w:tcW w:w="2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(93,242)</w:t>
            </w: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(14,290)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Deferred tax liabilities</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87,954</w:t>
            </w:r>
          </w:p>
        </w:tc>
        <w:tc>
          <w:tcPr>
            <w:tcW w:w="24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(72,734)</w:t>
            </w:r>
          </w:p>
        </w:tc>
        <w:tc>
          <w:tcPr>
            <w:tcW w:w="2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(11,147)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Other non-current liabilities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14,864</w:t>
            </w:r>
          </w:p>
        </w:tc>
        <w:tc>
          <w:tcPr>
            <w:tcW w:w="2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(3,394)</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(3,805)</w:t>
            </w: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54"/>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Net cash generated from/(used in) operating activities</w:t>
            </w: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180,543</w:t>
            </w:r>
          </w:p>
        </w:tc>
        <w:tc>
          <w:tcPr>
            <w:tcW w:w="240" w:type="dxa"/>
            <w:vAlign w:val="bottom"/>
          </w:tcPr>
          <w:p>
            <w:pPr>
              <w:spacing w:after="0"/>
              <w:rPr>
                <w:sz w:val="13"/>
                <w:szCs w:val="13"/>
                <w:color w:val="auto"/>
              </w:rPr>
            </w:pP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(533,547)</w:t>
            </w:r>
          </w:p>
        </w:tc>
        <w:tc>
          <w:tcPr>
            <w:tcW w:w="240" w:type="dxa"/>
            <w:vAlign w:val="bottom"/>
          </w:tcPr>
          <w:p>
            <w:pPr>
              <w:spacing w:after="0"/>
              <w:rPr>
                <w:sz w:val="13"/>
                <w:szCs w:val="13"/>
                <w:color w:val="auto"/>
              </w:rPr>
            </w:pP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(188,641)</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(28,911)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2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Payment for equity method investments</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(25,000)</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(10,153)</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(25,400)</w:t>
            </w:r>
          </w:p>
        </w:tc>
        <w:tc>
          <w:tcPr>
            <w:tcW w:w="2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(3,893)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received from investee due to capital reduction</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Purchase of short-term investments</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(4,352,103)</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(2,108,820)</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(2,195,567)</w:t>
            </w:r>
          </w:p>
        </w:tc>
        <w:tc>
          <w:tcPr>
            <w:tcW w:w="2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(336,485)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Proceeds from maturity of short-term investments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3,708,810</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2,905,788</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1,895,897</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290,559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Acquisition of property and equipment</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(517,763)</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(24,756)</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(12,429)</w:t>
            </w:r>
          </w:p>
        </w:tc>
        <w:tc>
          <w:tcPr>
            <w:tcW w:w="2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Acquisition of intangible assets</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(665)</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(780)</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(880)</w:t>
            </w: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Acquisition of land use right</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(13,655)</w:t>
            </w:r>
          </w:p>
        </w:tc>
        <w:tc>
          <w:tcPr>
            <w:tcW w:w="2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(2,093)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Proceeds from disposal of property and equipment</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652</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Loan to employees</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(33,085)</w:t>
            </w:r>
          </w:p>
        </w:tc>
        <w:tc>
          <w:tcPr>
            <w:tcW w:w="1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Repayment of loan to employees</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 generated from investing activities</w:t>
            </w: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(1,186,721)</w:t>
            </w:r>
          </w:p>
        </w:tc>
        <w:tc>
          <w:tcPr>
            <w:tcW w:w="240" w:type="dxa"/>
            <w:vAlign w:val="bottom"/>
          </w:tcPr>
          <w:p>
            <w:pPr>
              <w:spacing w:after="0"/>
              <w:rPr>
                <w:sz w:val="13"/>
                <w:szCs w:val="13"/>
                <w:color w:val="auto"/>
              </w:rPr>
            </w:pP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729,546</w:t>
            </w:r>
          </w:p>
        </w:tc>
        <w:tc>
          <w:tcPr>
            <w:tcW w:w="240" w:type="dxa"/>
            <w:vAlign w:val="bottom"/>
          </w:tcPr>
          <w:p>
            <w:pPr>
              <w:spacing w:after="0"/>
              <w:rPr>
                <w:sz w:val="13"/>
                <w:szCs w:val="13"/>
                <w:color w:val="auto"/>
              </w:rPr>
            </w:pP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(349,306)</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(53,534)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2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Amounts due from related parties</w:t>
            </w:r>
          </w:p>
        </w:tc>
        <w:tc>
          <w:tcPr>
            <w:tcW w:w="1280" w:type="dxa"/>
            <w:vAlign w:val="bottom"/>
          </w:tcPr>
          <w:p>
            <w:pPr>
              <w:jc w:val="right"/>
              <w:spacing w:after="0"/>
              <w:rPr>
                <w:sz w:val="20"/>
                <w:szCs w:val="20"/>
                <w:color w:val="auto"/>
              </w:rPr>
            </w:pPr>
            <w:r>
              <w:rPr>
                <w:rFonts w:ascii="Arial" w:cs="Arial" w:eastAsia="Arial" w:hAnsi="Arial"/>
                <w:sz w:val="14"/>
                <w:szCs w:val="14"/>
                <w:color w:val="auto"/>
              </w:rPr>
              <w:t>253,672</w:t>
            </w:r>
          </w:p>
        </w:tc>
        <w:tc>
          <w:tcPr>
            <w:tcW w:w="24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FF0FC"/>
          </w:tcPr>
          <w:p>
            <w:pPr>
              <w:ind w:left="220"/>
              <w:spacing w:after="0" w:line="149" w:lineRule="exact"/>
              <w:rPr>
                <w:sz w:val="20"/>
                <w:szCs w:val="20"/>
                <w:color w:val="auto"/>
              </w:rPr>
            </w:pPr>
            <w:r>
              <w:rPr>
                <w:rFonts w:ascii="Arial" w:cs="Arial" w:eastAsia="Arial" w:hAnsi="Arial"/>
                <w:sz w:val="14"/>
                <w:szCs w:val="14"/>
                <w:color w:val="auto"/>
              </w:rPr>
              <w:t>Proceeds from initial public offering, net of issuance</w:t>
            </w: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ind w:left="320"/>
              <w:spacing w:after="0"/>
              <w:rPr>
                <w:sz w:val="20"/>
                <w:szCs w:val="20"/>
                <w:color w:val="auto"/>
              </w:rPr>
            </w:pPr>
            <w:r>
              <w:rPr>
                <w:rFonts w:ascii="Arial" w:cs="Arial" w:eastAsia="Arial" w:hAnsi="Arial"/>
                <w:sz w:val="14"/>
                <w:szCs w:val="14"/>
                <w:color w:val="auto"/>
              </w:rPr>
              <w:t>cost of 80,128</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1,109,517</w:t>
            </w:r>
          </w:p>
        </w:tc>
        <w:tc>
          <w:tcPr>
            <w:tcW w:w="2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7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Payment for share repurchase</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(33,971)</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(31,650)</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(26,579)</w:t>
            </w:r>
          </w:p>
        </w:tc>
        <w:tc>
          <w:tcPr>
            <w:tcW w:w="2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(4,073)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Proceeds from bank loans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260,000</w:t>
            </w:r>
          </w:p>
        </w:tc>
        <w:tc>
          <w:tcPr>
            <w:tcW w:w="2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720" w:type="dxa"/>
            <w:vAlign w:val="bottom"/>
            <w:gridSpan w:val="3"/>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Repayment of bank loans</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(1,875)</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(32,500)</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(32,500)</w:t>
            </w:r>
          </w:p>
        </w:tc>
        <w:tc>
          <w:tcPr>
            <w:tcW w:w="2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(4,981)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generated from / (used in) financing activities</w:t>
            </w: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1,587,343</w:t>
            </w:r>
          </w:p>
        </w:tc>
        <w:tc>
          <w:tcPr>
            <w:tcW w:w="24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(64,150)</w:t>
            </w:r>
          </w:p>
        </w:tc>
        <w:tc>
          <w:tcPr>
            <w:tcW w:w="24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(59,079)</w:t>
            </w: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(9,054)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Effect of exchange rate changes</w:t>
            </w: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108,186</w:t>
            </w:r>
          </w:p>
        </w:tc>
        <w:tc>
          <w:tcPr>
            <w:tcW w:w="24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21,567</w:t>
            </w:r>
          </w:p>
        </w:tc>
        <w:tc>
          <w:tcPr>
            <w:tcW w:w="24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(44,490)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(6,818)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4"/>
                <w:szCs w:val="14"/>
                <w:color w:val="auto"/>
              </w:rPr>
              <w:t>Net increase/(decrease) in cash and cash equivalents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689,351</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153,416</w:t>
            </w:r>
          </w:p>
        </w:tc>
        <w:tc>
          <w:tcPr>
            <w:tcW w:w="2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(641,516)</w:t>
            </w: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(98,317)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Cash and cash equivalents at beginning of the year</w:t>
            </w:r>
          </w:p>
        </w:tc>
        <w:tc>
          <w:tcPr>
            <w:tcW w:w="1280" w:type="dxa"/>
            <w:vAlign w:val="bottom"/>
          </w:tcPr>
          <w:p>
            <w:pPr>
              <w:jc w:val="right"/>
              <w:spacing w:after="0"/>
              <w:rPr>
                <w:sz w:val="20"/>
                <w:szCs w:val="20"/>
                <w:color w:val="auto"/>
              </w:rPr>
            </w:pPr>
            <w:r>
              <w:rPr>
                <w:rFonts w:ascii="Arial" w:cs="Arial" w:eastAsia="Arial" w:hAnsi="Arial"/>
                <w:sz w:val="14"/>
                <w:szCs w:val="14"/>
                <w:color w:val="auto"/>
              </w:rPr>
              <w:t>559,459</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1,248,810</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1,402,226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214,901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Cash and cash equivalents at end of the year</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1,248,810</w:t>
            </w:r>
          </w:p>
        </w:tc>
        <w:tc>
          <w:tcPr>
            <w:tcW w:w="24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1,402,226</w:t>
            </w:r>
          </w:p>
        </w:tc>
        <w:tc>
          <w:tcPr>
            <w:tcW w:w="24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760,710</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116,584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Supplemental schedule of non-cash investing activities:</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32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Payables for leasehold improvement and intangible assets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7,194</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6,818</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7,142</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Payables to acquire buildings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61,540</w:t>
            </w:r>
          </w:p>
        </w:tc>
        <w:tc>
          <w:tcPr>
            <w:tcW w:w="240" w:type="dxa"/>
            <w:vAlign w:val="bottom"/>
            <w:tcBorders>
              <w:bottom w:val="single" w:sz="8" w:color="CFF0FC"/>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61,540</w:t>
            </w:r>
          </w:p>
        </w:tc>
        <w:tc>
          <w:tcPr>
            <w:tcW w:w="240" w:type="dxa"/>
            <w:vAlign w:val="bottom"/>
            <w:tcBorders>
              <w:bottom w:val="single" w:sz="8" w:color="CFF0FC"/>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61,540</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00" w:type="dxa"/>
            <w:vAlign w:val="bottom"/>
            <w:shd w:val="clear" w:color="auto" w:fill="CFF0FC"/>
          </w:tcPr>
          <w:p>
            <w:pPr>
              <w:spacing w:after="0" w:line="139" w:lineRule="exact"/>
              <w:rPr>
                <w:sz w:val="20"/>
                <w:szCs w:val="20"/>
                <w:color w:val="auto"/>
              </w:rPr>
            </w:pPr>
            <w:r>
              <w:rPr>
                <w:rFonts w:ascii="Arial" w:cs="Arial" w:eastAsia="Arial" w:hAnsi="Arial"/>
                <w:sz w:val="14"/>
                <w:szCs w:val="14"/>
                <w:color w:val="auto"/>
              </w:rPr>
              <w:t>Supplemental disclosure of cash flow information:</w:t>
            </w: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Interest paid</w:t>
            </w:r>
          </w:p>
        </w:tc>
        <w:tc>
          <w:tcPr>
            <w:tcW w:w="1280" w:type="dxa"/>
            <w:vAlign w:val="bottom"/>
          </w:tcPr>
          <w:p>
            <w:pPr>
              <w:jc w:val="right"/>
              <w:spacing w:after="0"/>
              <w:rPr>
                <w:sz w:val="20"/>
                <w:szCs w:val="20"/>
                <w:color w:val="auto"/>
              </w:rPr>
            </w:pPr>
            <w:r>
              <w:rPr>
                <w:rFonts w:ascii="Arial" w:cs="Arial" w:eastAsia="Arial" w:hAnsi="Arial"/>
                <w:sz w:val="14"/>
                <w:szCs w:val="14"/>
                <w:color w:val="auto"/>
              </w:rPr>
              <w:t>1,099</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15,316</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11,782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Income tax paid</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181717"/>
        </w:rPr>
        <w:t>The accompanying notes are an integral part of the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351" w:right="33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211" w:lineRule="exact"/>
        <w:rPr>
          <w:sz w:val="20"/>
          <w:szCs w:val="20"/>
          <w:color w:val="auto"/>
        </w:rPr>
      </w:pPr>
    </w:p>
    <w:p>
      <w:pPr>
        <w:ind w:left="780" w:hanging="780"/>
        <w:spacing w:after="0"/>
        <w:tabs>
          <w:tab w:leader="none" w:pos="780" w:val="left"/>
        </w:tabs>
        <w:numPr>
          <w:ilvl w:val="0"/>
          <w:numId w:val="50"/>
        </w:numPr>
        <w:rPr>
          <w:rFonts w:ascii="Arial" w:cs="Arial" w:eastAsia="Arial" w:hAnsi="Arial"/>
          <w:sz w:val="17"/>
          <w:szCs w:val="17"/>
          <w:b w:val="1"/>
          <w:bCs w:val="1"/>
          <w:color w:val="181717"/>
        </w:rPr>
      </w:pPr>
      <w:r>
        <w:rPr>
          <w:rFonts w:ascii="Arial" w:cs="Arial" w:eastAsia="Arial" w:hAnsi="Arial"/>
          <w:sz w:val="17"/>
          <w:szCs w:val="17"/>
          <w:b w:val="1"/>
          <w:bCs w:val="1"/>
          <w:color w:val="181717"/>
        </w:rPr>
        <w:t>ORGANIZATION AND BASIS OF PRESENTATION</w:t>
      </w:r>
    </w:p>
    <w:p>
      <w:pPr>
        <w:spacing w:after="0" w:line="207" w:lineRule="exact"/>
        <w:rPr>
          <w:rFonts w:ascii="Arial" w:cs="Arial" w:eastAsia="Arial" w:hAnsi="Arial"/>
          <w:sz w:val="17"/>
          <w:szCs w:val="17"/>
          <w:b w:val="1"/>
          <w:bCs w:val="1"/>
          <w:color w:val="181717"/>
        </w:rPr>
      </w:pPr>
    </w:p>
    <w:p>
      <w:pPr>
        <w:ind w:left="800"/>
        <w:spacing w:after="0" w:line="254" w:lineRule="auto"/>
        <w:rPr>
          <w:rFonts w:ascii="Arial" w:cs="Arial" w:eastAsia="Arial" w:hAnsi="Arial"/>
          <w:sz w:val="17"/>
          <w:szCs w:val="17"/>
          <w:b w:val="1"/>
          <w:bCs w:val="1"/>
          <w:color w:val="181717"/>
        </w:rPr>
      </w:pPr>
      <w:r>
        <w:rPr>
          <w:rFonts w:ascii="Arial" w:cs="Arial" w:eastAsia="Arial" w:hAnsi="Arial"/>
          <w:sz w:val="17"/>
          <w:szCs w:val="17"/>
          <w:color w:val="auto"/>
        </w:rPr>
        <w:t>Sunlands Technology Group (the “Company” or “Sunlands Technology”) was incorporated under the laws of the Cayman Islands on September 18, 2015. The Company, its subsidiaries, its consolidated variable interest entities (“VIEs”) and VIEs’ subsidiaries (collectively the “Group”) are primarily engaged in providing online education services in the People’s Republic of China (“PRC”</w:t>
      </w:r>
      <w:r>
        <w:rPr>
          <w:rFonts w:ascii="Arial" w:cs="Arial" w:eastAsia="Arial" w:hAnsi="Arial"/>
          <w:sz w:val="17"/>
          <w:szCs w:val="17"/>
          <w:color w:val="181717"/>
        </w:rPr>
        <w:t>).</w:t>
      </w:r>
    </w:p>
    <w:p>
      <w:pPr>
        <w:spacing w:after="0" w:line="176" w:lineRule="exact"/>
        <w:rPr>
          <w:rFonts w:ascii="Arial" w:cs="Arial" w:eastAsia="Arial" w:hAnsi="Arial"/>
          <w:sz w:val="17"/>
          <w:szCs w:val="17"/>
          <w:b w:val="1"/>
          <w:bCs w:val="1"/>
          <w:color w:val="181717"/>
        </w:rPr>
      </w:pPr>
    </w:p>
    <w:p>
      <w:pPr>
        <w:ind w:left="800"/>
        <w:spacing w:after="0"/>
        <w:rPr>
          <w:rFonts w:ascii="Arial" w:cs="Arial" w:eastAsia="Arial" w:hAnsi="Arial"/>
          <w:sz w:val="17"/>
          <w:szCs w:val="17"/>
          <w:b w:val="1"/>
          <w:bCs w:val="1"/>
          <w:color w:val="181717"/>
        </w:rPr>
      </w:pPr>
      <w:r>
        <w:rPr>
          <w:rFonts w:ascii="Arial" w:cs="Arial" w:eastAsia="Arial" w:hAnsi="Arial"/>
          <w:sz w:val="17"/>
          <w:szCs w:val="17"/>
          <w:color w:val="181717"/>
        </w:rPr>
        <w:t>As of December 31, 2020, details of the Company’s major subsidiaries, VIEs and VIEs’ subsidiaries were as follows:</w:t>
      </w:r>
    </w:p>
    <w:p>
      <w:pPr>
        <w:spacing w:after="0" w:line="241" w:lineRule="exact"/>
        <w:rPr>
          <w:sz w:val="20"/>
          <w:szCs w:val="20"/>
          <w:color w:val="auto"/>
        </w:rPr>
      </w:pPr>
    </w:p>
    <w:tbl>
      <w:tblPr>
        <w:tblLayout w:type="fixed"/>
        <w:tblInd w:w="78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5"/>
              </w:rPr>
              <w:t>Percentage</w:t>
            </w:r>
          </w:p>
        </w:tc>
        <w:tc>
          <w:tcPr>
            <w:tcW w:w="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92"/>
              </w:rPr>
              <w:t>of direct</w:t>
            </w:r>
          </w:p>
        </w:tc>
        <w:tc>
          <w:tcPr>
            <w:tcW w:w="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87"/>
              </w:rPr>
              <w:t>Date of</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or indirect</w:t>
            </w:r>
          </w:p>
        </w:tc>
        <w:tc>
          <w:tcPr>
            <w:tcW w:w="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gridSpan w:val="3"/>
            <w:vMerge w:val="restart"/>
          </w:tcPr>
          <w:p>
            <w:pPr>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4"/>
                <w:szCs w:val="14"/>
                <w:color w:val="auto"/>
              </w:rPr>
              <w:t>(1)</w:t>
            </w:r>
          </w:p>
        </w:tc>
        <w:tc>
          <w:tcPr>
            <w:tcW w:w="1420" w:type="dxa"/>
            <w:vAlign w:val="bottom"/>
          </w:tcPr>
          <w:p>
            <w:pPr>
              <w:jc w:val="center"/>
              <w:spacing w:after="0"/>
              <w:rPr>
                <w:sz w:val="20"/>
                <w:szCs w:val="20"/>
                <w:color w:val="auto"/>
              </w:rPr>
            </w:pPr>
            <w:r>
              <w:rPr>
                <w:rFonts w:ascii="Arial" w:cs="Arial" w:eastAsia="Arial" w:hAnsi="Arial"/>
                <w:sz w:val="17"/>
                <w:szCs w:val="17"/>
                <w:color w:val="auto"/>
                <w:w w:val="87"/>
              </w:rPr>
              <w:t>establishment/</w:t>
            </w: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7"/>
                <w:szCs w:val="17"/>
                <w:color w:val="auto"/>
                <w:w w:val="87"/>
              </w:rPr>
              <w:t>Place of</w:t>
            </w: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economic</w:t>
            </w:r>
          </w:p>
        </w:tc>
        <w:tc>
          <w:tcPr>
            <w:tcW w:w="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00" w:type="dxa"/>
            <w:vAlign w:val="bottom"/>
            <w:gridSpan w:val="3"/>
            <w:vMerge w:val="continue"/>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89"/>
              </w:rPr>
              <w:t>acquisition</w:t>
            </w:r>
          </w:p>
        </w:tc>
        <w:tc>
          <w:tcPr>
            <w:tcW w:w="1100" w:type="dxa"/>
            <w:vAlign w:val="bottom"/>
            <w:gridSpan w:val="3"/>
          </w:tcPr>
          <w:p>
            <w:pPr>
              <w:jc w:val="center"/>
              <w:ind w:right="20"/>
              <w:spacing w:after="0"/>
              <w:rPr>
                <w:sz w:val="20"/>
                <w:szCs w:val="20"/>
                <w:color w:val="auto"/>
              </w:rPr>
            </w:pPr>
            <w:r>
              <w:rPr>
                <w:rFonts w:ascii="Arial" w:cs="Arial" w:eastAsia="Arial" w:hAnsi="Arial"/>
                <w:sz w:val="17"/>
                <w:szCs w:val="17"/>
                <w:color w:val="auto"/>
                <w:w w:val="87"/>
              </w:rPr>
              <w:t>establishment</w:t>
            </w:r>
          </w:p>
        </w:tc>
        <w:tc>
          <w:tcPr>
            <w:tcW w:w="980" w:type="dxa"/>
            <w:vAlign w:val="bottom"/>
          </w:tcPr>
          <w:p>
            <w:pPr>
              <w:jc w:val="center"/>
              <w:spacing w:after="0"/>
              <w:rPr>
                <w:sz w:val="20"/>
                <w:szCs w:val="20"/>
                <w:color w:val="auto"/>
              </w:rPr>
            </w:pPr>
            <w:r>
              <w:rPr>
                <w:rFonts w:ascii="Arial" w:cs="Arial" w:eastAsia="Arial" w:hAnsi="Arial"/>
                <w:sz w:val="17"/>
                <w:szCs w:val="17"/>
                <w:color w:val="auto"/>
                <w:w w:val="90"/>
              </w:rPr>
              <w:t>ownership</w:t>
            </w:r>
          </w:p>
        </w:tc>
        <w:tc>
          <w:tcPr>
            <w:tcW w:w="160" w:type="dxa"/>
            <w:vAlign w:val="bottom"/>
          </w:tcPr>
          <w:p>
            <w:pPr>
              <w:spacing w:after="0"/>
              <w:rPr>
                <w:sz w:val="18"/>
                <w:szCs w:val="18"/>
                <w:color w:val="auto"/>
              </w:rPr>
            </w:pPr>
          </w:p>
        </w:tc>
        <w:tc>
          <w:tcPr>
            <w:tcW w:w="2520" w:type="dxa"/>
            <w:vAlign w:val="bottom"/>
          </w:tcPr>
          <w:p>
            <w:pPr>
              <w:ind w:left="620"/>
              <w:spacing w:after="0"/>
              <w:rPr>
                <w:sz w:val="20"/>
                <w:szCs w:val="20"/>
                <w:color w:val="auto"/>
              </w:rPr>
            </w:pPr>
            <w:r>
              <w:rPr>
                <w:rFonts w:ascii="Arial" w:cs="Arial" w:eastAsia="Arial" w:hAnsi="Arial"/>
                <w:sz w:val="17"/>
                <w:szCs w:val="17"/>
                <w:color w:val="auto"/>
              </w:rPr>
              <w:t>Principal activities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Subsidiaries:</w:t>
            </w:r>
          </w:p>
        </w:tc>
        <w:tc>
          <w:tcPr>
            <w:tcW w:w="8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5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Sunlands Online Education HK</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7"/>
                <w:szCs w:val="17"/>
                <w:color w:val="auto"/>
              </w:rPr>
              <w:t>Limited ("Sunlands HK")</w:t>
            </w:r>
          </w:p>
        </w:tc>
        <w:tc>
          <w:tcPr>
            <w:tcW w:w="1420" w:type="dxa"/>
            <w:vAlign w:val="bottom"/>
          </w:tcPr>
          <w:p>
            <w:pPr>
              <w:jc w:val="center"/>
              <w:spacing w:after="0"/>
              <w:rPr>
                <w:sz w:val="20"/>
                <w:szCs w:val="20"/>
                <w:color w:val="auto"/>
              </w:rPr>
            </w:pPr>
            <w:r>
              <w:rPr>
                <w:rFonts w:ascii="Arial" w:cs="Arial" w:eastAsia="Arial" w:hAnsi="Arial"/>
                <w:sz w:val="17"/>
                <w:szCs w:val="17"/>
                <w:color w:val="auto"/>
                <w:w w:val="88"/>
              </w:rPr>
              <w:t>October 6, 2015</w:t>
            </w: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HongKong</w:t>
            </w: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2680" w:type="dxa"/>
            <w:vAlign w:val="bottom"/>
            <w:gridSpan w:val="2"/>
          </w:tcPr>
          <w:p>
            <w:pPr>
              <w:ind w:left="16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Wuhan Studyvip Online Education Co.,</w:t>
            </w: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w w:val="97"/>
              </w:rPr>
              <w:t>Provision of technical consultation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Ltd. ("Wuhan Zhibo")</w:t>
            </w:r>
          </w:p>
        </w:tc>
        <w:tc>
          <w:tcPr>
            <w:tcW w:w="14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August 2, 2017</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9"/>
              </w:rPr>
              <w:t>PRC</w:t>
            </w:r>
          </w:p>
        </w:tc>
        <w:tc>
          <w:tcPr>
            <w:tcW w:w="9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7"/>
              </w:rPr>
              <w:t>100%</w:t>
            </w:r>
          </w:p>
        </w:tc>
        <w:tc>
          <w:tcPr>
            <w:tcW w:w="26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and services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Tianjin Studyvip Education Co.,</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80" w:type="dxa"/>
            <w:vAlign w:val="bottom"/>
            <w:gridSpan w:val="2"/>
          </w:tcPr>
          <w:p>
            <w:pPr>
              <w:ind w:left="160"/>
              <w:spacing w:after="0"/>
              <w:rPr>
                <w:sz w:val="20"/>
                <w:szCs w:val="20"/>
                <w:color w:val="auto"/>
              </w:rPr>
            </w:pPr>
            <w:r>
              <w:rPr>
                <w:rFonts w:ascii="Arial" w:cs="Arial" w:eastAsia="Arial" w:hAnsi="Arial"/>
                <w:sz w:val="17"/>
                <w:szCs w:val="17"/>
                <w:color w:val="auto"/>
                <w:w w:val="97"/>
              </w:rPr>
              <w:t>Provision of technical consultation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7"/>
                <w:szCs w:val="17"/>
                <w:color w:val="auto"/>
              </w:rPr>
              <w:t>Limited ("Tianjin Sunlands")</w:t>
            </w:r>
          </w:p>
        </w:tc>
        <w:tc>
          <w:tcPr>
            <w:tcW w:w="1420" w:type="dxa"/>
            <w:vAlign w:val="bottom"/>
          </w:tcPr>
          <w:p>
            <w:pPr>
              <w:jc w:val="center"/>
              <w:spacing w:after="0"/>
              <w:rPr>
                <w:sz w:val="20"/>
                <w:szCs w:val="20"/>
                <w:color w:val="auto"/>
              </w:rPr>
            </w:pPr>
            <w:r>
              <w:rPr>
                <w:rFonts w:ascii="Arial" w:cs="Arial" w:eastAsia="Arial" w:hAnsi="Arial"/>
                <w:sz w:val="17"/>
                <w:szCs w:val="17"/>
                <w:color w:val="auto"/>
                <w:w w:val="88"/>
              </w:rPr>
              <w:t>July 31, 2017</w:t>
            </w: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PRC</w:t>
            </w:r>
          </w:p>
        </w:tc>
        <w:tc>
          <w:tcPr>
            <w:tcW w:w="98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2680" w:type="dxa"/>
            <w:vAlign w:val="bottom"/>
            <w:gridSpan w:val="2"/>
          </w:tcPr>
          <w:p>
            <w:pPr>
              <w:ind w:left="160"/>
              <w:spacing w:after="0"/>
              <w:rPr>
                <w:sz w:val="20"/>
                <w:szCs w:val="20"/>
                <w:color w:val="auto"/>
              </w:rPr>
            </w:pPr>
            <w:r>
              <w:rPr>
                <w:rFonts w:ascii="Arial" w:cs="Arial" w:eastAsia="Arial" w:hAnsi="Arial"/>
                <w:sz w:val="17"/>
                <w:szCs w:val="17"/>
                <w:color w:val="auto"/>
              </w:rPr>
              <w:t>and services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Wuhan Shangde Online Education</w:t>
            </w: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Technology Co., Ltd.</w:t>
            </w:r>
          </w:p>
        </w:tc>
        <w:tc>
          <w:tcPr>
            <w:tcW w:w="14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5"/>
              </w:rPr>
              <w:t>June 25, 2019</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9"/>
              </w:rPr>
              <w:t>PRC</w:t>
            </w:r>
          </w:p>
        </w:tc>
        <w:tc>
          <w:tcPr>
            <w:tcW w:w="9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7"/>
              </w:rPr>
              <w:t>100%</w:t>
            </w:r>
          </w:p>
        </w:tc>
        <w:tc>
          <w:tcPr>
            <w:tcW w:w="26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Provision of education services</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Variable interest entities ("VIEs"):</w:t>
            </w: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Beijing Shangde Online Education</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tcPr>
          <w:p>
            <w:pPr>
              <w:ind w:left="100"/>
              <w:spacing w:after="0"/>
              <w:rPr>
                <w:sz w:val="20"/>
                <w:szCs w:val="20"/>
                <w:color w:val="auto"/>
              </w:rPr>
            </w:pPr>
            <w:r>
              <w:rPr>
                <w:rFonts w:ascii="Arial" w:cs="Arial" w:eastAsia="Arial" w:hAnsi="Arial"/>
                <w:sz w:val="17"/>
                <w:szCs w:val="17"/>
                <w:color w:val="auto"/>
              </w:rPr>
              <w:t>Technology Co., Ltd. ("Beijing</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80" w:type="dxa"/>
            <w:vAlign w:val="bottom"/>
            <w:gridSpan w:val="2"/>
          </w:tcPr>
          <w:p>
            <w:pPr>
              <w:ind w:left="160"/>
              <w:spacing w:after="0"/>
              <w:rPr>
                <w:sz w:val="20"/>
                <w:szCs w:val="20"/>
                <w:color w:val="auto"/>
              </w:rPr>
            </w:pPr>
            <w:r>
              <w:rPr>
                <w:rFonts w:ascii="Arial" w:cs="Arial" w:eastAsia="Arial" w:hAnsi="Arial"/>
                <w:sz w:val="17"/>
                <w:szCs w:val="17"/>
                <w:color w:val="auto"/>
                <w:w w:val="93"/>
              </w:rPr>
              <w:t>Investment holding and provision of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7"/>
                <w:szCs w:val="17"/>
                <w:color w:val="auto"/>
              </w:rPr>
              <w:t>Sunlands")</w:t>
            </w:r>
          </w:p>
        </w:tc>
        <w:tc>
          <w:tcPr>
            <w:tcW w:w="1420" w:type="dxa"/>
            <w:vAlign w:val="bottom"/>
          </w:tcPr>
          <w:p>
            <w:pPr>
              <w:jc w:val="center"/>
              <w:spacing w:after="0"/>
              <w:rPr>
                <w:sz w:val="20"/>
                <w:szCs w:val="20"/>
                <w:color w:val="auto"/>
              </w:rPr>
            </w:pPr>
            <w:r>
              <w:rPr>
                <w:rFonts w:ascii="Arial" w:cs="Arial" w:eastAsia="Arial" w:hAnsi="Arial"/>
                <w:sz w:val="17"/>
                <w:szCs w:val="17"/>
                <w:color w:val="auto"/>
                <w:w w:val="85"/>
              </w:rPr>
              <w:t>September 27, 2013</w:t>
            </w: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PRC</w:t>
            </w:r>
          </w:p>
        </w:tc>
        <w:tc>
          <w:tcPr>
            <w:tcW w:w="980" w:type="dxa"/>
            <w:vAlign w:val="bottom"/>
          </w:tcPr>
          <w:p>
            <w:pPr>
              <w:jc w:val="center"/>
              <w:spacing w:after="0"/>
              <w:rPr>
                <w:sz w:val="20"/>
                <w:szCs w:val="20"/>
                <w:color w:val="auto"/>
              </w:rPr>
            </w:pPr>
            <w:r>
              <w:rPr>
                <w:rFonts w:ascii="Arial" w:cs="Arial" w:eastAsia="Arial" w:hAnsi="Arial"/>
                <w:sz w:val="17"/>
                <w:szCs w:val="17"/>
                <w:color w:val="auto"/>
              </w:rPr>
              <w:t>N/A*</w:t>
            </w:r>
          </w:p>
        </w:tc>
        <w:tc>
          <w:tcPr>
            <w:tcW w:w="2680" w:type="dxa"/>
            <w:vAlign w:val="bottom"/>
            <w:gridSpan w:val="2"/>
          </w:tcPr>
          <w:p>
            <w:pPr>
              <w:ind w:left="160"/>
              <w:spacing w:after="0"/>
              <w:rPr>
                <w:sz w:val="20"/>
                <w:szCs w:val="20"/>
                <w:color w:val="auto"/>
              </w:rPr>
            </w:pPr>
            <w:r>
              <w:rPr>
                <w:rFonts w:ascii="Arial" w:cs="Arial" w:eastAsia="Arial" w:hAnsi="Arial"/>
                <w:sz w:val="17"/>
                <w:szCs w:val="17"/>
                <w:color w:val="auto"/>
              </w:rPr>
              <w:t>education services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Tianjin Shangde Online Education</w:t>
            </w: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Technology Co., Ltd. ("Tianjin</w:t>
            </w: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Shangde")</w:t>
            </w:r>
          </w:p>
        </w:tc>
        <w:tc>
          <w:tcPr>
            <w:tcW w:w="14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8"/>
              </w:rPr>
              <w:t>March 21, 2018</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9"/>
              </w:rPr>
              <w:t>PRC</w:t>
            </w:r>
          </w:p>
        </w:tc>
        <w:tc>
          <w:tcPr>
            <w:tcW w:w="98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N/A*</w:t>
            </w:r>
          </w:p>
        </w:tc>
        <w:tc>
          <w:tcPr>
            <w:tcW w:w="26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Provision of education services</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VIEs’ subsidiaries:</w:t>
            </w: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Beijing Shangzhi Jiaye Education</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7"/>
                <w:szCs w:val="17"/>
                <w:color w:val="auto"/>
              </w:rPr>
              <w:t>Technology Co., Ltd.</w:t>
            </w:r>
          </w:p>
        </w:tc>
        <w:tc>
          <w:tcPr>
            <w:tcW w:w="1420" w:type="dxa"/>
            <w:vAlign w:val="bottom"/>
          </w:tcPr>
          <w:p>
            <w:pPr>
              <w:jc w:val="center"/>
              <w:spacing w:after="0"/>
              <w:rPr>
                <w:sz w:val="20"/>
                <w:szCs w:val="20"/>
                <w:color w:val="auto"/>
              </w:rPr>
            </w:pPr>
            <w:r>
              <w:rPr>
                <w:rFonts w:ascii="Arial" w:cs="Arial" w:eastAsia="Arial" w:hAnsi="Arial"/>
                <w:sz w:val="17"/>
                <w:szCs w:val="17"/>
                <w:color w:val="auto"/>
                <w:w w:val="88"/>
              </w:rPr>
              <w:t>March 13, 2012</w:t>
            </w: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PRC</w:t>
            </w:r>
          </w:p>
        </w:tc>
        <w:tc>
          <w:tcPr>
            <w:tcW w:w="980" w:type="dxa"/>
            <w:vAlign w:val="bottom"/>
          </w:tcPr>
          <w:p>
            <w:pPr>
              <w:jc w:val="center"/>
              <w:spacing w:after="0"/>
              <w:rPr>
                <w:sz w:val="20"/>
                <w:szCs w:val="20"/>
                <w:color w:val="auto"/>
              </w:rPr>
            </w:pPr>
            <w:r>
              <w:rPr>
                <w:rFonts w:ascii="Arial" w:cs="Arial" w:eastAsia="Arial" w:hAnsi="Arial"/>
                <w:sz w:val="17"/>
                <w:szCs w:val="17"/>
                <w:color w:val="auto"/>
              </w:rPr>
              <w:t>N/A*</w:t>
            </w:r>
          </w:p>
        </w:tc>
        <w:tc>
          <w:tcPr>
            <w:tcW w:w="2680" w:type="dxa"/>
            <w:vAlign w:val="bottom"/>
            <w:gridSpan w:val="2"/>
          </w:tcPr>
          <w:p>
            <w:pPr>
              <w:ind w:left="160"/>
              <w:spacing w:after="0"/>
              <w:rPr>
                <w:sz w:val="20"/>
                <w:szCs w:val="20"/>
                <w:color w:val="auto"/>
              </w:rPr>
            </w:pPr>
            <w:r>
              <w:rPr>
                <w:rFonts w:ascii="Arial" w:cs="Arial" w:eastAsia="Arial" w:hAnsi="Arial"/>
                <w:sz w:val="17"/>
                <w:szCs w:val="17"/>
                <w:color w:val="auto"/>
              </w:rPr>
              <w:t>Provision of education services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Beijing Shangren Chongye Education</w:t>
            </w: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Technology Co., Ltd.</w:t>
            </w:r>
          </w:p>
        </w:tc>
        <w:tc>
          <w:tcPr>
            <w:tcW w:w="14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5"/>
              </w:rPr>
              <w:t>September 27, 2013</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9"/>
              </w:rPr>
              <w:t>PRC</w:t>
            </w:r>
          </w:p>
        </w:tc>
        <w:tc>
          <w:tcPr>
            <w:tcW w:w="98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N/A*</w:t>
            </w:r>
          </w:p>
        </w:tc>
        <w:tc>
          <w:tcPr>
            <w:tcW w:w="26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Provision of education services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Guangzhou Shangzhi Side Education</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7"/>
                <w:szCs w:val="17"/>
                <w:color w:val="auto"/>
              </w:rPr>
              <w:t>Technology Co., Ltd.</w:t>
            </w:r>
          </w:p>
        </w:tc>
        <w:tc>
          <w:tcPr>
            <w:tcW w:w="1420" w:type="dxa"/>
            <w:vAlign w:val="bottom"/>
          </w:tcPr>
          <w:p>
            <w:pPr>
              <w:jc w:val="center"/>
              <w:spacing w:after="0"/>
              <w:rPr>
                <w:sz w:val="20"/>
                <w:szCs w:val="20"/>
                <w:color w:val="auto"/>
              </w:rPr>
            </w:pPr>
            <w:r>
              <w:rPr>
                <w:rFonts w:ascii="Arial" w:cs="Arial" w:eastAsia="Arial" w:hAnsi="Arial"/>
                <w:sz w:val="17"/>
                <w:szCs w:val="17"/>
                <w:color w:val="auto"/>
                <w:w w:val="85"/>
              </w:rPr>
              <w:t>September 28, 2017</w:t>
            </w: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PRC</w:t>
            </w:r>
          </w:p>
        </w:tc>
        <w:tc>
          <w:tcPr>
            <w:tcW w:w="980" w:type="dxa"/>
            <w:vAlign w:val="bottom"/>
          </w:tcPr>
          <w:p>
            <w:pPr>
              <w:jc w:val="center"/>
              <w:spacing w:after="0"/>
              <w:rPr>
                <w:sz w:val="20"/>
                <w:szCs w:val="20"/>
                <w:color w:val="auto"/>
              </w:rPr>
            </w:pPr>
            <w:r>
              <w:rPr>
                <w:rFonts w:ascii="Arial" w:cs="Arial" w:eastAsia="Arial" w:hAnsi="Arial"/>
                <w:sz w:val="17"/>
                <w:szCs w:val="17"/>
                <w:color w:val="auto"/>
              </w:rPr>
              <w:t>N/A*</w:t>
            </w:r>
          </w:p>
        </w:tc>
        <w:tc>
          <w:tcPr>
            <w:tcW w:w="2680" w:type="dxa"/>
            <w:vAlign w:val="bottom"/>
            <w:gridSpan w:val="2"/>
          </w:tcPr>
          <w:p>
            <w:pPr>
              <w:ind w:left="160"/>
              <w:spacing w:after="0"/>
              <w:rPr>
                <w:sz w:val="20"/>
                <w:szCs w:val="20"/>
                <w:color w:val="auto"/>
              </w:rPr>
            </w:pPr>
            <w:r>
              <w:rPr>
                <w:rFonts w:ascii="Arial" w:cs="Arial" w:eastAsia="Arial" w:hAnsi="Arial"/>
                <w:sz w:val="17"/>
                <w:szCs w:val="17"/>
                <w:color w:val="auto"/>
              </w:rPr>
              <w:t>Provision of education services</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800"/>
        <w:spacing w:after="0"/>
        <w:rPr>
          <w:sz w:val="20"/>
          <w:szCs w:val="20"/>
          <w:color w:val="auto"/>
        </w:rPr>
      </w:pPr>
      <w:r>
        <w:rPr>
          <w:rFonts w:ascii="Arial" w:cs="Arial" w:eastAsia="Arial" w:hAnsi="Arial"/>
          <w:sz w:val="13"/>
          <w:szCs w:val="13"/>
          <w:color w:val="181717"/>
        </w:rPr>
        <w:t>* These entities are controlled by the Company pursuant to the contractual agreements disclosed below.</w:t>
      </w:r>
    </w:p>
    <w:p>
      <w:pPr>
        <w:spacing w:after="0" w:line="212" w:lineRule="exact"/>
        <w:rPr>
          <w:sz w:val="20"/>
          <w:szCs w:val="20"/>
          <w:color w:val="auto"/>
        </w:rPr>
      </w:pPr>
    </w:p>
    <w:p>
      <w:pPr>
        <w:ind w:left="1780" w:hanging="1008"/>
        <w:spacing w:after="0"/>
        <w:tabs>
          <w:tab w:leader="none" w:pos="1780" w:val="left"/>
        </w:tabs>
        <w:numPr>
          <w:ilvl w:val="0"/>
          <w:numId w:val="51"/>
        </w:numPr>
        <w:rPr>
          <w:rFonts w:ascii="Arial" w:cs="Arial" w:eastAsia="Arial" w:hAnsi="Arial"/>
          <w:sz w:val="13"/>
          <w:szCs w:val="13"/>
          <w:color w:val="auto"/>
        </w:rPr>
      </w:pPr>
      <w:r>
        <w:rPr>
          <w:rFonts w:ascii="Arial" w:cs="Arial" w:eastAsia="Arial" w:hAnsi="Arial"/>
          <w:sz w:val="13"/>
          <w:szCs w:val="13"/>
          <w:color w:val="181717"/>
        </w:rPr>
        <w:t>The English names are for identification purpose only.</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373" w:lineRule="exact"/>
        <w:rPr>
          <w:sz w:val="20"/>
          <w:szCs w:val="20"/>
          <w:color w:val="auto"/>
        </w:rPr>
      </w:pPr>
    </w:p>
    <w:p>
      <w:pPr>
        <w:ind w:left="800" w:right="7280" w:hanging="800"/>
        <w:spacing w:after="0" w:line="540" w:lineRule="auto"/>
        <w:tabs>
          <w:tab w:leader="none" w:pos="790" w:val="left"/>
        </w:tabs>
        <w:numPr>
          <w:ilvl w:val="0"/>
          <w:numId w:val="52"/>
        </w:numPr>
        <w:rPr>
          <w:rFonts w:ascii="Arial" w:cs="Arial" w:eastAsia="Arial" w:hAnsi="Arial"/>
          <w:sz w:val="15"/>
          <w:szCs w:val="15"/>
          <w:b w:val="1"/>
          <w:bCs w:val="1"/>
          <w:color w:val="181717"/>
        </w:rPr>
      </w:pPr>
      <w:r>
        <w:rPr>
          <w:rFonts w:ascii="Arial" w:cs="Arial" w:eastAsia="Arial" w:hAnsi="Arial"/>
          <w:sz w:val="15"/>
          <w:szCs w:val="15"/>
          <w:b w:val="1"/>
          <w:bCs w:val="1"/>
          <w:color w:val="181717"/>
        </w:rPr>
        <w:t xml:space="preserve">SIGNIFICANT ACCOUNTING POLICIES </w:t>
      </w:r>
      <w:r>
        <w:rPr>
          <w:rFonts w:ascii="Arial" w:cs="Arial" w:eastAsia="Arial" w:hAnsi="Arial"/>
          <w:sz w:val="15"/>
          <w:szCs w:val="15"/>
          <w:b w:val="1"/>
          <w:bCs w:val="1"/>
          <w:i w:val="1"/>
          <w:iCs w:val="1"/>
          <w:color w:val="181717"/>
        </w:rPr>
        <w:t>Basis of presentation and use of estimates</w:t>
      </w:r>
    </w:p>
    <w:p>
      <w:pPr>
        <w:ind w:left="800"/>
        <w:spacing w:after="0" w:line="264" w:lineRule="auto"/>
        <w:rPr>
          <w:rFonts w:ascii="Arial" w:cs="Arial" w:eastAsia="Arial" w:hAnsi="Arial"/>
          <w:sz w:val="15"/>
          <w:szCs w:val="15"/>
          <w:b w:val="1"/>
          <w:bCs w:val="1"/>
          <w:color w:val="181717"/>
        </w:rPr>
      </w:pPr>
      <w:r>
        <w:rPr>
          <w:rFonts w:ascii="Arial" w:cs="Arial" w:eastAsia="Arial" w:hAnsi="Arial"/>
          <w:sz w:val="17"/>
          <w:szCs w:val="17"/>
          <w:color w:val="181717"/>
        </w:rPr>
        <w:t>The accompanying consolidated financial statements have been prepared in accordance with accounting principles generally accepted in the United States of America (“U.S. GAAP”).</w:t>
      </w:r>
    </w:p>
    <w:p>
      <w:pPr>
        <w:spacing w:after="0" w:line="155" w:lineRule="exact"/>
        <w:rPr>
          <w:rFonts w:ascii="Arial" w:cs="Arial" w:eastAsia="Arial" w:hAnsi="Arial"/>
          <w:sz w:val="15"/>
          <w:szCs w:val="15"/>
          <w:b w:val="1"/>
          <w:bCs w:val="1"/>
          <w:color w:val="181717"/>
        </w:rPr>
      </w:pPr>
    </w:p>
    <w:p>
      <w:pPr>
        <w:ind w:left="800"/>
        <w:spacing w:after="0" w:line="269" w:lineRule="auto"/>
        <w:rPr>
          <w:rFonts w:ascii="Arial" w:cs="Arial" w:eastAsia="Arial" w:hAnsi="Arial"/>
          <w:sz w:val="15"/>
          <w:szCs w:val="15"/>
          <w:b w:val="1"/>
          <w:bCs w:val="1"/>
          <w:color w:val="181717"/>
        </w:rPr>
      </w:pPr>
      <w:r>
        <w:rPr>
          <w:rFonts w:ascii="Arial" w:cs="Arial" w:eastAsia="Arial" w:hAnsi="Arial"/>
          <w:sz w:val="16"/>
          <w:szCs w:val="16"/>
          <w:color w:val="181717"/>
        </w:rPr>
        <w:t>The preparation of consolidated financial statements in conformity with U.S. GAAP requires management to make estimates and assumptions that affect the reported amounts of assets and liabilities, disclosures of contingent assets and liabilities at the balance sheet dates and the reported amounts of revenues and expenses during the reporting periods. Significant estimates and assumptions reflected in the Group’s financial statements include, but are not limited to, consolidation of VIEs, valuation allowance for deferred tax assets, the variable consideration to be earned for certain online courses and impairment of long-term assets. Actual results could materially differ from those estimates.</w:t>
      </w:r>
    </w:p>
    <w:p>
      <w:pPr>
        <w:spacing w:after="0" w:line="152" w:lineRule="exact"/>
        <w:rPr>
          <w:rFonts w:ascii="Arial" w:cs="Arial" w:eastAsia="Arial" w:hAnsi="Arial"/>
          <w:sz w:val="15"/>
          <w:szCs w:val="15"/>
          <w:b w:val="1"/>
          <w:bCs w:val="1"/>
          <w:color w:val="181717"/>
        </w:rPr>
      </w:pPr>
    </w:p>
    <w:p>
      <w:pPr>
        <w:ind w:left="800"/>
        <w:spacing w:after="0"/>
        <w:rPr>
          <w:rFonts w:ascii="Arial" w:cs="Arial" w:eastAsia="Arial" w:hAnsi="Arial"/>
          <w:sz w:val="15"/>
          <w:szCs w:val="15"/>
          <w:b w:val="1"/>
          <w:bCs w:val="1"/>
          <w:color w:val="181717"/>
        </w:rPr>
      </w:pPr>
      <w:r>
        <w:rPr>
          <w:rFonts w:ascii="Arial" w:cs="Arial" w:eastAsia="Arial" w:hAnsi="Arial"/>
          <w:sz w:val="17"/>
          <w:szCs w:val="17"/>
          <w:b w:val="1"/>
          <w:bCs w:val="1"/>
          <w:i w:val="1"/>
          <w:iCs w:val="1"/>
          <w:color w:val="181717"/>
        </w:rPr>
        <w:t>Principles of consolidation</w:t>
      </w:r>
    </w:p>
    <w:p>
      <w:pPr>
        <w:spacing w:after="0" w:line="190" w:lineRule="exact"/>
        <w:rPr>
          <w:rFonts w:ascii="Arial" w:cs="Arial" w:eastAsia="Arial" w:hAnsi="Arial"/>
          <w:sz w:val="15"/>
          <w:szCs w:val="15"/>
          <w:b w:val="1"/>
          <w:bCs w:val="1"/>
          <w:color w:val="181717"/>
        </w:rPr>
      </w:pPr>
    </w:p>
    <w:p>
      <w:pPr>
        <w:ind w:left="800" w:right="800"/>
        <w:spacing w:after="0" w:line="264" w:lineRule="auto"/>
        <w:rPr>
          <w:rFonts w:ascii="Arial" w:cs="Arial" w:eastAsia="Arial" w:hAnsi="Arial"/>
          <w:sz w:val="15"/>
          <w:szCs w:val="15"/>
          <w:b w:val="1"/>
          <w:bCs w:val="1"/>
          <w:color w:val="181717"/>
        </w:rPr>
      </w:pPr>
      <w:r>
        <w:rPr>
          <w:rFonts w:ascii="Arial" w:cs="Arial" w:eastAsia="Arial" w:hAnsi="Arial"/>
          <w:sz w:val="17"/>
          <w:szCs w:val="17"/>
          <w:color w:val="181717"/>
        </w:rPr>
        <w:t>The consolidated financial statements include the financial statements of the Company and its subsidiaries, and VIEs and VIEs’ subsidiaries. All intercompany transactions and balances were eliminated upon consolidation.</w:t>
      </w:r>
    </w:p>
    <w:p>
      <w:pPr>
        <w:spacing w:after="0" w:line="192" w:lineRule="exact"/>
        <w:rPr>
          <w:rFonts w:ascii="Arial" w:cs="Arial" w:eastAsia="Arial" w:hAnsi="Arial"/>
          <w:sz w:val="15"/>
          <w:szCs w:val="15"/>
          <w:b w:val="1"/>
          <w:bCs w:val="1"/>
          <w:color w:val="181717"/>
        </w:rPr>
      </w:pPr>
    </w:p>
    <w:p>
      <w:pPr>
        <w:ind w:left="800"/>
        <w:spacing w:after="0"/>
        <w:rPr>
          <w:rFonts w:ascii="Arial" w:cs="Arial" w:eastAsia="Arial" w:hAnsi="Arial"/>
          <w:sz w:val="15"/>
          <w:szCs w:val="15"/>
          <w:b w:val="1"/>
          <w:bCs w:val="1"/>
          <w:color w:val="181717"/>
        </w:rPr>
      </w:pPr>
      <w:r>
        <w:rPr>
          <w:rFonts w:ascii="Arial" w:cs="Arial" w:eastAsia="Arial" w:hAnsi="Arial"/>
          <w:sz w:val="17"/>
          <w:szCs w:val="17"/>
          <w:b w:val="1"/>
          <w:bCs w:val="1"/>
          <w:i w:val="1"/>
          <w:iCs w:val="1"/>
          <w:color w:val="auto"/>
        </w:rPr>
        <w:t>The VIE arrangements</w:t>
      </w:r>
    </w:p>
    <w:p>
      <w:pPr>
        <w:spacing w:after="0" w:line="203" w:lineRule="exact"/>
        <w:rPr>
          <w:rFonts w:ascii="Arial" w:cs="Arial" w:eastAsia="Arial" w:hAnsi="Arial"/>
          <w:sz w:val="15"/>
          <w:szCs w:val="15"/>
          <w:b w:val="1"/>
          <w:bCs w:val="1"/>
          <w:color w:val="181717"/>
        </w:rPr>
      </w:pPr>
    </w:p>
    <w:p>
      <w:pPr>
        <w:ind w:left="800" w:right="20"/>
        <w:spacing w:after="0" w:line="283" w:lineRule="auto"/>
        <w:rPr>
          <w:rFonts w:ascii="Arial" w:cs="Arial" w:eastAsia="Arial" w:hAnsi="Arial"/>
          <w:sz w:val="15"/>
          <w:szCs w:val="15"/>
          <w:b w:val="1"/>
          <w:bCs w:val="1"/>
          <w:color w:val="181717"/>
        </w:rPr>
      </w:pPr>
      <w:r>
        <w:rPr>
          <w:rFonts w:ascii="Arial" w:cs="Arial" w:eastAsia="Arial" w:hAnsi="Arial"/>
          <w:sz w:val="15"/>
          <w:szCs w:val="15"/>
          <w:color w:val="auto"/>
        </w:rPr>
        <w:t>There are some uncertainties as to whether applicable PRC laws and regulations prohibit foreign investors from providing telecommunications value-added services in the PRC. As a Cayman Islands corporation, the Company is deemed a foreign legal person under PRC laws. Accordingly, the Company’s wholly owned subsidiaries in the PRC, as foreign invested companies, may be deemed to be telecommunications value-added services providers in the PRC. To comply with these foreign ownership restrictions, the Company operates its online education services partially through its VIEs and their subsidiaries, in the PRC. The Company through its wholly owned subsidiaries ("WFOEs") located in the PRC entered into a series of contractual agreements with the VIEs and their shareholders. Through below contractual agreements, the Company has (1) the power to direct the activities that most significantly affect the economic performance of the VIEs, and (2) the right to receive the economic benefit of the VIEs that could potentially be significant to the VIEs. As a result, the shareholders of the VIEs lack the power to direct the activities of the VIEs that most significantly impact the entity's economic performance, the obligation to absorb the expected losses, and the right to receive the expected residual returns of the entity. Accordingly, the Company is considered as the primary beneficiary of the VIEs, and the Company has consolidated the financial results of the VIEs and their subsidiaries in its consolidated financial statements.</w:t>
      </w:r>
    </w:p>
    <w:p>
      <w:pPr>
        <w:spacing w:after="0" w:line="158" w:lineRule="exact"/>
        <w:rPr>
          <w:rFonts w:ascii="Arial" w:cs="Arial" w:eastAsia="Arial" w:hAnsi="Arial"/>
          <w:sz w:val="15"/>
          <w:szCs w:val="15"/>
          <w:b w:val="1"/>
          <w:bCs w:val="1"/>
          <w:color w:val="181717"/>
        </w:rPr>
      </w:pPr>
    </w:p>
    <w:p>
      <w:pPr>
        <w:ind w:left="800"/>
        <w:spacing w:after="0"/>
        <w:rPr>
          <w:rFonts w:ascii="Arial" w:cs="Arial" w:eastAsia="Arial" w:hAnsi="Arial"/>
          <w:sz w:val="15"/>
          <w:szCs w:val="15"/>
          <w:b w:val="1"/>
          <w:bCs w:val="1"/>
          <w:color w:val="181717"/>
        </w:rPr>
      </w:pPr>
      <w:r>
        <w:rPr>
          <w:rFonts w:ascii="Arial" w:cs="Arial" w:eastAsia="Arial" w:hAnsi="Arial"/>
          <w:sz w:val="16"/>
          <w:szCs w:val="16"/>
          <w:color w:val="auto"/>
        </w:rPr>
        <w:t>As of December 31, 2020, the Group’s VIEs that are material to the Group’s business and operations are Beijing Sunlands and Tianjin Shangde.</w:t>
      </w:r>
    </w:p>
    <w:p>
      <w:pPr>
        <w:spacing w:after="0" w:line="196" w:lineRule="exact"/>
        <w:rPr>
          <w:rFonts w:ascii="Arial" w:cs="Arial" w:eastAsia="Arial" w:hAnsi="Arial"/>
          <w:sz w:val="15"/>
          <w:szCs w:val="15"/>
          <w:b w:val="1"/>
          <w:bCs w:val="1"/>
          <w:color w:val="181717"/>
        </w:rPr>
      </w:pPr>
    </w:p>
    <w:p>
      <w:pPr>
        <w:ind w:left="1560" w:hanging="776"/>
        <w:spacing w:after="0"/>
        <w:tabs>
          <w:tab w:leader="none" w:pos="1560" w:val="left"/>
        </w:tabs>
        <w:numPr>
          <w:ilvl w:val="1"/>
          <w:numId w:val="52"/>
        </w:numPr>
        <w:rPr>
          <w:rFonts w:ascii="Arial" w:cs="Arial" w:eastAsia="Arial" w:hAnsi="Arial"/>
          <w:sz w:val="20"/>
          <w:szCs w:val="20"/>
          <w:color w:val="181717"/>
        </w:rPr>
      </w:pPr>
      <w:r>
        <w:rPr>
          <w:rFonts w:ascii="Arial" w:cs="Arial" w:eastAsia="Arial" w:hAnsi="Arial"/>
          <w:sz w:val="17"/>
          <w:szCs w:val="17"/>
          <w:color w:val="181717"/>
        </w:rPr>
        <w:t>Agreements that transfer economic benefits to the Company</w:t>
      </w:r>
    </w:p>
    <w:p>
      <w:pPr>
        <w:spacing w:after="0" w:line="212" w:lineRule="exact"/>
        <w:rPr>
          <w:sz w:val="20"/>
          <w:szCs w:val="20"/>
          <w:color w:val="auto"/>
        </w:rPr>
      </w:pPr>
    </w:p>
    <w:p>
      <w:pPr>
        <w:ind w:left="1540"/>
        <w:spacing w:after="0"/>
        <w:rPr>
          <w:sz w:val="20"/>
          <w:szCs w:val="20"/>
          <w:color w:val="auto"/>
        </w:rPr>
      </w:pPr>
      <w:r>
        <w:rPr>
          <w:rFonts w:ascii="Arial" w:cs="Arial" w:eastAsia="Arial" w:hAnsi="Arial"/>
          <w:sz w:val="17"/>
          <w:szCs w:val="17"/>
          <w:i w:val="1"/>
          <w:iCs w:val="1"/>
          <w:color w:val="181717"/>
        </w:rPr>
        <w:t>Exclusive Technical Consultation and Service Agreement</w:t>
      </w:r>
    </w:p>
    <w:p>
      <w:pPr>
        <w:spacing w:after="0" w:line="203" w:lineRule="exact"/>
        <w:rPr>
          <w:sz w:val="20"/>
          <w:szCs w:val="20"/>
          <w:color w:val="auto"/>
        </w:rPr>
      </w:pPr>
    </w:p>
    <w:p>
      <w:pPr>
        <w:ind w:left="1600" w:right="20"/>
        <w:spacing w:after="0" w:line="284" w:lineRule="auto"/>
        <w:rPr>
          <w:sz w:val="20"/>
          <w:szCs w:val="20"/>
          <w:color w:val="auto"/>
        </w:rPr>
      </w:pPr>
      <w:r>
        <w:rPr>
          <w:rFonts w:ascii="Arial" w:cs="Arial" w:eastAsia="Arial" w:hAnsi="Arial"/>
          <w:sz w:val="15"/>
          <w:szCs w:val="15"/>
          <w:color w:val="181717"/>
        </w:rPr>
        <w:t>Under the exclusive technical consultation and service agreement among WFOEs, and VIEs and the subsidiaries of VIEs, WFOEs have the exclusive right to provide, among other things, technical consultation and services to VIEs and VIEs’ subsidiaries, and VIEs and VIEs’ subsidiaries agree to accept all the consultation and services provided by WFOEs. Without WFOEs’ prior written consent, VIEs and VIEs’ subsidiaries are prohibited from engaging any third party to provide any services contemplated by this agreement. In addition, WFOEs have exclusive and proprietary ownership, rights and interests in any and all intellectual properties arising out of or created during the performance of this agreement. VIEs and VIEs’ subsidiaries agree to pay a quarterly service fee to WFOEs at an aggregate amount of a certain percentage ranging from 10% to 100% of VIEs and VIEs’ subsidiaries’ monthly revenue. Unless terminated by WFOEs, this agreement will remain effective until the dissolution of VIEs and VIEs’ subsidiaries. Without WFOEs’ prior written consent, VIEs and VIEs’ subsidiaries do not have the right to terminate this exclusive technical consultation and service agreement.</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right="6520" w:hanging="800"/>
        <w:spacing w:after="0" w:line="365" w:lineRule="auto"/>
        <w:tabs>
          <w:tab w:leader="none" w:pos="790" w:val="left"/>
        </w:tabs>
        <w:numPr>
          <w:ilvl w:val="0"/>
          <w:numId w:val="53"/>
        </w:numPr>
        <w:rPr>
          <w:rFonts w:ascii="Arial" w:cs="Arial" w:eastAsia="Arial" w:hAnsi="Arial"/>
          <w:sz w:val="17"/>
          <w:szCs w:val="17"/>
          <w:b w:val="1"/>
          <w:bCs w:val="1"/>
          <w:color w:val="181717"/>
        </w:rPr>
      </w:pPr>
      <w:r>
        <w:rPr>
          <w:rFonts w:ascii="Arial" w:cs="Arial" w:eastAsia="Arial" w:hAnsi="Arial"/>
          <w:sz w:val="17"/>
          <w:szCs w:val="17"/>
          <w:b w:val="1"/>
          <w:bCs w:val="1"/>
          <w:color w:val="181717"/>
        </w:rPr>
        <w:t xml:space="preserve">SIGNIFICANT ACCOUNTING POLICIES </w:t>
      </w:r>
      <w:r>
        <w:rPr>
          <w:rFonts w:ascii="Arial" w:cs="Arial" w:eastAsia="Arial" w:hAnsi="Arial"/>
          <w:sz w:val="17"/>
          <w:szCs w:val="17"/>
          <w:color w:val="181717"/>
        </w:rPr>
        <w:t>- continued</w:t>
      </w:r>
      <w:r>
        <w:rPr>
          <w:rFonts w:ascii="Arial" w:cs="Arial" w:eastAsia="Arial" w:hAnsi="Arial"/>
          <w:sz w:val="17"/>
          <w:szCs w:val="17"/>
          <w:b w:val="1"/>
          <w:bCs w:val="1"/>
          <w:color w:val="181717"/>
        </w:rPr>
        <w:t xml:space="preserve"> </w:t>
      </w:r>
      <w:r>
        <w:rPr>
          <w:rFonts w:ascii="Arial" w:cs="Arial" w:eastAsia="Arial" w:hAnsi="Arial"/>
          <w:sz w:val="17"/>
          <w:szCs w:val="17"/>
          <w:b w:val="1"/>
          <w:bCs w:val="1"/>
          <w:i w:val="1"/>
          <w:iCs w:val="1"/>
          <w:color w:val="000000"/>
        </w:rPr>
        <w:t xml:space="preserve">The VIE arrangements </w:t>
      </w:r>
      <w:r>
        <w:rPr>
          <w:rFonts w:ascii="Arial" w:cs="Arial" w:eastAsia="Arial" w:hAnsi="Arial"/>
          <w:sz w:val="17"/>
          <w:szCs w:val="17"/>
          <w:color w:val="000000"/>
        </w:rPr>
        <w:t>– continued</w:t>
      </w:r>
    </w:p>
    <w:p>
      <w:pPr>
        <w:ind w:left="1560" w:hanging="776"/>
        <w:spacing w:after="0"/>
        <w:tabs>
          <w:tab w:leader="none" w:pos="1560" w:val="left"/>
        </w:tabs>
        <w:numPr>
          <w:ilvl w:val="1"/>
          <w:numId w:val="53"/>
        </w:numPr>
        <w:rPr>
          <w:rFonts w:ascii="Arial" w:cs="Arial" w:eastAsia="Arial" w:hAnsi="Arial"/>
          <w:sz w:val="20"/>
          <w:szCs w:val="20"/>
          <w:color w:val="181717"/>
        </w:rPr>
      </w:pPr>
      <w:r>
        <w:rPr>
          <w:rFonts w:ascii="Arial" w:cs="Arial" w:eastAsia="Arial" w:hAnsi="Arial"/>
          <w:sz w:val="17"/>
          <w:szCs w:val="17"/>
          <w:color w:val="181717"/>
        </w:rPr>
        <w:t xml:space="preserve">Agreements that transfer economic benefits to the Company </w:t>
      </w:r>
      <w:r>
        <w:rPr>
          <w:rFonts w:ascii="Arial" w:cs="Arial" w:eastAsia="Arial" w:hAnsi="Arial"/>
          <w:sz w:val="17"/>
          <w:szCs w:val="17"/>
          <w:color w:val="000000"/>
        </w:rPr>
        <w:t>– continued</w:t>
      </w:r>
    </w:p>
    <w:p>
      <w:pPr>
        <w:spacing w:after="0" w:line="212" w:lineRule="exact"/>
        <w:rPr>
          <w:sz w:val="20"/>
          <w:szCs w:val="20"/>
          <w:color w:val="auto"/>
        </w:rPr>
      </w:pPr>
    </w:p>
    <w:p>
      <w:pPr>
        <w:ind w:left="1540"/>
        <w:spacing w:after="0"/>
        <w:rPr>
          <w:sz w:val="20"/>
          <w:szCs w:val="20"/>
          <w:color w:val="auto"/>
        </w:rPr>
      </w:pPr>
      <w:r>
        <w:rPr>
          <w:rFonts w:ascii="Arial" w:cs="Arial" w:eastAsia="Arial" w:hAnsi="Arial"/>
          <w:sz w:val="17"/>
          <w:szCs w:val="17"/>
          <w:i w:val="1"/>
          <w:iCs w:val="1"/>
          <w:color w:val="181717"/>
        </w:rPr>
        <w:t>Business Operation Agreement</w:t>
      </w:r>
    </w:p>
    <w:p>
      <w:pPr>
        <w:spacing w:after="0" w:line="203" w:lineRule="exact"/>
        <w:rPr>
          <w:sz w:val="20"/>
          <w:szCs w:val="20"/>
          <w:color w:val="auto"/>
        </w:rPr>
      </w:pPr>
    </w:p>
    <w:p>
      <w:pPr>
        <w:ind w:left="1600" w:right="60"/>
        <w:spacing w:after="0" w:line="263" w:lineRule="auto"/>
        <w:rPr>
          <w:sz w:val="20"/>
          <w:szCs w:val="20"/>
          <w:color w:val="auto"/>
        </w:rPr>
      </w:pPr>
      <w:r>
        <w:rPr>
          <w:rFonts w:ascii="Arial" w:cs="Arial" w:eastAsia="Arial" w:hAnsi="Arial"/>
          <w:sz w:val="16"/>
          <w:szCs w:val="16"/>
          <w:color w:val="181717"/>
        </w:rPr>
        <w:t>Under the business operation agreement each of VIEs, VIEs' subsidiaries and the shareholders of VIEs confirmed and agreed that, without WFOEs’ prior written consent, it shall not make any transaction that has a material adverse effect on the assets, business, personnel, obligations, rights or operations of VIEs and VIEs' subsidiaries, including but not limited to sale or purchase of any assets or rights exceeding RMB50, incurrence of any encumbrance on any of its assets, including intellectual property rights, in favor of a third party, amendment of its articles of association or business scope, or change of its normal operation procedures. VIEs, VIEs' subsidiaries and the shareholders of VIEs shall accept and execute opinions and instructions of WFOEs in connection with the employee engagement and dismissal, daily operations and financial management systems. The shareholders of VIEs shall elect or appoint the candidates recommended by WFOEs as VIEs’ directors and supervisors, and procure the appointment of VIEs’ chairman of the board and senior management pursuant to WFOEs’ designation. The agreement also provides that if any of the agreements among WFOEs, VIEs and the VIEs' subsidiaries is terminated, WFOEs are entitled to terminate all of the other agreements among themselves, VIEs and VIEs' subsidiaries. This agreement will remain binding until dissolution of VIEs and all the VIEs' subsidiaries.</w:t>
      </w:r>
    </w:p>
    <w:p>
      <w:pPr>
        <w:spacing w:after="0" w:line="174" w:lineRule="exact"/>
        <w:rPr>
          <w:sz w:val="20"/>
          <w:szCs w:val="20"/>
          <w:color w:val="auto"/>
        </w:rPr>
      </w:pPr>
    </w:p>
    <w:p>
      <w:pPr>
        <w:ind w:left="1540"/>
        <w:spacing w:after="0"/>
        <w:rPr>
          <w:sz w:val="20"/>
          <w:szCs w:val="20"/>
          <w:color w:val="auto"/>
        </w:rPr>
      </w:pPr>
      <w:r>
        <w:rPr>
          <w:rFonts w:ascii="Arial" w:cs="Arial" w:eastAsia="Arial" w:hAnsi="Arial"/>
          <w:sz w:val="17"/>
          <w:szCs w:val="17"/>
          <w:i w:val="1"/>
          <w:iCs w:val="1"/>
          <w:color w:val="181717"/>
        </w:rPr>
        <w:t>Equity Interest Pledge Agreement</w:t>
      </w:r>
    </w:p>
    <w:p>
      <w:pPr>
        <w:spacing w:after="0" w:line="203" w:lineRule="exact"/>
        <w:rPr>
          <w:sz w:val="20"/>
          <w:szCs w:val="20"/>
          <w:color w:val="auto"/>
        </w:rPr>
      </w:pPr>
    </w:p>
    <w:p>
      <w:pPr>
        <w:ind w:left="1600"/>
        <w:spacing w:after="0" w:line="265" w:lineRule="auto"/>
        <w:rPr>
          <w:sz w:val="20"/>
          <w:szCs w:val="20"/>
          <w:color w:val="auto"/>
        </w:rPr>
      </w:pPr>
      <w:r>
        <w:rPr>
          <w:rFonts w:ascii="Arial" w:cs="Arial" w:eastAsia="Arial" w:hAnsi="Arial"/>
          <w:sz w:val="16"/>
          <w:szCs w:val="16"/>
          <w:color w:val="181717"/>
        </w:rPr>
        <w:t>Pursuant to the equity interest pledge agreement among WFOEs, the shareholders of VIEs and the subsidiaries of VIEs, the shareholders of VIEs pledged all of their equity interests in VIEs to WFOEs as security for performance of the obligations of VIEs and their shareholders under the exclusive technical consultation and service agreements, the option agreement and the business operation agreement. The shareholders of VIEs shall instruct VIEs not to distribute any dividends and shall not approve any profit distribution plan. If any of the specified events of default occurs, WFOEs may exercise the right to enforce the pledges after giving a notice of default to the shareholders of VIEs. WFOEs may assign any and all of its rights and obligations under equity interest pledge agreement to their designee(s) at any time. The equity interest pledge agreement is binding on the shareholders of VIEs and their successors and shall be valid with respect to the shareholders of VIEs and each of their successors.</w:t>
      </w:r>
    </w:p>
    <w:p>
      <w:pPr>
        <w:spacing w:after="0" w:line="151" w:lineRule="exact"/>
        <w:rPr>
          <w:sz w:val="20"/>
          <w:szCs w:val="20"/>
          <w:color w:val="auto"/>
        </w:rPr>
      </w:pPr>
    </w:p>
    <w:p>
      <w:pPr>
        <w:ind w:left="1560" w:hanging="776"/>
        <w:spacing w:after="0"/>
        <w:tabs>
          <w:tab w:leader="none" w:pos="1560" w:val="left"/>
        </w:tabs>
        <w:numPr>
          <w:ilvl w:val="0"/>
          <w:numId w:val="54"/>
        </w:numPr>
        <w:rPr>
          <w:rFonts w:ascii="Arial" w:cs="Arial" w:eastAsia="Arial" w:hAnsi="Arial"/>
          <w:sz w:val="20"/>
          <w:szCs w:val="20"/>
          <w:color w:val="181717"/>
        </w:rPr>
      </w:pPr>
      <w:r>
        <w:rPr>
          <w:rFonts w:ascii="Arial" w:cs="Arial" w:eastAsia="Arial" w:hAnsi="Arial"/>
          <w:sz w:val="17"/>
          <w:szCs w:val="17"/>
          <w:color w:val="181717"/>
        </w:rPr>
        <w:t>Agreements that provide the Company effective control over VIEs</w:t>
      </w:r>
    </w:p>
    <w:p>
      <w:pPr>
        <w:spacing w:after="0" w:line="212" w:lineRule="exact"/>
        <w:rPr>
          <w:sz w:val="20"/>
          <w:szCs w:val="20"/>
          <w:color w:val="auto"/>
        </w:rPr>
      </w:pPr>
    </w:p>
    <w:p>
      <w:pPr>
        <w:ind w:left="1540"/>
        <w:spacing w:after="0"/>
        <w:rPr>
          <w:sz w:val="20"/>
          <w:szCs w:val="20"/>
          <w:color w:val="auto"/>
        </w:rPr>
      </w:pPr>
      <w:r>
        <w:rPr>
          <w:rFonts w:ascii="Arial" w:cs="Arial" w:eastAsia="Arial" w:hAnsi="Arial"/>
          <w:sz w:val="17"/>
          <w:szCs w:val="17"/>
          <w:i w:val="1"/>
          <w:iCs w:val="1"/>
          <w:color w:val="181717"/>
        </w:rPr>
        <w:t>Option Agreement</w:t>
      </w:r>
    </w:p>
    <w:p>
      <w:pPr>
        <w:spacing w:after="0" w:line="203" w:lineRule="exact"/>
        <w:rPr>
          <w:sz w:val="20"/>
          <w:szCs w:val="20"/>
          <w:color w:val="auto"/>
        </w:rPr>
      </w:pPr>
    </w:p>
    <w:p>
      <w:pPr>
        <w:ind w:left="1600" w:right="60"/>
        <w:spacing w:after="0" w:line="288" w:lineRule="auto"/>
        <w:rPr>
          <w:sz w:val="20"/>
          <w:szCs w:val="20"/>
          <w:color w:val="auto"/>
        </w:rPr>
      </w:pPr>
      <w:r>
        <w:rPr>
          <w:rFonts w:ascii="Arial" w:cs="Arial" w:eastAsia="Arial" w:hAnsi="Arial"/>
          <w:sz w:val="15"/>
          <w:szCs w:val="15"/>
          <w:color w:val="181717"/>
        </w:rPr>
        <w:t>Pursuant to the option agreement among WFOEs, VIEs and the shareholders of VIEs, each of the shareholders irrevocably granted WFOEs a right to purchase or designate a third party to purchase, equity interests in VIEs then held by each shareholder at once or at multiple times at any time in part or in whole at WFOEs’ sole and absolute discretion to the extent permitted by PRC law. The shareholders of VIEs shall promptly surrender all considerations they received from the exercise of the options to WFOEs or the designated third party free of charge. Without WFOEs’ prior written consent, the shareholders of VIEs shall not, individually or collectively, make or procure VIEs to make any transaction or conduct that has a material adverse effect on the assets, liabilities, operations, equity and other legal rights of VIEs. Without WFOEs’ prior written consent, VIEs shall not enter into any contract exceeding RMB50, except the contracts in the ordinary course of the business. VIEs shall not be dissolved or liquidated without prior written consent by WFOEs. The shareholders of VIEs waive their rights of pre-emption in regard to the transfer of equity interest by any other shareholder of VIEs to WFOEs as instructed.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right="6520" w:hanging="800"/>
        <w:spacing w:after="0" w:line="365" w:lineRule="auto"/>
        <w:tabs>
          <w:tab w:leader="none" w:pos="790" w:val="left"/>
        </w:tabs>
        <w:numPr>
          <w:ilvl w:val="0"/>
          <w:numId w:val="55"/>
        </w:numPr>
        <w:rPr>
          <w:rFonts w:ascii="Arial" w:cs="Arial" w:eastAsia="Arial" w:hAnsi="Arial"/>
          <w:sz w:val="17"/>
          <w:szCs w:val="17"/>
          <w:b w:val="1"/>
          <w:bCs w:val="1"/>
          <w:color w:val="181717"/>
        </w:rPr>
      </w:pPr>
      <w:r>
        <w:rPr>
          <w:rFonts w:ascii="Arial" w:cs="Arial" w:eastAsia="Arial" w:hAnsi="Arial"/>
          <w:sz w:val="17"/>
          <w:szCs w:val="17"/>
          <w:b w:val="1"/>
          <w:bCs w:val="1"/>
          <w:color w:val="181717"/>
        </w:rPr>
        <w:t xml:space="preserve">SIGNIFICANT ACCOUNTING POLICIES </w:t>
      </w:r>
      <w:r>
        <w:rPr>
          <w:rFonts w:ascii="Arial" w:cs="Arial" w:eastAsia="Arial" w:hAnsi="Arial"/>
          <w:sz w:val="17"/>
          <w:szCs w:val="17"/>
          <w:color w:val="181717"/>
        </w:rPr>
        <w:t>- continued</w:t>
      </w:r>
      <w:r>
        <w:rPr>
          <w:rFonts w:ascii="Arial" w:cs="Arial" w:eastAsia="Arial" w:hAnsi="Arial"/>
          <w:sz w:val="17"/>
          <w:szCs w:val="17"/>
          <w:b w:val="1"/>
          <w:bCs w:val="1"/>
          <w:color w:val="181717"/>
        </w:rPr>
        <w:t xml:space="preserve"> </w:t>
      </w:r>
      <w:r>
        <w:rPr>
          <w:rFonts w:ascii="Arial" w:cs="Arial" w:eastAsia="Arial" w:hAnsi="Arial"/>
          <w:sz w:val="17"/>
          <w:szCs w:val="17"/>
          <w:b w:val="1"/>
          <w:bCs w:val="1"/>
          <w:i w:val="1"/>
          <w:iCs w:val="1"/>
          <w:color w:val="000000"/>
        </w:rPr>
        <w:t xml:space="preserve">The VIE arrangements </w:t>
      </w:r>
      <w:r>
        <w:rPr>
          <w:rFonts w:ascii="Arial" w:cs="Arial" w:eastAsia="Arial" w:hAnsi="Arial"/>
          <w:sz w:val="17"/>
          <w:szCs w:val="17"/>
          <w:color w:val="000000"/>
        </w:rPr>
        <w:t>– continued</w:t>
      </w:r>
    </w:p>
    <w:p>
      <w:pPr>
        <w:ind w:left="1560" w:hanging="776"/>
        <w:spacing w:after="0"/>
        <w:tabs>
          <w:tab w:leader="none" w:pos="1560" w:val="left"/>
        </w:tabs>
        <w:numPr>
          <w:ilvl w:val="1"/>
          <w:numId w:val="55"/>
        </w:numPr>
        <w:rPr>
          <w:rFonts w:ascii="Arial" w:cs="Arial" w:eastAsia="Arial" w:hAnsi="Arial"/>
          <w:sz w:val="20"/>
          <w:szCs w:val="20"/>
          <w:color w:val="181717"/>
        </w:rPr>
      </w:pPr>
      <w:r>
        <w:rPr>
          <w:rFonts w:ascii="Arial" w:cs="Arial" w:eastAsia="Arial" w:hAnsi="Arial"/>
          <w:sz w:val="17"/>
          <w:szCs w:val="17"/>
          <w:color w:val="181717"/>
        </w:rPr>
        <w:t xml:space="preserve">Agreements that provide the Company effective control over VIEs </w:t>
      </w:r>
      <w:r>
        <w:rPr>
          <w:rFonts w:ascii="Arial" w:cs="Arial" w:eastAsia="Arial" w:hAnsi="Arial"/>
          <w:sz w:val="17"/>
          <w:szCs w:val="17"/>
          <w:color w:val="000000"/>
        </w:rPr>
        <w:t>– continued</w:t>
      </w:r>
    </w:p>
    <w:p>
      <w:pPr>
        <w:spacing w:after="0" w:line="212" w:lineRule="exact"/>
        <w:rPr>
          <w:sz w:val="20"/>
          <w:szCs w:val="20"/>
          <w:color w:val="auto"/>
        </w:rPr>
      </w:pPr>
    </w:p>
    <w:p>
      <w:pPr>
        <w:ind w:left="1540"/>
        <w:spacing w:after="0"/>
        <w:rPr>
          <w:sz w:val="20"/>
          <w:szCs w:val="20"/>
          <w:color w:val="auto"/>
        </w:rPr>
      </w:pPr>
      <w:r>
        <w:rPr>
          <w:rFonts w:ascii="Arial" w:cs="Arial" w:eastAsia="Arial" w:hAnsi="Arial"/>
          <w:sz w:val="17"/>
          <w:szCs w:val="17"/>
          <w:i w:val="1"/>
          <w:iCs w:val="1"/>
          <w:color w:val="181717"/>
        </w:rPr>
        <w:t>Powers of Attorney</w:t>
      </w:r>
    </w:p>
    <w:p>
      <w:pPr>
        <w:spacing w:after="0" w:line="203" w:lineRule="exact"/>
        <w:rPr>
          <w:sz w:val="20"/>
          <w:szCs w:val="20"/>
          <w:color w:val="auto"/>
        </w:rPr>
      </w:pPr>
    </w:p>
    <w:p>
      <w:pPr>
        <w:ind w:left="1600" w:right="40"/>
        <w:spacing w:after="0" w:line="266" w:lineRule="auto"/>
        <w:rPr>
          <w:sz w:val="20"/>
          <w:szCs w:val="20"/>
          <w:color w:val="auto"/>
        </w:rPr>
      </w:pPr>
      <w:r>
        <w:rPr>
          <w:rFonts w:ascii="Arial" w:cs="Arial" w:eastAsia="Arial" w:hAnsi="Arial"/>
          <w:sz w:val="16"/>
          <w:szCs w:val="16"/>
          <w:color w:val="181717"/>
        </w:rPr>
        <w:t>Pursuant to the powers of attorney executed by the shareholders of VIEs, the shareholders of VIEs each irrevocably authorized WFOEs to act on their respective behalf as exclusive agent and attorney with respect to all rights of shareholders concerning all equity interests held by each of them in VIEs, including but not limited to propose to convene shareholder meetings, accept any notice with respect to the convening and proceeding of the shareholder meeting, attend shareholder meetings, sign the shareholders resolutions on behalf of, exercise all the shareholder’s rights and VIEs’ articles of association (including but not limited to voting rights and the sale, transfer, pledge, or dispose of all equity interests held in part or in whole), and designate and appoint on their respective behalf the president, directors, supervisors, chief executive officer, chief financial officer and other senior management members of VIEs.</w:t>
      </w:r>
    </w:p>
    <w:p>
      <w:pPr>
        <w:spacing w:after="0" w:line="167" w:lineRule="exact"/>
        <w:rPr>
          <w:sz w:val="20"/>
          <w:szCs w:val="20"/>
          <w:color w:val="auto"/>
        </w:rPr>
      </w:pPr>
    </w:p>
    <w:p>
      <w:pPr>
        <w:ind w:left="1540"/>
        <w:spacing w:after="0"/>
        <w:rPr>
          <w:sz w:val="20"/>
          <w:szCs w:val="20"/>
          <w:color w:val="auto"/>
        </w:rPr>
      </w:pPr>
      <w:r>
        <w:rPr>
          <w:rFonts w:ascii="Arial" w:cs="Arial" w:eastAsia="Arial" w:hAnsi="Arial"/>
          <w:sz w:val="17"/>
          <w:szCs w:val="17"/>
          <w:i w:val="1"/>
          <w:iCs w:val="1"/>
          <w:color w:val="181717"/>
        </w:rPr>
        <w:t>Spousal Consent Letters</w:t>
      </w:r>
    </w:p>
    <w:p>
      <w:pPr>
        <w:spacing w:after="0" w:line="203" w:lineRule="exact"/>
        <w:rPr>
          <w:sz w:val="20"/>
          <w:szCs w:val="20"/>
          <w:color w:val="auto"/>
        </w:rPr>
      </w:pPr>
    </w:p>
    <w:p>
      <w:pPr>
        <w:ind w:left="1600" w:right="40"/>
        <w:spacing w:after="0" w:line="251" w:lineRule="auto"/>
        <w:rPr>
          <w:sz w:val="20"/>
          <w:szCs w:val="20"/>
          <w:color w:val="auto"/>
        </w:rPr>
      </w:pPr>
      <w:r>
        <w:rPr>
          <w:rFonts w:ascii="Arial" w:cs="Arial" w:eastAsia="Arial" w:hAnsi="Arial"/>
          <w:sz w:val="17"/>
          <w:szCs w:val="17"/>
          <w:color w:val="auto"/>
        </w:rPr>
        <w:t>Pursuant to the spousal consent letters executed by the spouses of the general partners of entities as the shareholders of VIEs, the signing spouse confirmed and agreed that the equity interests of VIEs are the own property of their spouses and shall not constitute the jointly possessed property of the couples. The spouses also irrevocably waived any potential right or interest that may be granted by operation of applicable law in connection with the equity interests of VIEs held by their spouses.</w:t>
      </w:r>
    </w:p>
    <w:p>
      <w:pPr>
        <w:spacing w:after="0" w:line="179" w:lineRule="exact"/>
        <w:rPr>
          <w:sz w:val="20"/>
          <w:szCs w:val="20"/>
          <w:color w:val="auto"/>
        </w:rPr>
      </w:pPr>
    </w:p>
    <w:p>
      <w:pPr>
        <w:ind w:left="1600" w:right="260"/>
        <w:spacing w:after="0" w:line="254" w:lineRule="auto"/>
        <w:rPr>
          <w:sz w:val="20"/>
          <w:szCs w:val="20"/>
          <w:color w:val="auto"/>
        </w:rPr>
      </w:pPr>
      <w:r>
        <w:rPr>
          <w:rFonts w:ascii="Arial" w:cs="Arial" w:eastAsia="Arial" w:hAnsi="Arial"/>
          <w:sz w:val="17"/>
          <w:szCs w:val="17"/>
          <w:color w:val="auto"/>
        </w:rPr>
        <w:t>As a result of the contractual arrangements above, WFOEs bear the economic risks and receive the economic benefits of the VIEs and are the primary beneficiary of the VIEs. Therefore, the Company has consolidated the financial results of the VIEs and their subsidiaries in its consolidated financial statement</w:t>
      </w:r>
      <w:r>
        <w:rPr>
          <w:rFonts w:ascii="Arial" w:cs="Arial" w:eastAsia="Arial" w:hAnsi="Arial"/>
          <w:sz w:val="17"/>
          <w:szCs w:val="17"/>
          <w:color w:val="181717"/>
        </w:rPr>
        <w:t>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7"/>
          <w:szCs w:val="17"/>
          <w:u w:val="single" w:color="auto"/>
          <w:color w:val="181717"/>
        </w:rPr>
        <w:t>Risks in relation to VIE structure</w:t>
      </w:r>
    </w:p>
    <w:p>
      <w:pPr>
        <w:spacing w:after="0" w:line="203" w:lineRule="exact"/>
        <w:rPr>
          <w:sz w:val="20"/>
          <w:szCs w:val="20"/>
          <w:color w:val="auto"/>
        </w:rPr>
      </w:pPr>
    </w:p>
    <w:p>
      <w:pPr>
        <w:ind w:left="800" w:right="20"/>
        <w:spacing w:after="0" w:line="264" w:lineRule="auto"/>
        <w:rPr>
          <w:sz w:val="20"/>
          <w:szCs w:val="20"/>
          <w:color w:val="auto"/>
        </w:rPr>
      </w:pPr>
      <w:r>
        <w:rPr>
          <w:rFonts w:ascii="Arial" w:cs="Arial" w:eastAsia="Arial" w:hAnsi="Arial"/>
          <w:sz w:val="17"/>
          <w:szCs w:val="17"/>
          <w:color w:val="auto"/>
        </w:rPr>
        <w:t>The Company believes that the contractual arrangements with VIEs and their shareholders are in compliance with existing PRC laws and regulations and are legally enforceable. However, the contractual arrangements are subject to risks and uncertainties, including</w:t>
      </w:r>
      <w:r>
        <w:rPr>
          <w:rFonts w:ascii="Arial" w:cs="Arial" w:eastAsia="Arial" w:hAnsi="Arial"/>
          <w:sz w:val="17"/>
          <w:szCs w:val="17"/>
          <w:color w:val="181717"/>
        </w:rPr>
        <w:t>:</w:t>
      </w:r>
    </w:p>
    <w:p>
      <w:pPr>
        <w:spacing w:after="0" w:line="68" w:lineRule="exact"/>
        <w:rPr>
          <w:sz w:val="20"/>
          <w:szCs w:val="20"/>
          <w:color w:val="auto"/>
        </w:rPr>
      </w:pPr>
    </w:p>
    <w:p>
      <w:pPr>
        <w:ind w:left="1560" w:right="120" w:hanging="776"/>
        <w:spacing w:after="0" w:line="256" w:lineRule="auto"/>
        <w:tabs>
          <w:tab w:leader="none" w:pos="1560" w:val="left"/>
        </w:tabs>
        <w:numPr>
          <w:ilvl w:val="0"/>
          <w:numId w:val="56"/>
        </w:numPr>
        <w:rPr>
          <w:rFonts w:ascii="Arial" w:cs="Arial" w:eastAsia="Arial" w:hAnsi="Arial"/>
          <w:sz w:val="19"/>
          <w:szCs w:val="19"/>
          <w:color w:val="181717"/>
        </w:rPr>
      </w:pPr>
      <w:r>
        <w:rPr>
          <w:rFonts w:ascii="Arial" w:cs="Arial" w:eastAsia="Arial" w:hAnsi="Arial"/>
          <w:sz w:val="16"/>
          <w:szCs w:val="16"/>
          <w:color w:val="auto"/>
        </w:rPr>
        <w:t>VIEs and their shareholders may have or develop interests that conflict with the Group’s interests, which may lead them to pursue opportunities in violation of the aforementioned contractual agreements. If the Group cannot resolve any conflicts of interest or disputes between the Group and the shareholders of VIEs, the Group would have to rely on legal proceedings, which could result in disruption of its business, and there is substantial uncertainty as to the outcome of any such legal proceedings</w:t>
      </w:r>
      <w:r>
        <w:rPr>
          <w:rFonts w:ascii="Arial" w:cs="Arial" w:eastAsia="Arial" w:hAnsi="Arial"/>
          <w:sz w:val="16"/>
          <w:szCs w:val="16"/>
          <w:color w:val="181717"/>
        </w:rPr>
        <w:t>.</w:t>
      </w:r>
    </w:p>
    <w:p>
      <w:pPr>
        <w:spacing w:after="0" w:line="75" w:lineRule="exact"/>
        <w:rPr>
          <w:rFonts w:ascii="Arial" w:cs="Arial" w:eastAsia="Arial" w:hAnsi="Arial"/>
          <w:sz w:val="19"/>
          <w:szCs w:val="19"/>
          <w:color w:val="181717"/>
        </w:rPr>
      </w:pPr>
    </w:p>
    <w:p>
      <w:pPr>
        <w:ind w:left="1560" w:hanging="776"/>
        <w:spacing w:after="0" w:line="238" w:lineRule="auto"/>
        <w:tabs>
          <w:tab w:leader="none" w:pos="1560" w:val="left"/>
        </w:tabs>
        <w:numPr>
          <w:ilvl w:val="0"/>
          <w:numId w:val="56"/>
        </w:numPr>
        <w:rPr>
          <w:rFonts w:ascii="Arial" w:cs="Arial" w:eastAsia="Arial" w:hAnsi="Arial"/>
          <w:sz w:val="20"/>
          <w:szCs w:val="20"/>
          <w:color w:val="181717"/>
        </w:rPr>
      </w:pPr>
      <w:r>
        <w:rPr>
          <w:rFonts w:ascii="Arial" w:cs="Arial" w:eastAsia="Arial" w:hAnsi="Arial"/>
          <w:sz w:val="17"/>
          <w:szCs w:val="17"/>
          <w:color w:val="auto"/>
        </w:rPr>
        <w:t>VIEs and their shareholders could fail to obtain the proper operating licenses or fail to comply with other regulatory requirements. As a result, the PRC government could impose fines, new requirements or other penalties on the VIEs or the Group, mandate a change in ownership structure or operations for the VIEs or the Group, restrict the VIEs or the Group’s use of financing sources or otherwise restrict the VIEs or the Group’s ability to conduct business</w:t>
      </w:r>
      <w:r>
        <w:rPr>
          <w:rFonts w:ascii="Arial" w:cs="Arial" w:eastAsia="Arial" w:hAnsi="Arial"/>
          <w:sz w:val="17"/>
          <w:szCs w:val="17"/>
          <w:color w:val="181717"/>
        </w:rPr>
        <w:t>.</w:t>
      </w:r>
    </w:p>
    <w:p>
      <w:pPr>
        <w:spacing w:after="0" w:line="87" w:lineRule="exact"/>
        <w:rPr>
          <w:rFonts w:ascii="Arial" w:cs="Arial" w:eastAsia="Arial" w:hAnsi="Arial"/>
          <w:sz w:val="20"/>
          <w:szCs w:val="20"/>
          <w:color w:val="181717"/>
        </w:rPr>
      </w:pPr>
    </w:p>
    <w:p>
      <w:pPr>
        <w:ind w:left="1560" w:right="240" w:hanging="776"/>
        <w:spacing w:after="0" w:line="236" w:lineRule="auto"/>
        <w:tabs>
          <w:tab w:leader="none" w:pos="1560" w:val="left"/>
        </w:tabs>
        <w:numPr>
          <w:ilvl w:val="0"/>
          <w:numId w:val="56"/>
        </w:numPr>
        <w:rPr>
          <w:rFonts w:ascii="Arial" w:cs="Arial" w:eastAsia="Arial" w:hAnsi="Arial"/>
          <w:sz w:val="20"/>
          <w:szCs w:val="20"/>
          <w:color w:val="181717"/>
        </w:rPr>
      </w:pPr>
      <w:r>
        <w:rPr>
          <w:rFonts w:ascii="Arial" w:cs="Arial" w:eastAsia="Arial" w:hAnsi="Arial"/>
          <w:sz w:val="17"/>
          <w:szCs w:val="17"/>
          <w:color w:val="181717"/>
        </w:rPr>
        <w:t>The PRC government may declare the aforementioned contractual arrangements invalid. They may modify the relevant regulations, have a different interpretation of such regulations, or otherwise determine that the Group or the VIEs have failed to comply with the legal obligations required to effectuate such contractual arrangements.</w:t>
      </w:r>
    </w:p>
    <w:p>
      <w:pPr>
        <w:spacing w:after="0" w:line="87" w:lineRule="exact"/>
        <w:rPr>
          <w:rFonts w:ascii="Arial" w:cs="Arial" w:eastAsia="Arial" w:hAnsi="Arial"/>
          <w:sz w:val="20"/>
          <w:szCs w:val="20"/>
          <w:color w:val="181717"/>
        </w:rPr>
      </w:pPr>
    </w:p>
    <w:p>
      <w:pPr>
        <w:ind w:left="1560" w:right="120" w:hanging="776"/>
        <w:spacing w:after="0" w:line="231" w:lineRule="auto"/>
        <w:tabs>
          <w:tab w:leader="none" w:pos="1560" w:val="left"/>
        </w:tabs>
        <w:numPr>
          <w:ilvl w:val="0"/>
          <w:numId w:val="56"/>
        </w:numPr>
        <w:rPr>
          <w:rFonts w:ascii="Arial" w:cs="Arial" w:eastAsia="Arial" w:hAnsi="Arial"/>
          <w:sz w:val="20"/>
          <w:szCs w:val="20"/>
          <w:color w:val="181717"/>
        </w:rPr>
      </w:pPr>
      <w:r>
        <w:rPr>
          <w:rFonts w:ascii="Arial" w:cs="Arial" w:eastAsia="Arial" w:hAnsi="Arial"/>
          <w:sz w:val="17"/>
          <w:szCs w:val="17"/>
          <w:color w:val="181717"/>
        </w:rPr>
        <w:t>If the legal structure and contractual arrangements were found to be in violation of PRC laws and regulations, the PRC government may restrict or prohibit the Group’s business and operations in China.</w:t>
      </w:r>
    </w:p>
    <w:p>
      <w:pPr>
        <w:spacing w:after="0" w:line="188" w:lineRule="exact"/>
        <w:rPr>
          <w:sz w:val="20"/>
          <w:szCs w:val="20"/>
          <w:color w:val="auto"/>
        </w:rPr>
      </w:pPr>
    </w:p>
    <w:p>
      <w:pPr>
        <w:jc w:val="both"/>
        <w:ind w:left="800" w:right="320"/>
        <w:spacing w:after="0" w:line="304" w:lineRule="auto"/>
        <w:rPr>
          <w:sz w:val="20"/>
          <w:szCs w:val="20"/>
          <w:color w:val="auto"/>
        </w:rPr>
      </w:pPr>
      <w:r>
        <w:rPr>
          <w:rFonts w:ascii="Arial" w:cs="Arial" w:eastAsia="Arial" w:hAnsi="Arial"/>
          <w:sz w:val="15"/>
          <w:szCs w:val="15"/>
          <w:color w:val="auto"/>
        </w:rPr>
        <w:t>The Group’s ability to conduct its business may be negatively affected if the PRC government were to carry out any of the aforementioned actions. As a result, the Group may not be able to consolidate VIEs and their subsidiaries in the consolidated financial statements as the Group may lose the ability to exert effective control over VIEs and their shareholders, and the Group may lose the ability to receive economic benefits from VIEs</w:t>
      </w:r>
      <w:r>
        <w:rPr>
          <w:rFonts w:ascii="Arial" w:cs="Arial" w:eastAsia="Arial" w:hAnsi="Arial"/>
          <w:sz w:val="15"/>
          <w:szCs w:val="15"/>
          <w:color w:val="181717"/>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jc w:val="center"/>
        <w:ind w:right="-5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right="6460" w:hanging="800"/>
        <w:spacing w:after="0" w:line="484" w:lineRule="auto"/>
        <w:tabs>
          <w:tab w:leader="none" w:pos="790" w:val="left"/>
        </w:tabs>
        <w:numPr>
          <w:ilvl w:val="0"/>
          <w:numId w:val="57"/>
        </w:numPr>
        <w:rPr>
          <w:rFonts w:ascii="Arial" w:cs="Arial" w:eastAsia="Arial" w:hAnsi="Arial"/>
          <w:sz w:val="17"/>
          <w:szCs w:val="17"/>
          <w:b w:val="1"/>
          <w:bCs w:val="1"/>
          <w:color w:val="181717"/>
        </w:rPr>
      </w:pPr>
      <w:r>
        <w:rPr>
          <w:rFonts w:ascii="Arial" w:cs="Arial" w:eastAsia="Arial" w:hAnsi="Arial"/>
          <w:sz w:val="17"/>
          <w:szCs w:val="17"/>
          <w:b w:val="1"/>
          <w:bCs w:val="1"/>
          <w:color w:val="181717"/>
        </w:rPr>
        <w:t xml:space="preserve">SIGNIFICANT ACCOUNTING POLICIES </w:t>
      </w:r>
      <w:r>
        <w:rPr>
          <w:rFonts w:ascii="Arial" w:cs="Arial" w:eastAsia="Arial" w:hAnsi="Arial"/>
          <w:sz w:val="17"/>
          <w:szCs w:val="17"/>
          <w:color w:val="181717"/>
        </w:rPr>
        <w:t>- continued</w:t>
      </w:r>
      <w:r>
        <w:rPr>
          <w:rFonts w:ascii="Arial" w:cs="Arial" w:eastAsia="Arial" w:hAnsi="Arial"/>
          <w:sz w:val="17"/>
          <w:szCs w:val="17"/>
          <w:b w:val="1"/>
          <w:bCs w:val="1"/>
          <w:color w:val="181717"/>
        </w:rPr>
        <w:t xml:space="preserve"> </w:t>
      </w:r>
      <w:r>
        <w:rPr>
          <w:rFonts w:ascii="Arial" w:cs="Arial" w:eastAsia="Arial" w:hAnsi="Arial"/>
          <w:sz w:val="17"/>
          <w:szCs w:val="17"/>
          <w:b w:val="1"/>
          <w:bCs w:val="1"/>
          <w:i w:val="1"/>
          <w:iCs w:val="1"/>
          <w:color w:val="000000"/>
        </w:rPr>
        <w:t xml:space="preserve">The VIE arrangements </w:t>
      </w:r>
      <w:r>
        <w:rPr>
          <w:rFonts w:ascii="Arial" w:cs="Arial" w:eastAsia="Arial" w:hAnsi="Arial"/>
          <w:sz w:val="17"/>
          <w:szCs w:val="17"/>
          <w:color w:val="000000"/>
        </w:rPr>
        <w:t>– continued</w:t>
      </w:r>
    </w:p>
    <w:p>
      <w:pPr>
        <w:jc w:val="both"/>
        <w:ind w:left="800"/>
        <w:spacing w:after="0" w:line="254" w:lineRule="auto"/>
        <w:rPr>
          <w:rFonts w:ascii="Arial" w:cs="Arial" w:eastAsia="Arial" w:hAnsi="Arial"/>
          <w:sz w:val="17"/>
          <w:szCs w:val="17"/>
          <w:b w:val="1"/>
          <w:bCs w:val="1"/>
          <w:color w:val="181717"/>
        </w:rPr>
      </w:pPr>
      <w:r>
        <w:rPr>
          <w:rFonts w:ascii="Arial" w:cs="Arial" w:eastAsia="Arial" w:hAnsi="Arial"/>
          <w:sz w:val="17"/>
          <w:szCs w:val="17"/>
          <w:color w:val="181717"/>
        </w:rPr>
        <w:t>The following financial information of the VIEs and their subsidiaries as of December 31, 2019 and 2020 and for each of the three years in the period ended December 31, 2020 was included in the accompanying consolidated financial statements after elimination of intercompany transactions and balances within the Company, its subsidiaries, its VIEs and VIEs' subsidiaries:</w:t>
      </w:r>
    </w:p>
    <w:p>
      <w:pPr>
        <w:spacing w:after="0" w:line="202"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2980" w:type="dxa"/>
            <w:vAlign w:val="bottom"/>
            <w:gridSpan w:val="4"/>
          </w:tcPr>
          <w:p>
            <w:pPr>
              <w:ind w:left="760"/>
              <w:spacing w:after="0"/>
              <w:rPr>
                <w:sz w:val="20"/>
                <w:szCs w:val="20"/>
                <w:color w:val="auto"/>
              </w:rPr>
            </w:pPr>
            <w:r>
              <w:rPr>
                <w:rFonts w:ascii="Arial" w:cs="Arial" w:eastAsia="Arial" w:hAnsi="Arial"/>
                <w:sz w:val="17"/>
                <w:szCs w:val="17"/>
                <w:color w:val="auto"/>
              </w:rPr>
              <w:t>As of December 31,</w:t>
            </w:r>
          </w:p>
        </w:tc>
      </w:tr>
      <w:tr>
        <w:trPr>
          <w:trHeight w:val="229"/>
        </w:trPr>
        <w:tc>
          <w:tcPr>
            <w:tcW w:w="67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7"/>
                <w:szCs w:val="17"/>
                <w:color w:val="auto"/>
              </w:rPr>
              <w:t>2019</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7"/>
                <w:szCs w:val="17"/>
                <w:color w:val="auto"/>
              </w:rPr>
              <w:t>2020</w:t>
            </w:r>
          </w:p>
        </w:tc>
        <w:tc>
          <w:tcPr>
            <w:tcW w:w="80" w:type="dxa"/>
            <w:vAlign w:val="bottom"/>
          </w:tcPr>
          <w:p>
            <w:pPr>
              <w:spacing w:after="0"/>
              <w:rPr>
                <w:sz w:val="19"/>
                <w:szCs w:val="19"/>
                <w:color w:val="auto"/>
              </w:rPr>
            </w:pPr>
          </w:p>
        </w:tc>
      </w:tr>
      <w:tr>
        <w:trPr>
          <w:trHeight w:val="204"/>
        </w:trPr>
        <w:tc>
          <w:tcPr>
            <w:tcW w:w="6700" w:type="dxa"/>
            <w:vAlign w:val="bottom"/>
          </w:tcPr>
          <w:p>
            <w:pPr>
              <w:spacing w:after="0"/>
              <w:rPr>
                <w:sz w:val="17"/>
                <w:szCs w:val="17"/>
                <w:color w:val="auto"/>
              </w:rPr>
            </w:pPr>
          </w:p>
        </w:tc>
        <w:tc>
          <w:tcPr>
            <w:tcW w:w="1360" w:type="dxa"/>
            <w:vAlign w:val="bottom"/>
          </w:tcPr>
          <w:p>
            <w:pPr>
              <w:jc w:val="right"/>
              <w:ind w:right="437"/>
              <w:spacing w:after="0"/>
              <w:rPr>
                <w:sz w:val="20"/>
                <w:szCs w:val="20"/>
                <w:color w:val="auto"/>
              </w:rPr>
            </w:pPr>
            <w:r>
              <w:rPr>
                <w:rFonts w:ascii="Arial" w:cs="Arial" w:eastAsia="Arial" w:hAnsi="Arial"/>
                <w:sz w:val="17"/>
                <w:szCs w:val="17"/>
                <w:color w:val="auto"/>
              </w:rPr>
              <w:t>RMB</w:t>
            </w:r>
          </w:p>
        </w:tc>
        <w:tc>
          <w:tcPr>
            <w:tcW w:w="200" w:type="dxa"/>
            <w:vAlign w:val="bottom"/>
          </w:tcPr>
          <w:p>
            <w:pPr>
              <w:spacing w:after="0"/>
              <w:rPr>
                <w:sz w:val="17"/>
                <w:szCs w:val="17"/>
                <w:color w:val="auto"/>
              </w:rPr>
            </w:pPr>
          </w:p>
        </w:tc>
        <w:tc>
          <w:tcPr>
            <w:tcW w:w="1340" w:type="dxa"/>
            <w:vAlign w:val="bottom"/>
          </w:tcPr>
          <w:p>
            <w:pPr>
              <w:jc w:val="right"/>
              <w:ind w:right="417"/>
              <w:spacing w:after="0"/>
              <w:rPr>
                <w:sz w:val="20"/>
                <w:szCs w:val="20"/>
                <w:color w:val="auto"/>
              </w:rPr>
            </w:pPr>
            <w:r>
              <w:rPr>
                <w:rFonts w:ascii="Arial" w:cs="Arial" w:eastAsia="Arial" w:hAnsi="Arial"/>
                <w:sz w:val="17"/>
                <w:szCs w:val="17"/>
                <w:color w:val="auto"/>
              </w:rPr>
              <w:t>RMB</w:t>
            </w:r>
          </w:p>
        </w:tc>
        <w:tc>
          <w:tcPr>
            <w:tcW w:w="80" w:type="dxa"/>
            <w:vAlign w:val="bottom"/>
          </w:tcPr>
          <w:p>
            <w:pPr>
              <w:spacing w:after="0"/>
              <w:rPr>
                <w:sz w:val="17"/>
                <w:szCs w:val="17"/>
                <w:color w:val="auto"/>
              </w:rPr>
            </w:pPr>
          </w:p>
        </w:tc>
      </w:tr>
      <w:tr>
        <w:trPr>
          <w:trHeight w:val="212"/>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69,539</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59,929</w:t>
            </w:r>
          </w:p>
        </w:tc>
        <w:tc>
          <w:tcPr>
            <w:tcW w:w="80" w:type="dxa"/>
            <w:vAlign w:val="bottom"/>
            <w:shd w:val="clear" w:color="auto" w:fill="CFF0FC"/>
          </w:tcPr>
          <w:p>
            <w:pPr>
              <w:spacing w:after="0"/>
              <w:rPr>
                <w:sz w:val="18"/>
                <w:szCs w:val="18"/>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7"/>
                <w:szCs w:val="17"/>
                <w:color w:val="auto"/>
              </w:rPr>
              <w:t>Short-term investments</w:t>
            </w:r>
          </w:p>
        </w:tc>
        <w:tc>
          <w:tcPr>
            <w:tcW w:w="1360" w:type="dxa"/>
            <w:vAlign w:val="bottom"/>
          </w:tcPr>
          <w:p>
            <w:pPr>
              <w:jc w:val="right"/>
              <w:spacing w:after="0"/>
              <w:rPr>
                <w:sz w:val="20"/>
                <w:szCs w:val="20"/>
                <w:color w:val="auto"/>
              </w:rPr>
            </w:pPr>
            <w:r>
              <w:rPr>
                <w:rFonts w:ascii="Arial" w:cs="Arial" w:eastAsia="Arial" w:hAnsi="Arial"/>
                <w:sz w:val="17"/>
                <w:szCs w:val="17"/>
                <w:color w:val="auto"/>
              </w:rPr>
              <w:t>38,990</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227,560</w:t>
            </w:r>
          </w:p>
        </w:tc>
        <w:tc>
          <w:tcPr>
            <w:tcW w:w="80" w:type="dxa"/>
            <w:vAlign w:val="bottom"/>
          </w:tcPr>
          <w:p>
            <w:pPr>
              <w:spacing w:after="0"/>
              <w:rPr>
                <w:sz w:val="18"/>
                <w:szCs w:val="18"/>
                <w:color w:val="auto"/>
              </w:rPr>
            </w:pPr>
          </w:p>
        </w:tc>
      </w:tr>
      <w:tr>
        <w:trPr>
          <w:trHeight w:val="212"/>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Prepaid expenses and other current assets</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106,568</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55,493</w:t>
            </w:r>
          </w:p>
        </w:tc>
        <w:tc>
          <w:tcPr>
            <w:tcW w:w="80" w:type="dxa"/>
            <w:vAlign w:val="bottom"/>
            <w:shd w:val="clear" w:color="auto" w:fill="CFF0FC"/>
          </w:tcPr>
          <w:p>
            <w:pPr>
              <w:spacing w:after="0"/>
              <w:rPr>
                <w:sz w:val="18"/>
                <w:szCs w:val="18"/>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7"/>
                <w:szCs w:val="17"/>
                <w:color w:val="auto"/>
              </w:rPr>
              <w:t>Total current assets</w:t>
            </w:r>
          </w:p>
        </w:tc>
        <w:tc>
          <w:tcPr>
            <w:tcW w:w="1360" w:type="dxa"/>
            <w:vAlign w:val="bottom"/>
          </w:tcPr>
          <w:p>
            <w:pPr>
              <w:jc w:val="right"/>
              <w:spacing w:after="0"/>
              <w:rPr>
                <w:sz w:val="20"/>
                <w:szCs w:val="20"/>
                <w:color w:val="auto"/>
              </w:rPr>
            </w:pPr>
            <w:r>
              <w:rPr>
                <w:rFonts w:ascii="Arial" w:cs="Arial" w:eastAsia="Arial" w:hAnsi="Arial"/>
                <w:sz w:val="17"/>
                <w:szCs w:val="17"/>
                <w:color w:val="auto"/>
              </w:rPr>
              <w:t>284,887</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379,715</w:t>
            </w:r>
          </w:p>
        </w:tc>
        <w:tc>
          <w:tcPr>
            <w:tcW w:w="80" w:type="dxa"/>
            <w:vAlign w:val="bottom"/>
          </w:tcPr>
          <w:p>
            <w:pPr>
              <w:spacing w:after="0"/>
              <w:rPr>
                <w:sz w:val="18"/>
                <w:szCs w:val="18"/>
                <w:color w:val="auto"/>
              </w:rPr>
            </w:pPr>
          </w:p>
        </w:tc>
      </w:tr>
      <w:tr>
        <w:trPr>
          <w:trHeight w:val="212"/>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Right-of-use assets</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340,302</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310,946</w:t>
            </w:r>
          </w:p>
        </w:tc>
        <w:tc>
          <w:tcPr>
            <w:tcW w:w="80" w:type="dxa"/>
            <w:vAlign w:val="bottom"/>
            <w:shd w:val="clear" w:color="auto" w:fill="CFF0FC"/>
          </w:tcPr>
          <w:p>
            <w:pPr>
              <w:spacing w:after="0"/>
              <w:rPr>
                <w:sz w:val="18"/>
                <w:szCs w:val="18"/>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7"/>
                <w:szCs w:val="17"/>
                <w:color w:val="auto"/>
              </w:rPr>
              <w:t>Total non-current assets</w:t>
            </w:r>
          </w:p>
        </w:tc>
        <w:tc>
          <w:tcPr>
            <w:tcW w:w="1360" w:type="dxa"/>
            <w:vAlign w:val="bottom"/>
          </w:tcPr>
          <w:p>
            <w:pPr>
              <w:jc w:val="right"/>
              <w:spacing w:after="0"/>
              <w:rPr>
                <w:sz w:val="20"/>
                <w:szCs w:val="20"/>
                <w:color w:val="auto"/>
              </w:rPr>
            </w:pPr>
            <w:r>
              <w:rPr>
                <w:rFonts w:ascii="Arial" w:cs="Arial" w:eastAsia="Arial" w:hAnsi="Arial"/>
                <w:sz w:val="17"/>
                <w:szCs w:val="17"/>
                <w:color w:val="auto"/>
              </w:rPr>
              <w:t>776,783</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687,722</w:t>
            </w:r>
          </w:p>
        </w:tc>
        <w:tc>
          <w:tcPr>
            <w:tcW w:w="80" w:type="dxa"/>
            <w:vAlign w:val="bottom"/>
          </w:tcPr>
          <w:p>
            <w:pPr>
              <w:spacing w:after="0"/>
              <w:rPr>
                <w:sz w:val="18"/>
                <w:szCs w:val="18"/>
                <w:color w:val="auto"/>
              </w:rPr>
            </w:pPr>
          </w:p>
        </w:tc>
      </w:tr>
      <w:tr>
        <w:trPr>
          <w:trHeight w:val="212"/>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Total assets</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1,061,670</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1,067,437</w:t>
            </w:r>
          </w:p>
        </w:tc>
        <w:tc>
          <w:tcPr>
            <w:tcW w:w="80" w:type="dxa"/>
            <w:vAlign w:val="bottom"/>
            <w:shd w:val="clear" w:color="auto" w:fill="CFF0FC"/>
          </w:tcPr>
          <w:p>
            <w:pPr>
              <w:spacing w:after="0"/>
              <w:rPr>
                <w:sz w:val="18"/>
                <w:szCs w:val="18"/>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7"/>
                <w:szCs w:val="17"/>
                <w:color w:val="auto"/>
              </w:rPr>
              <w:t>Accrued expenses and other current liabilities</w:t>
            </w:r>
          </w:p>
        </w:tc>
        <w:tc>
          <w:tcPr>
            <w:tcW w:w="1360" w:type="dxa"/>
            <w:vAlign w:val="bottom"/>
          </w:tcPr>
          <w:p>
            <w:pPr>
              <w:jc w:val="right"/>
              <w:spacing w:after="0"/>
              <w:rPr>
                <w:sz w:val="20"/>
                <w:szCs w:val="20"/>
                <w:color w:val="auto"/>
              </w:rPr>
            </w:pPr>
            <w:r>
              <w:rPr>
                <w:rFonts w:ascii="Arial" w:cs="Arial" w:eastAsia="Arial" w:hAnsi="Arial"/>
                <w:sz w:val="17"/>
                <w:szCs w:val="17"/>
                <w:color w:val="auto"/>
              </w:rPr>
              <w:t>209,727</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175,900</w:t>
            </w:r>
          </w:p>
        </w:tc>
        <w:tc>
          <w:tcPr>
            <w:tcW w:w="80" w:type="dxa"/>
            <w:vAlign w:val="bottom"/>
          </w:tcPr>
          <w:p>
            <w:pPr>
              <w:spacing w:after="0"/>
              <w:rPr>
                <w:sz w:val="18"/>
                <w:szCs w:val="18"/>
                <w:color w:val="auto"/>
              </w:rPr>
            </w:pPr>
          </w:p>
        </w:tc>
      </w:tr>
      <w:tr>
        <w:trPr>
          <w:trHeight w:val="212"/>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 current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1,162,938</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435,254</w:t>
            </w:r>
          </w:p>
        </w:tc>
        <w:tc>
          <w:tcPr>
            <w:tcW w:w="80" w:type="dxa"/>
            <w:vAlign w:val="bottom"/>
            <w:shd w:val="clear" w:color="auto" w:fill="CFF0FC"/>
          </w:tcPr>
          <w:p>
            <w:pPr>
              <w:spacing w:after="0"/>
              <w:rPr>
                <w:sz w:val="18"/>
                <w:szCs w:val="18"/>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7"/>
                <w:szCs w:val="17"/>
                <w:color w:val="auto"/>
              </w:rPr>
              <w:t>Lease liabilities, current</w:t>
            </w:r>
          </w:p>
        </w:tc>
        <w:tc>
          <w:tcPr>
            <w:tcW w:w="1360" w:type="dxa"/>
            <w:vAlign w:val="bottom"/>
          </w:tcPr>
          <w:p>
            <w:pPr>
              <w:jc w:val="right"/>
              <w:spacing w:after="0"/>
              <w:rPr>
                <w:sz w:val="20"/>
                <w:szCs w:val="20"/>
                <w:color w:val="auto"/>
              </w:rPr>
            </w:pPr>
            <w:r>
              <w:rPr>
                <w:rFonts w:ascii="Arial" w:cs="Arial" w:eastAsia="Arial" w:hAnsi="Arial"/>
                <w:sz w:val="17"/>
                <w:szCs w:val="17"/>
                <w:color w:val="auto"/>
              </w:rPr>
              <w:t>22,659</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15,833</w:t>
            </w:r>
          </w:p>
        </w:tc>
        <w:tc>
          <w:tcPr>
            <w:tcW w:w="80" w:type="dxa"/>
            <w:vAlign w:val="bottom"/>
          </w:tcPr>
          <w:p>
            <w:pPr>
              <w:spacing w:after="0"/>
              <w:rPr>
                <w:sz w:val="18"/>
                <w:szCs w:val="18"/>
                <w:color w:val="auto"/>
              </w:rPr>
            </w:pPr>
          </w:p>
        </w:tc>
      </w:tr>
      <w:tr>
        <w:trPr>
          <w:trHeight w:val="212"/>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1,395,324</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626,987</w:t>
            </w:r>
          </w:p>
        </w:tc>
        <w:tc>
          <w:tcPr>
            <w:tcW w:w="80" w:type="dxa"/>
            <w:vAlign w:val="bottom"/>
            <w:shd w:val="clear" w:color="auto" w:fill="CFF0FC"/>
          </w:tcPr>
          <w:p>
            <w:pPr>
              <w:spacing w:after="0"/>
              <w:rPr>
                <w:sz w:val="18"/>
                <w:szCs w:val="18"/>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7"/>
                <w:szCs w:val="17"/>
                <w:color w:val="auto"/>
              </w:rPr>
              <w:t>Deferred revenue, non-current</w:t>
            </w:r>
          </w:p>
        </w:tc>
        <w:tc>
          <w:tcPr>
            <w:tcW w:w="1360" w:type="dxa"/>
            <w:vAlign w:val="bottom"/>
          </w:tcPr>
          <w:p>
            <w:pPr>
              <w:jc w:val="right"/>
              <w:spacing w:after="0"/>
              <w:rPr>
                <w:sz w:val="20"/>
                <w:szCs w:val="20"/>
                <w:color w:val="auto"/>
              </w:rPr>
            </w:pPr>
            <w:r>
              <w:rPr>
                <w:rFonts w:ascii="Arial" w:cs="Arial" w:eastAsia="Arial" w:hAnsi="Arial"/>
                <w:sz w:val="17"/>
                <w:szCs w:val="17"/>
                <w:color w:val="auto"/>
              </w:rPr>
              <w:t>1,096,482</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468,577</w:t>
            </w:r>
          </w:p>
        </w:tc>
        <w:tc>
          <w:tcPr>
            <w:tcW w:w="80" w:type="dxa"/>
            <w:vAlign w:val="bottom"/>
          </w:tcPr>
          <w:p>
            <w:pPr>
              <w:spacing w:after="0"/>
              <w:rPr>
                <w:sz w:val="18"/>
                <w:szCs w:val="18"/>
                <w:color w:val="auto"/>
              </w:rPr>
            </w:pPr>
          </w:p>
        </w:tc>
      </w:tr>
      <w:tr>
        <w:trPr>
          <w:trHeight w:val="212"/>
        </w:trPr>
        <w:tc>
          <w:tcPr>
            <w:tcW w:w="6700" w:type="dxa"/>
            <w:vAlign w:val="bottom"/>
            <w:shd w:val="clear" w:color="auto" w:fill="CFF0FC"/>
          </w:tcPr>
          <w:p>
            <w:pPr>
              <w:spacing w:after="0"/>
              <w:rPr>
                <w:sz w:val="20"/>
                <w:szCs w:val="20"/>
                <w:color w:val="auto"/>
              </w:rPr>
            </w:pPr>
            <w:r>
              <w:rPr>
                <w:rFonts w:ascii="Arial" w:cs="Arial" w:eastAsia="Arial" w:hAnsi="Arial"/>
                <w:sz w:val="17"/>
                <w:szCs w:val="17"/>
                <w:color w:val="auto"/>
              </w:rPr>
              <w:t>Lease liabilities, non-current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358,467</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340,763</w:t>
            </w:r>
          </w:p>
        </w:tc>
        <w:tc>
          <w:tcPr>
            <w:tcW w:w="80" w:type="dxa"/>
            <w:vAlign w:val="bottom"/>
            <w:shd w:val="clear" w:color="auto" w:fill="CFF0FC"/>
          </w:tcPr>
          <w:p>
            <w:pPr>
              <w:spacing w:after="0"/>
              <w:rPr>
                <w:sz w:val="18"/>
                <w:szCs w:val="18"/>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7"/>
                <w:szCs w:val="17"/>
                <w:color w:val="auto"/>
              </w:rPr>
              <w:t>Total liabilities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2,854,823</w:t>
            </w:r>
          </w:p>
        </w:tc>
        <w:tc>
          <w:tcPr>
            <w:tcW w:w="2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1,439,665</w:t>
            </w:r>
          </w:p>
        </w:tc>
        <w:tc>
          <w:tcPr>
            <w:tcW w:w="80" w:type="dxa"/>
            <w:vAlign w:val="bottom"/>
          </w:tcPr>
          <w:p>
            <w:pPr>
              <w:spacing w:after="0"/>
              <w:rPr>
                <w:sz w:val="18"/>
                <w:szCs w:val="18"/>
                <w:color w:val="auto"/>
              </w:rPr>
            </w:pPr>
          </w:p>
        </w:tc>
      </w:tr>
    </w:tbl>
    <w:p>
      <w:pPr>
        <w:spacing w:after="0" w:line="174" w:lineRule="exact"/>
        <w:rPr>
          <w:sz w:val="20"/>
          <w:szCs w:val="20"/>
          <w:color w:val="auto"/>
        </w:rPr>
      </w:pPr>
    </w:p>
    <w:p>
      <w:pPr>
        <w:ind w:left="800" w:right="400"/>
        <w:spacing w:after="0" w:line="264" w:lineRule="auto"/>
        <w:rPr>
          <w:sz w:val="20"/>
          <w:szCs w:val="20"/>
          <w:color w:val="auto"/>
        </w:rPr>
      </w:pPr>
      <w:r>
        <w:rPr>
          <w:rFonts w:ascii="Arial" w:cs="Arial" w:eastAsia="Arial" w:hAnsi="Arial"/>
          <w:sz w:val="17"/>
          <w:szCs w:val="17"/>
          <w:color w:val="181717"/>
        </w:rPr>
        <w:t>As of December 31, 2019 and 2020, the VIEs and VIEs' subsidiaries accounted for an aggregate of 26.8% and 32.7% of the Group's consolidated total assets, respectively, and 60.6% and 32.2% of the Group's consolidated total liabilities, respectively.</w:t>
      </w:r>
    </w:p>
    <w:p>
      <w:pPr>
        <w:spacing w:after="0" w:line="193"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2920" w:type="dxa"/>
            <w:vAlign w:val="bottom"/>
            <w:tcBorders>
              <w:bottom w:val="single" w:sz="8" w:color="auto"/>
            </w:tcBorders>
            <w:gridSpan w:val="5"/>
          </w:tcPr>
          <w:p>
            <w:pPr>
              <w:jc w:val="center"/>
              <w:ind w:left="777"/>
              <w:spacing w:after="0"/>
              <w:rPr>
                <w:sz w:val="20"/>
                <w:szCs w:val="20"/>
                <w:color w:val="auto"/>
              </w:rPr>
            </w:pPr>
            <w:r>
              <w:rPr>
                <w:rFonts w:ascii="Arial" w:cs="Arial" w:eastAsia="Arial" w:hAnsi="Arial"/>
                <w:sz w:val="17"/>
                <w:szCs w:val="17"/>
                <w:color w:val="auto"/>
                <w:w w:val="85"/>
              </w:rPr>
              <w:t>Years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5760" w:type="dxa"/>
            <w:vAlign w:val="bottom"/>
          </w:tcPr>
          <w:p>
            <w:pPr>
              <w:spacing w:after="0"/>
              <w:rPr>
                <w:sz w:val="17"/>
                <w:szCs w:val="17"/>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2019</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7"/>
                <w:szCs w:val="17"/>
                <w:color w:val="auto"/>
              </w:rPr>
            </w:pPr>
          </w:p>
        </w:tc>
      </w:tr>
      <w:tr>
        <w:trPr>
          <w:trHeight w:val="204"/>
        </w:trPr>
        <w:tc>
          <w:tcPr>
            <w:tcW w:w="5760" w:type="dxa"/>
            <w:vAlign w:val="bottom"/>
          </w:tcPr>
          <w:p>
            <w:pPr>
              <w:spacing w:after="0"/>
              <w:rPr>
                <w:sz w:val="17"/>
                <w:szCs w:val="17"/>
                <w:color w:val="auto"/>
              </w:rPr>
            </w:pPr>
          </w:p>
        </w:tc>
        <w:tc>
          <w:tcPr>
            <w:tcW w:w="1140" w:type="dxa"/>
            <w:vAlign w:val="bottom"/>
          </w:tcPr>
          <w:p>
            <w:pPr>
              <w:jc w:val="right"/>
              <w:ind w:right="317"/>
              <w:spacing w:after="0"/>
              <w:rPr>
                <w:sz w:val="20"/>
                <w:szCs w:val="20"/>
                <w:color w:val="auto"/>
              </w:rPr>
            </w:pPr>
            <w:r>
              <w:rPr>
                <w:rFonts w:ascii="Arial" w:cs="Arial" w:eastAsia="Arial" w:hAnsi="Arial"/>
                <w:sz w:val="17"/>
                <w:szCs w:val="17"/>
                <w:color w:val="auto"/>
              </w:rPr>
              <w:t>RMB</w:t>
            </w:r>
          </w:p>
        </w:tc>
        <w:tc>
          <w:tcPr>
            <w:tcW w:w="2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RMB</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7"/>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r>
      <w:tr>
        <w:trPr>
          <w:trHeight w:val="212"/>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Net revenues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1,973,985</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2,049,461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1,042,693</w:t>
            </w:r>
          </w:p>
        </w:tc>
        <w:tc>
          <w:tcPr>
            <w:tcW w:w="100" w:type="dxa"/>
            <w:vAlign w:val="bottom"/>
            <w:shd w:val="clear" w:color="auto" w:fill="CFF0FC"/>
          </w:tcPr>
          <w:p>
            <w:pPr>
              <w:spacing w:after="0"/>
              <w:rPr>
                <w:sz w:val="18"/>
                <w:szCs w:val="18"/>
                <w:color w:val="auto"/>
              </w:rPr>
            </w:pPr>
          </w:p>
        </w:tc>
      </w:tr>
      <w:tr>
        <w:trPr>
          <w:trHeight w:val="212"/>
        </w:trPr>
        <w:tc>
          <w:tcPr>
            <w:tcW w:w="5760" w:type="dxa"/>
            <w:vAlign w:val="bottom"/>
          </w:tcPr>
          <w:p>
            <w:pPr>
              <w:spacing w:after="0"/>
              <w:rPr>
                <w:sz w:val="20"/>
                <w:szCs w:val="20"/>
                <w:color w:val="auto"/>
              </w:rPr>
            </w:pPr>
            <w:r>
              <w:rPr>
                <w:rFonts w:ascii="Arial" w:cs="Arial" w:eastAsia="Arial" w:hAnsi="Arial"/>
                <w:sz w:val="17"/>
                <w:szCs w:val="17"/>
                <w:color w:val="auto"/>
              </w:rPr>
              <w:t>Net income/(loss)</w:t>
            </w:r>
          </w:p>
        </w:tc>
        <w:tc>
          <w:tcPr>
            <w:tcW w:w="1140" w:type="dxa"/>
            <w:vAlign w:val="bottom"/>
          </w:tcPr>
          <w:p>
            <w:pPr>
              <w:jc w:val="right"/>
              <w:spacing w:after="0"/>
              <w:rPr>
                <w:sz w:val="20"/>
                <w:szCs w:val="20"/>
                <w:color w:val="auto"/>
              </w:rPr>
            </w:pPr>
            <w:r>
              <w:rPr>
                <w:rFonts w:ascii="Arial" w:cs="Arial" w:eastAsia="Arial" w:hAnsi="Arial"/>
                <w:sz w:val="17"/>
                <w:szCs w:val="17"/>
                <w:color w:val="auto"/>
              </w:rPr>
              <w:t>393,063</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590,728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(446,621)</w:t>
            </w:r>
          </w:p>
        </w:tc>
      </w:tr>
      <w:tr>
        <w:trPr>
          <w:trHeight w:val="212"/>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Net cash generated from/(used in) operating activities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1,448,005</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(480,084)</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(1,663,110)</w:t>
            </w:r>
          </w:p>
        </w:tc>
      </w:tr>
      <w:tr>
        <w:trPr>
          <w:trHeight w:val="212"/>
        </w:trPr>
        <w:tc>
          <w:tcPr>
            <w:tcW w:w="5760" w:type="dxa"/>
            <w:vAlign w:val="bottom"/>
          </w:tcPr>
          <w:p>
            <w:pPr>
              <w:spacing w:after="0"/>
              <w:rPr>
                <w:sz w:val="20"/>
                <w:szCs w:val="20"/>
                <w:color w:val="auto"/>
              </w:rPr>
            </w:pPr>
            <w:r>
              <w:rPr>
                <w:rFonts w:ascii="Arial" w:cs="Arial" w:eastAsia="Arial" w:hAnsi="Arial"/>
                <w:sz w:val="17"/>
                <w:szCs w:val="17"/>
                <w:color w:val="auto"/>
              </w:rPr>
              <w:t>Net cash (used in)/generated from 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(315,198)</w:t>
            </w:r>
          </w:p>
        </w:tc>
        <w:tc>
          <w:tcPr>
            <w:tcW w:w="1140" w:type="dxa"/>
            <w:vAlign w:val="bottom"/>
          </w:tcPr>
          <w:p>
            <w:pPr>
              <w:jc w:val="right"/>
              <w:spacing w:after="0"/>
              <w:rPr>
                <w:sz w:val="20"/>
                <w:szCs w:val="20"/>
                <w:color w:val="auto"/>
              </w:rPr>
            </w:pPr>
            <w:r>
              <w:rPr>
                <w:rFonts w:ascii="Arial" w:cs="Arial" w:eastAsia="Arial" w:hAnsi="Arial"/>
                <w:sz w:val="17"/>
                <w:szCs w:val="17"/>
                <w:color w:val="auto"/>
              </w:rPr>
              <w:t>522,104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(214,045)</w:t>
            </w:r>
          </w:p>
        </w:tc>
      </w:tr>
      <w:tr>
        <w:trPr>
          <w:trHeight w:val="212"/>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Net cash generated from financing activities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8,018</w:t>
            </w:r>
          </w:p>
        </w:tc>
        <w:tc>
          <w:tcPr>
            <w:tcW w:w="20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bl>
    <w:p>
      <w:pPr>
        <w:spacing w:after="0" w:line="174" w:lineRule="exact"/>
        <w:rPr>
          <w:sz w:val="20"/>
          <w:szCs w:val="20"/>
          <w:color w:val="auto"/>
        </w:rPr>
      </w:pPr>
    </w:p>
    <w:p>
      <w:pPr>
        <w:ind w:left="800" w:right="80"/>
        <w:spacing w:after="0" w:line="291" w:lineRule="auto"/>
        <w:rPr>
          <w:sz w:val="20"/>
          <w:szCs w:val="20"/>
          <w:color w:val="auto"/>
        </w:rPr>
      </w:pPr>
      <w:r>
        <w:rPr>
          <w:rFonts w:ascii="Arial" w:cs="Arial" w:eastAsia="Arial" w:hAnsi="Arial"/>
          <w:sz w:val="15"/>
          <w:szCs w:val="15"/>
          <w:color w:val="181717"/>
        </w:rPr>
        <w:t xml:space="preserve">There are no consolidated VIEs’ assets that are collateral for the VIEs’ obligations and which can only be used to settle the </w:t>
      </w:r>
      <w:r>
        <w:rPr>
          <w:rFonts w:ascii="Arial" w:cs="Arial" w:eastAsia="Arial" w:hAnsi="Arial"/>
          <w:sz w:val="15"/>
          <w:szCs w:val="15"/>
          <w:color w:val="000000"/>
        </w:rPr>
        <w:t>VIEs’ obligations.</w:t>
      </w:r>
      <w:r>
        <w:rPr>
          <w:rFonts w:ascii="Arial" w:cs="Arial" w:eastAsia="Arial" w:hAnsi="Arial"/>
          <w:sz w:val="15"/>
          <w:szCs w:val="15"/>
          <w:color w:val="181717"/>
        </w:rPr>
        <w:t xml:space="preserve"> No creditor (or beneficial interest holders) of the VIEs have recourse to the general credit of the Company or any of its consolidated subsidiaries. No terms in any arrangements, considering both explicit arrangements and implicit variable interests, require the Company or its subsidiaries to provide financial support to the VIEs. However, if the VIEs ever needs financial support, the Company or its subsidiaries may, at its option and subject to statutory limits and restrictions, provide financial support to the VIEs through loans to the shareholders of the VIEs or entrustment loans to the VIEs.</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Foreign currency translation and transactions</w:t>
      </w:r>
    </w:p>
    <w:p>
      <w:pPr>
        <w:spacing w:after="0" w:line="228" w:lineRule="exact"/>
        <w:rPr>
          <w:sz w:val="20"/>
          <w:szCs w:val="20"/>
          <w:color w:val="auto"/>
        </w:rPr>
      </w:pPr>
    </w:p>
    <w:p>
      <w:pPr>
        <w:ind w:left="800"/>
        <w:spacing w:after="0" w:line="264" w:lineRule="auto"/>
        <w:rPr>
          <w:sz w:val="20"/>
          <w:szCs w:val="20"/>
          <w:color w:val="auto"/>
        </w:rPr>
      </w:pPr>
      <w:r>
        <w:rPr>
          <w:rFonts w:ascii="Arial" w:cs="Arial" w:eastAsia="Arial" w:hAnsi="Arial"/>
          <w:sz w:val="17"/>
          <w:szCs w:val="17"/>
          <w:color w:val="auto"/>
        </w:rPr>
        <w:t>The Group’s reporting currency is Renminbi (“RMB”). The functional currency of the subsidiaries incorporated outside the mainland China is United States dollar (“US dollar” or “US$”). The functional currency of all the other subsidiaries, the VIEs and VIEs’ subsidiaries is RMB.</w:t>
      </w:r>
    </w:p>
    <w:p>
      <w:pPr>
        <w:spacing w:after="0" w:line="193" w:lineRule="exact"/>
        <w:rPr>
          <w:sz w:val="20"/>
          <w:szCs w:val="20"/>
          <w:color w:val="auto"/>
        </w:rPr>
      </w:pPr>
    </w:p>
    <w:p>
      <w:pPr>
        <w:ind w:left="800" w:right="60"/>
        <w:spacing w:after="0" w:line="249" w:lineRule="auto"/>
        <w:rPr>
          <w:sz w:val="20"/>
          <w:szCs w:val="20"/>
          <w:color w:val="auto"/>
        </w:rPr>
      </w:pPr>
      <w:r>
        <w:rPr>
          <w:rFonts w:ascii="Arial" w:cs="Arial" w:eastAsia="Arial" w:hAnsi="Arial"/>
          <w:sz w:val="17"/>
          <w:szCs w:val="17"/>
          <w:color w:val="auto"/>
        </w:rPr>
        <w:t>Monetary assets and liabilities denominated in currencies other than the applicable functional currencies are translated into the functional currencies at the prevailing rates of exchange at the balance sheet date. Nonmonetary assets and liabilities are remeasured into the applicable functional currencies at historical exchange rates. Revenues and expenses are translated using the average rate of exchange in effect during the reporting period. Translation adjustments are reported and shown as a separate component of other comprehensive loss in the consolidated statements of changes in shareholders’ deficit and the consolidated statements of comprehensive loss.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181717"/>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right="6460" w:hanging="800"/>
        <w:spacing w:after="0" w:line="663" w:lineRule="auto"/>
        <w:tabs>
          <w:tab w:leader="none" w:pos="79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SIGNIFICANT ACCOUNTING POLICIES </w:t>
      </w:r>
      <w:r>
        <w:rPr>
          <w:rFonts w:ascii="Arial" w:cs="Arial" w:eastAsia="Arial" w:hAnsi="Arial"/>
          <w:sz w:val="13"/>
          <w:szCs w:val="13"/>
          <w:color w:val="auto"/>
        </w:rPr>
        <w:t>- continued</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 xml:space="preserve">Foreign currency translation and transactions </w:t>
      </w:r>
      <w:r>
        <w:rPr>
          <w:rFonts w:ascii="Arial" w:cs="Arial" w:eastAsia="Arial" w:hAnsi="Arial"/>
          <w:sz w:val="13"/>
          <w:szCs w:val="13"/>
          <w:color w:val="auto"/>
        </w:rPr>
        <w:t>– continued</w:t>
      </w:r>
    </w:p>
    <w:p>
      <w:pPr>
        <w:ind w:left="800" w:right="140"/>
        <w:spacing w:after="0" w:line="332" w:lineRule="auto"/>
        <w:rPr>
          <w:rFonts w:ascii="Arial" w:cs="Arial" w:eastAsia="Arial" w:hAnsi="Arial"/>
          <w:sz w:val="13"/>
          <w:szCs w:val="13"/>
          <w:b w:val="1"/>
          <w:bCs w:val="1"/>
          <w:color w:val="auto"/>
        </w:rPr>
      </w:pPr>
      <w:r>
        <w:rPr>
          <w:rFonts w:ascii="Arial" w:cs="Arial" w:eastAsia="Arial" w:hAnsi="Arial"/>
          <w:sz w:val="15"/>
          <w:szCs w:val="15"/>
          <w:color w:val="auto"/>
        </w:rPr>
        <w:t>Transactions in currencies other than the functional currencies during the year are converted into the applicable functional currencies at the applicable rates of exchange prevailing at the dates of the transactions. Transaction gains and losses are recorded in the consolidated statements of operations.</w:t>
      </w:r>
    </w:p>
    <w:p>
      <w:pPr>
        <w:spacing w:after="0" w:line="145" w:lineRule="exact"/>
        <w:rPr>
          <w:rFonts w:ascii="Arial" w:cs="Arial" w:eastAsia="Arial" w:hAnsi="Arial"/>
          <w:sz w:val="13"/>
          <w:szCs w:val="13"/>
          <w:b w:val="1"/>
          <w:bCs w:val="1"/>
          <w:color w:val="auto"/>
        </w:rPr>
      </w:pPr>
    </w:p>
    <w:p>
      <w:pPr>
        <w:ind w:left="800"/>
        <w:spacing w:after="0"/>
        <w:rPr>
          <w:rFonts w:ascii="Arial" w:cs="Arial" w:eastAsia="Arial" w:hAnsi="Arial"/>
          <w:sz w:val="13"/>
          <w:szCs w:val="13"/>
          <w:b w:val="1"/>
          <w:bCs w:val="1"/>
          <w:color w:val="auto"/>
        </w:rPr>
      </w:pPr>
      <w:r>
        <w:rPr>
          <w:rFonts w:ascii="Arial" w:cs="Arial" w:eastAsia="Arial" w:hAnsi="Arial"/>
          <w:sz w:val="17"/>
          <w:szCs w:val="17"/>
          <w:b w:val="1"/>
          <w:bCs w:val="1"/>
          <w:i w:val="1"/>
          <w:iCs w:val="1"/>
          <w:color w:val="auto"/>
        </w:rPr>
        <w:t>Convenience Translation</w:t>
      </w:r>
    </w:p>
    <w:p>
      <w:pPr>
        <w:spacing w:after="0" w:line="228" w:lineRule="exact"/>
        <w:rPr>
          <w:rFonts w:ascii="Arial" w:cs="Arial" w:eastAsia="Arial" w:hAnsi="Arial"/>
          <w:sz w:val="13"/>
          <w:szCs w:val="13"/>
          <w:b w:val="1"/>
          <w:bCs w:val="1"/>
          <w:color w:val="auto"/>
        </w:rPr>
      </w:pPr>
    </w:p>
    <w:p>
      <w:pPr>
        <w:ind w:left="800" w:right="20"/>
        <w:spacing w:after="0" w:line="248" w:lineRule="auto"/>
        <w:rPr>
          <w:rFonts w:ascii="Arial" w:cs="Arial" w:eastAsia="Arial" w:hAnsi="Arial"/>
          <w:sz w:val="13"/>
          <w:szCs w:val="13"/>
          <w:b w:val="1"/>
          <w:bCs w:val="1"/>
          <w:color w:val="auto"/>
        </w:rPr>
      </w:pPr>
      <w:r>
        <w:rPr>
          <w:rFonts w:ascii="Arial" w:cs="Arial" w:eastAsia="Arial" w:hAnsi="Arial"/>
          <w:sz w:val="17"/>
          <w:szCs w:val="17"/>
          <w:color w:val="auto"/>
        </w:rPr>
        <w:t>The Group’s business is primarily conducted in China and all of the revenues are denominated in RMB. However, periodic reports made to shareholders will include current period amounts translated into US dollars using the exchange rate as of balance sheet date, for the convenience of the readers. Translations of balances in the consolidated balance sheets, and the related consolidated statements of operations, shareholders’ deficit and cash flows from RMB into US dollars as of and for the year ended December 31, 2020 are solely for the convenience of the readers and were calculated at the rate of US$1.00=RMB6.5250, representing the noon buying rate set forth in the H.10 statistical release of the U.S. Federal Reserve Board on December 31, 2020. No representation is made that the RMB amounts could have been, or could be, converted, realized or settled into US$ at that rate on December 31, 2020, or at any other rate.</w:t>
      </w:r>
    </w:p>
    <w:p>
      <w:pPr>
        <w:spacing w:after="0" w:line="205" w:lineRule="exact"/>
        <w:rPr>
          <w:rFonts w:ascii="Arial" w:cs="Arial" w:eastAsia="Arial" w:hAnsi="Arial"/>
          <w:sz w:val="13"/>
          <w:szCs w:val="13"/>
          <w:b w:val="1"/>
          <w:bCs w:val="1"/>
          <w:color w:val="auto"/>
        </w:rPr>
      </w:pPr>
    </w:p>
    <w:p>
      <w:pPr>
        <w:ind w:left="800"/>
        <w:spacing w:after="0"/>
        <w:rPr>
          <w:rFonts w:ascii="Arial" w:cs="Arial" w:eastAsia="Arial" w:hAnsi="Arial"/>
          <w:sz w:val="13"/>
          <w:szCs w:val="13"/>
          <w:b w:val="1"/>
          <w:bCs w:val="1"/>
          <w:color w:val="auto"/>
        </w:rPr>
      </w:pPr>
      <w:r>
        <w:rPr>
          <w:rFonts w:ascii="Arial" w:cs="Arial" w:eastAsia="Arial" w:hAnsi="Arial"/>
          <w:sz w:val="17"/>
          <w:szCs w:val="17"/>
          <w:b w:val="1"/>
          <w:bCs w:val="1"/>
          <w:i w:val="1"/>
          <w:iCs w:val="1"/>
          <w:color w:val="auto"/>
        </w:rPr>
        <w:t>Cash and cash equivalents</w:t>
      </w:r>
    </w:p>
    <w:p>
      <w:pPr>
        <w:spacing w:after="0" w:line="228" w:lineRule="exact"/>
        <w:rPr>
          <w:rFonts w:ascii="Arial" w:cs="Arial" w:eastAsia="Arial" w:hAnsi="Arial"/>
          <w:sz w:val="13"/>
          <w:szCs w:val="13"/>
          <w:b w:val="1"/>
          <w:bCs w:val="1"/>
          <w:color w:val="auto"/>
        </w:rPr>
      </w:pPr>
    </w:p>
    <w:p>
      <w:pPr>
        <w:ind w:left="800"/>
        <w:spacing w:after="0" w:line="296" w:lineRule="auto"/>
        <w:rPr>
          <w:rFonts w:ascii="Arial" w:cs="Arial" w:eastAsia="Arial" w:hAnsi="Arial"/>
          <w:sz w:val="13"/>
          <w:szCs w:val="13"/>
          <w:b w:val="1"/>
          <w:bCs w:val="1"/>
          <w:color w:val="auto"/>
        </w:rPr>
      </w:pPr>
      <w:r>
        <w:rPr>
          <w:rFonts w:ascii="Arial" w:cs="Arial" w:eastAsia="Arial" w:hAnsi="Arial"/>
          <w:sz w:val="16"/>
          <w:szCs w:val="16"/>
          <w:color w:val="auto"/>
        </w:rPr>
        <w:t>Cash and cash equivalents comprise cash at banks and on hand and term deposits, which have original maturities of three months or less when purchased and are subject to an insignificant risk of changes in value. The carrying value of cash equivalents approximates market value.</w:t>
      </w:r>
    </w:p>
    <w:p>
      <w:pPr>
        <w:spacing w:after="0" w:line="169" w:lineRule="exact"/>
        <w:rPr>
          <w:rFonts w:ascii="Arial" w:cs="Arial" w:eastAsia="Arial" w:hAnsi="Arial"/>
          <w:sz w:val="13"/>
          <w:szCs w:val="13"/>
          <w:b w:val="1"/>
          <w:bCs w:val="1"/>
          <w:color w:val="auto"/>
        </w:rPr>
      </w:pPr>
    </w:p>
    <w:p>
      <w:pPr>
        <w:ind w:left="800"/>
        <w:spacing w:after="0"/>
        <w:rPr>
          <w:rFonts w:ascii="Arial" w:cs="Arial" w:eastAsia="Arial" w:hAnsi="Arial"/>
          <w:sz w:val="13"/>
          <w:szCs w:val="13"/>
          <w:b w:val="1"/>
          <w:bCs w:val="1"/>
          <w:color w:val="auto"/>
        </w:rPr>
      </w:pPr>
      <w:r>
        <w:rPr>
          <w:rFonts w:ascii="Arial" w:cs="Arial" w:eastAsia="Arial" w:hAnsi="Arial"/>
          <w:sz w:val="17"/>
          <w:szCs w:val="17"/>
          <w:b w:val="1"/>
          <w:bCs w:val="1"/>
          <w:i w:val="1"/>
          <w:iCs w:val="1"/>
          <w:color w:val="auto"/>
        </w:rPr>
        <w:t>Short-term investments</w:t>
      </w:r>
    </w:p>
    <w:p>
      <w:pPr>
        <w:spacing w:after="0" w:line="203" w:lineRule="exact"/>
        <w:rPr>
          <w:rFonts w:ascii="Arial" w:cs="Arial" w:eastAsia="Arial" w:hAnsi="Arial"/>
          <w:sz w:val="13"/>
          <w:szCs w:val="13"/>
          <w:b w:val="1"/>
          <w:bCs w:val="1"/>
          <w:color w:val="auto"/>
        </w:rPr>
      </w:pPr>
    </w:p>
    <w:p>
      <w:pPr>
        <w:ind w:left="800"/>
        <w:spacing w:after="0" w:line="248" w:lineRule="auto"/>
        <w:rPr>
          <w:rFonts w:ascii="Arial" w:cs="Arial" w:eastAsia="Arial" w:hAnsi="Arial"/>
          <w:sz w:val="13"/>
          <w:szCs w:val="13"/>
          <w:b w:val="1"/>
          <w:bCs w:val="1"/>
          <w:color w:val="auto"/>
        </w:rPr>
      </w:pPr>
      <w:r>
        <w:rPr>
          <w:rFonts w:ascii="Arial" w:cs="Arial" w:eastAsia="Arial" w:hAnsi="Arial"/>
          <w:sz w:val="17"/>
          <w:szCs w:val="17"/>
          <w:color w:val="auto"/>
        </w:rPr>
        <w:t>Short-term investments include wealth management products purchased from financial institutions which have original maturities of less than one year and are restricted as to withdrawal and use. The Group classifies such wealth management products as held-to-maturity securities. The Group reviews its held-to-maturity securities for impairment whenever an event or circumstance indicates that impairment has occurred. The Group considers available quantitative and qualitative evidence in evaluating the potential impairment of its held-to-maturity securities. An impairment charge is recorded in the consolidated statements of operations if the carrying amount of an investment exceeds the investment’s fair value and such excess is determined to be other-than-temporary.</w:t>
      </w:r>
    </w:p>
    <w:p>
      <w:pPr>
        <w:spacing w:after="0" w:line="183" w:lineRule="exact"/>
        <w:rPr>
          <w:rFonts w:ascii="Arial" w:cs="Arial" w:eastAsia="Arial" w:hAnsi="Arial"/>
          <w:sz w:val="13"/>
          <w:szCs w:val="13"/>
          <w:b w:val="1"/>
          <w:bCs w:val="1"/>
          <w:color w:val="auto"/>
        </w:rPr>
      </w:pPr>
    </w:p>
    <w:p>
      <w:pPr>
        <w:ind w:left="800" w:right="20"/>
        <w:spacing w:after="0" w:line="332" w:lineRule="auto"/>
        <w:rPr>
          <w:rFonts w:ascii="Arial" w:cs="Arial" w:eastAsia="Arial" w:hAnsi="Arial"/>
          <w:sz w:val="13"/>
          <w:szCs w:val="13"/>
          <w:b w:val="1"/>
          <w:bCs w:val="1"/>
          <w:color w:val="auto"/>
        </w:rPr>
      </w:pPr>
      <w:r>
        <w:rPr>
          <w:rFonts w:ascii="Arial" w:cs="Arial" w:eastAsia="Arial" w:hAnsi="Arial"/>
          <w:sz w:val="15"/>
          <w:szCs w:val="15"/>
          <w:color w:val="auto"/>
        </w:rPr>
        <w:t>For investment products with variable interest rates and unsecured principal and no restriction on withdrawal, the Group elects the fair value option to record them at fair value in accordance with ASC 825 Financial Instruments. Changes in the fair value are recorded in the consolidated statements of operations.</w:t>
      </w:r>
    </w:p>
    <w:p>
      <w:pPr>
        <w:spacing w:after="0" w:line="344" w:lineRule="exact"/>
        <w:rPr>
          <w:rFonts w:ascii="Arial" w:cs="Arial" w:eastAsia="Arial" w:hAnsi="Arial"/>
          <w:sz w:val="13"/>
          <w:szCs w:val="13"/>
          <w:b w:val="1"/>
          <w:bCs w:val="1"/>
          <w:color w:val="auto"/>
        </w:rPr>
      </w:pPr>
    </w:p>
    <w:p>
      <w:pPr>
        <w:ind w:left="800"/>
        <w:spacing w:after="0"/>
        <w:rPr>
          <w:rFonts w:ascii="Arial" w:cs="Arial" w:eastAsia="Arial" w:hAnsi="Arial"/>
          <w:sz w:val="13"/>
          <w:szCs w:val="13"/>
          <w:b w:val="1"/>
          <w:bCs w:val="1"/>
          <w:color w:val="auto"/>
        </w:rPr>
      </w:pPr>
      <w:r>
        <w:rPr>
          <w:rFonts w:ascii="Arial" w:cs="Arial" w:eastAsia="Arial" w:hAnsi="Arial"/>
          <w:sz w:val="17"/>
          <w:szCs w:val="17"/>
          <w:b w:val="1"/>
          <w:bCs w:val="1"/>
          <w:i w:val="1"/>
          <w:iCs w:val="1"/>
          <w:color w:val="auto"/>
        </w:rPr>
        <w:t>Long-term investments</w:t>
      </w:r>
    </w:p>
    <w:p>
      <w:pPr>
        <w:spacing w:after="0" w:line="228" w:lineRule="exact"/>
        <w:rPr>
          <w:rFonts w:ascii="Arial" w:cs="Arial" w:eastAsia="Arial" w:hAnsi="Arial"/>
          <w:sz w:val="13"/>
          <w:szCs w:val="13"/>
          <w:b w:val="1"/>
          <w:bCs w:val="1"/>
          <w:color w:val="auto"/>
        </w:rPr>
      </w:pPr>
    </w:p>
    <w:p>
      <w:pPr>
        <w:ind w:left="800" w:right="140"/>
        <w:spacing w:after="0" w:line="248" w:lineRule="auto"/>
        <w:rPr>
          <w:rFonts w:ascii="Arial" w:cs="Arial" w:eastAsia="Arial" w:hAnsi="Arial"/>
          <w:sz w:val="13"/>
          <w:szCs w:val="13"/>
          <w:b w:val="1"/>
          <w:bCs w:val="1"/>
          <w:color w:val="auto"/>
        </w:rPr>
      </w:pPr>
      <w:r>
        <w:rPr>
          <w:rFonts w:ascii="Arial" w:cs="Arial" w:eastAsia="Arial" w:hAnsi="Arial"/>
          <w:sz w:val="17"/>
          <w:szCs w:val="17"/>
          <w:color w:val="auto"/>
        </w:rPr>
        <w:t>Investee companies over which the Group has the ability to exercise significant influence, but does not have a controlling interest through investment in common shares or in-substance common shares, are accounted for using the equity method. Significant influence is generally considered to exist when the Group has an ownership interest in the voting stock of the investee between 20% and 50%, and other factors, such as representation on the investee’s board of directors, voting rights and the impact of commercial arrangements, are also considered in determining whether the equity method of accounting is appropriate. For certain investments in limited partnerships, where the Group holds less than a 20% equity or voting interest, the Group may also have significant influence.</w:t>
      </w:r>
    </w:p>
    <w:p>
      <w:pPr>
        <w:spacing w:after="0" w:line="208" w:lineRule="exact"/>
        <w:rPr>
          <w:rFonts w:ascii="Arial" w:cs="Arial" w:eastAsia="Arial" w:hAnsi="Arial"/>
          <w:sz w:val="13"/>
          <w:szCs w:val="13"/>
          <w:b w:val="1"/>
          <w:bCs w:val="1"/>
          <w:color w:val="auto"/>
        </w:rPr>
      </w:pPr>
    </w:p>
    <w:p>
      <w:pPr>
        <w:ind w:left="800" w:right="300"/>
        <w:spacing w:after="0" w:line="332" w:lineRule="auto"/>
        <w:rPr>
          <w:rFonts w:ascii="Arial" w:cs="Arial" w:eastAsia="Arial" w:hAnsi="Arial"/>
          <w:sz w:val="13"/>
          <w:szCs w:val="13"/>
          <w:b w:val="1"/>
          <w:bCs w:val="1"/>
          <w:color w:val="auto"/>
        </w:rPr>
      </w:pPr>
      <w:r>
        <w:rPr>
          <w:rFonts w:ascii="Arial" w:cs="Arial" w:eastAsia="Arial" w:hAnsi="Arial"/>
          <w:sz w:val="15"/>
          <w:szCs w:val="15"/>
          <w:color w:val="auto"/>
        </w:rPr>
        <w:t>Under the equity method of accounting, the Group initially records its investment at cost and subsequently recognizes the Group’s proportionate share of each equity investee’s net income or loss after the date of investment into earnings and adjusts the investment carrying amount accordingly.</w:t>
      </w:r>
    </w:p>
    <w:p>
      <w:pPr>
        <w:spacing w:after="0" w:line="145" w:lineRule="exact"/>
        <w:rPr>
          <w:rFonts w:ascii="Arial" w:cs="Arial" w:eastAsia="Arial" w:hAnsi="Arial"/>
          <w:sz w:val="13"/>
          <w:szCs w:val="13"/>
          <w:b w:val="1"/>
          <w:bCs w:val="1"/>
          <w:color w:val="auto"/>
        </w:rPr>
      </w:pPr>
    </w:p>
    <w:p>
      <w:pPr>
        <w:ind w:left="800" w:right="180"/>
        <w:spacing w:after="0" w:line="251" w:lineRule="auto"/>
        <w:rPr>
          <w:rFonts w:ascii="Arial" w:cs="Arial" w:eastAsia="Arial" w:hAnsi="Arial"/>
          <w:sz w:val="13"/>
          <w:szCs w:val="13"/>
          <w:b w:val="1"/>
          <w:bCs w:val="1"/>
          <w:color w:val="auto"/>
        </w:rPr>
      </w:pPr>
      <w:r>
        <w:rPr>
          <w:rFonts w:ascii="Arial" w:cs="Arial" w:eastAsia="Arial" w:hAnsi="Arial"/>
          <w:sz w:val="17"/>
          <w:szCs w:val="17"/>
          <w:color w:val="auto"/>
        </w:rPr>
        <w:t>The Group reviews its equity method investments for impairment whenever an event or circumstance indicates that any other-than-temporary impairment has occurred. The Group considers available quantitative and qualitative evidence in evaluating potential impairment of its equity method investments. An impairment charge is recorded when the carrying amount of the investment exceeds its fair value and this condition is determined to be other-than-temporary.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780" w:hanging="780"/>
        <w:spacing w:after="0"/>
        <w:tabs>
          <w:tab w:leader="none" w:pos="78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color w:val="auto"/>
        </w:rPr>
        <w:t>- continued</w:t>
      </w:r>
    </w:p>
    <w:p>
      <w:pPr>
        <w:spacing w:after="0" w:line="232"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w:t>
      </w:r>
    </w:p>
    <w:p>
      <w:pPr>
        <w:spacing w:after="0" w:line="228" w:lineRule="exact"/>
        <w:rPr>
          <w:rFonts w:ascii="Arial" w:cs="Arial" w:eastAsia="Arial" w:hAnsi="Arial"/>
          <w:sz w:val="17"/>
          <w:szCs w:val="17"/>
          <w:b w:val="1"/>
          <w:bCs w:val="1"/>
          <w:color w:val="auto"/>
        </w:rPr>
      </w:pPr>
    </w:p>
    <w:p>
      <w:pPr>
        <w:ind w:left="800"/>
        <w:spacing w:after="0" w:line="267" w:lineRule="auto"/>
        <w:rPr>
          <w:rFonts w:ascii="Arial" w:cs="Arial" w:eastAsia="Arial" w:hAnsi="Arial"/>
          <w:sz w:val="17"/>
          <w:szCs w:val="17"/>
          <w:b w:val="1"/>
          <w:bCs w:val="1"/>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 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191"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1</w:t>
      </w:r>
    </w:p>
    <w:p>
      <w:pPr>
        <w:spacing w:after="0" w:line="228" w:lineRule="exact"/>
        <w:rPr>
          <w:rFonts w:ascii="Arial" w:cs="Arial" w:eastAsia="Arial" w:hAnsi="Arial"/>
          <w:sz w:val="17"/>
          <w:szCs w:val="17"/>
          <w:b w:val="1"/>
          <w:bCs w:val="1"/>
          <w:color w:val="auto"/>
        </w:rPr>
      </w:pPr>
    </w:p>
    <w:p>
      <w:pPr>
        <w:ind w:left="800" w:right="2420"/>
        <w:spacing w:after="0" w:line="520" w:lineRule="auto"/>
        <w:rPr>
          <w:rFonts w:ascii="Arial" w:cs="Arial" w:eastAsia="Arial" w:hAnsi="Arial"/>
          <w:sz w:val="17"/>
          <w:szCs w:val="17"/>
          <w:b w:val="1"/>
          <w:bCs w:val="1"/>
          <w:color w:val="auto"/>
        </w:rPr>
      </w:pPr>
      <w:r>
        <w:rPr>
          <w:rFonts w:ascii="Arial" w:cs="Arial" w:eastAsia="Arial" w:hAnsi="Arial"/>
          <w:sz w:val="17"/>
          <w:szCs w:val="17"/>
          <w:color w:val="auto"/>
        </w:rPr>
        <w:t xml:space="preserve">Level 1 applies to assets or liabilities for which there are quoted prices in active markets for identical assets or liabilities. </w:t>
      </w:r>
      <w:r>
        <w:rPr>
          <w:rFonts w:ascii="Arial" w:cs="Arial" w:eastAsia="Arial" w:hAnsi="Arial"/>
          <w:sz w:val="17"/>
          <w:szCs w:val="17"/>
          <w:i w:val="1"/>
          <w:iCs w:val="1"/>
          <w:color w:val="auto"/>
        </w:rPr>
        <w:t>Level 2</w:t>
      </w:r>
    </w:p>
    <w:p>
      <w:pPr>
        <w:ind w:left="800" w:right="10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03"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3</w:t>
      </w:r>
    </w:p>
    <w:p>
      <w:pPr>
        <w:spacing w:after="0" w:line="228" w:lineRule="exact"/>
        <w:rPr>
          <w:rFonts w:ascii="Arial" w:cs="Arial" w:eastAsia="Arial" w:hAnsi="Arial"/>
          <w:sz w:val="17"/>
          <w:szCs w:val="17"/>
          <w:b w:val="1"/>
          <w:bCs w:val="1"/>
          <w:color w:val="auto"/>
        </w:rPr>
      </w:pPr>
    </w:p>
    <w:p>
      <w:pPr>
        <w:ind w:left="800" w:right="2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Level 3 applies to assets or liabilities for which there are unobservable inputs to the valuation methodology that are significant to the measurement of the fair value of the assets or liabilities.</w:t>
      </w:r>
    </w:p>
    <w:p>
      <w:pPr>
        <w:spacing w:after="0" w:line="192"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Financial instruments</w:t>
      </w:r>
    </w:p>
    <w:p>
      <w:pPr>
        <w:spacing w:after="0" w:line="228" w:lineRule="exact"/>
        <w:rPr>
          <w:rFonts w:ascii="Arial" w:cs="Arial" w:eastAsia="Arial" w:hAnsi="Arial"/>
          <w:sz w:val="17"/>
          <w:szCs w:val="17"/>
          <w:b w:val="1"/>
          <w:bCs w:val="1"/>
          <w:color w:val="auto"/>
        </w:rPr>
      </w:pPr>
    </w:p>
    <w:p>
      <w:pPr>
        <w:ind w:left="800" w:right="220"/>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The Group’s financial instruments consist primarily of cash and cash equivalents, short-term investments, other current liabilities and long-term debt. The carrying amount of long-term debt approximates fair value as its interest rates are at the same level of current market yield for comparable debts. The carrying amounts of other financial instruments approximate their fair values due to short-term maturities.</w:t>
      </w:r>
    </w:p>
    <w:p>
      <w:pPr>
        <w:spacing w:after="0" w:line="182"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Property and equipment, net</w:t>
      </w:r>
    </w:p>
    <w:p>
      <w:pPr>
        <w:spacing w:after="0" w:line="228"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5"/>
          <w:szCs w:val="15"/>
          <w:color w:val="auto"/>
        </w:rPr>
        <w:t>Property and equipment are stated at cost and are depreciated using the straight-line method over the estimated useful lives of the assets, as follows:</w:t>
      </w:r>
    </w:p>
    <w:p>
      <w:pPr>
        <w:spacing w:after="0" w:line="251" w:lineRule="exact"/>
        <w:rPr>
          <w:sz w:val="20"/>
          <w:szCs w:val="20"/>
          <w:color w:val="auto"/>
        </w:rPr>
      </w:pPr>
    </w:p>
    <w:tbl>
      <w:tblPr>
        <w:tblLayout w:type="fixed"/>
        <w:tblInd w:w="800" w:type="dxa"/>
        <w:tblCellMar>
          <w:top w:w="0" w:type="dxa"/>
          <w:left w:w="0" w:type="dxa"/>
          <w:bottom w:w="0" w:type="dxa"/>
          <w:right w:w="0" w:type="dxa"/>
        </w:tblCellMar>
      </w:tblPr>
      <w:tr>
        <w:trPr>
          <w:trHeight w:val="212"/>
        </w:trPr>
        <w:tc>
          <w:tcPr>
            <w:tcW w:w="5140" w:type="dxa"/>
            <w:vAlign w:val="bottom"/>
            <w:gridSpan w:val="2"/>
          </w:tcPr>
          <w:p>
            <w:pPr>
              <w:ind w:left="600"/>
              <w:spacing w:after="0"/>
              <w:rPr>
                <w:sz w:val="20"/>
                <w:szCs w:val="20"/>
                <w:color w:val="auto"/>
              </w:rPr>
            </w:pPr>
            <w:r>
              <w:rPr>
                <w:rFonts w:ascii="Arial" w:cs="Arial" w:eastAsia="Arial" w:hAnsi="Arial"/>
                <w:sz w:val="17"/>
                <w:szCs w:val="17"/>
                <w:color w:val="181717"/>
              </w:rPr>
              <w:t>Category</w:t>
            </w:r>
          </w:p>
        </w:tc>
        <w:tc>
          <w:tcPr>
            <w:tcW w:w="4520" w:type="dxa"/>
            <w:vAlign w:val="bottom"/>
          </w:tcPr>
          <w:p>
            <w:pPr>
              <w:ind w:left="600"/>
              <w:spacing w:after="0"/>
              <w:rPr>
                <w:sz w:val="20"/>
                <w:szCs w:val="20"/>
                <w:color w:val="auto"/>
              </w:rPr>
            </w:pPr>
            <w:r>
              <w:rPr>
                <w:rFonts w:ascii="Arial" w:cs="Arial" w:eastAsia="Arial" w:hAnsi="Arial"/>
                <w:sz w:val="17"/>
                <w:szCs w:val="17"/>
                <w:color w:val="181717"/>
              </w:rPr>
              <w:t>Estimated useful life</w:t>
            </w:r>
          </w:p>
        </w:tc>
      </w:tr>
      <w:tr>
        <w:trPr>
          <w:trHeight w:val="179"/>
        </w:trPr>
        <w:tc>
          <w:tcPr>
            <w:tcW w:w="4500" w:type="dxa"/>
            <w:vAlign w:val="bottom"/>
            <w:tcBorders>
              <w:top w:val="single" w:sz="8" w:color="auto"/>
            </w:tcBorders>
          </w:tcPr>
          <w:p>
            <w:pPr>
              <w:ind w:left="600"/>
              <w:spacing w:after="0" w:line="180" w:lineRule="exact"/>
              <w:rPr>
                <w:sz w:val="20"/>
                <w:szCs w:val="20"/>
                <w:color w:val="auto"/>
              </w:rPr>
            </w:pPr>
            <w:r>
              <w:rPr>
                <w:rFonts w:ascii="Arial" w:cs="Arial" w:eastAsia="Arial" w:hAnsi="Arial"/>
                <w:sz w:val="17"/>
                <w:szCs w:val="17"/>
                <w:color w:val="181717"/>
              </w:rPr>
              <w:t>Buildings</w:t>
            </w:r>
          </w:p>
        </w:tc>
        <w:tc>
          <w:tcPr>
            <w:tcW w:w="640" w:type="dxa"/>
            <w:vAlign w:val="bottom"/>
          </w:tcPr>
          <w:p>
            <w:pPr>
              <w:spacing w:after="0"/>
              <w:rPr>
                <w:sz w:val="15"/>
                <w:szCs w:val="15"/>
                <w:color w:val="auto"/>
              </w:rPr>
            </w:pPr>
          </w:p>
        </w:tc>
        <w:tc>
          <w:tcPr>
            <w:tcW w:w="4520" w:type="dxa"/>
            <w:vAlign w:val="bottom"/>
            <w:tcBorders>
              <w:top w:val="single" w:sz="8" w:color="auto"/>
            </w:tcBorders>
          </w:tcPr>
          <w:p>
            <w:pPr>
              <w:ind w:left="600"/>
              <w:spacing w:after="0" w:line="180" w:lineRule="exact"/>
              <w:rPr>
                <w:sz w:val="20"/>
                <w:szCs w:val="20"/>
                <w:color w:val="auto"/>
              </w:rPr>
            </w:pPr>
            <w:r>
              <w:rPr>
                <w:rFonts w:ascii="Arial" w:cs="Arial" w:eastAsia="Arial" w:hAnsi="Arial"/>
                <w:sz w:val="17"/>
                <w:szCs w:val="17"/>
                <w:color w:val="181717"/>
              </w:rPr>
              <w:t>36-37 years</w:t>
            </w:r>
          </w:p>
        </w:tc>
      </w:tr>
      <w:tr>
        <w:trPr>
          <w:trHeight w:val="199"/>
        </w:trPr>
        <w:tc>
          <w:tcPr>
            <w:tcW w:w="5140" w:type="dxa"/>
            <w:vAlign w:val="bottom"/>
            <w:gridSpan w:val="2"/>
          </w:tcPr>
          <w:p>
            <w:pPr>
              <w:ind w:left="600"/>
              <w:spacing w:after="0"/>
              <w:rPr>
                <w:sz w:val="20"/>
                <w:szCs w:val="20"/>
                <w:color w:val="auto"/>
              </w:rPr>
            </w:pPr>
            <w:r>
              <w:rPr>
                <w:rFonts w:ascii="Arial" w:cs="Arial" w:eastAsia="Arial" w:hAnsi="Arial"/>
                <w:sz w:val="17"/>
                <w:szCs w:val="17"/>
                <w:color w:val="181717"/>
              </w:rPr>
              <w:t>Leasehold and buildings improvements</w:t>
            </w:r>
          </w:p>
        </w:tc>
        <w:tc>
          <w:tcPr>
            <w:tcW w:w="4520" w:type="dxa"/>
            <w:vAlign w:val="bottom"/>
          </w:tcPr>
          <w:p>
            <w:pPr>
              <w:ind w:left="600"/>
              <w:spacing w:after="0"/>
              <w:rPr>
                <w:sz w:val="20"/>
                <w:szCs w:val="20"/>
                <w:color w:val="auto"/>
              </w:rPr>
            </w:pPr>
            <w:r>
              <w:rPr>
                <w:rFonts w:ascii="Arial" w:cs="Arial" w:eastAsia="Arial" w:hAnsi="Arial"/>
                <w:sz w:val="17"/>
                <w:szCs w:val="17"/>
                <w:color w:val="181717"/>
              </w:rPr>
              <w:t>Shorter of lease term or expected useful life</w:t>
            </w:r>
          </w:p>
        </w:tc>
      </w:tr>
      <w:tr>
        <w:trPr>
          <w:trHeight w:val="212"/>
        </w:trPr>
        <w:tc>
          <w:tcPr>
            <w:tcW w:w="5140" w:type="dxa"/>
            <w:vAlign w:val="bottom"/>
            <w:gridSpan w:val="2"/>
          </w:tcPr>
          <w:p>
            <w:pPr>
              <w:ind w:left="600"/>
              <w:spacing w:after="0"/>
              <w:rPr>
                <w:sz w:val="20"/>
                <w:szCs w:val="20"/>
                <w:color w:val="auto"/>
              </w:rPr>
            </w:pPr>
            <w:r>
              <w:rPr>
                <w:rFonts w:ascii="Arial" w:cs="Arial" w:eastAsia="Arial" w:hAnsi="Arial"/>
                <w:sz w:val="17"/>
                <w:szCs w:val="17"/>
                <w:color w:val="181717"/>
              </w:rPr>
              <w:t>Electronic and office equipment</w:t>
            </w:r>
          </w:p>
        </w:tc>
        <w:tc>
          <w:tcPr>
            <w:tcW w:w="4520" w:type="dxa"/>
            <w:vAlign w:val="bottom"/>
          </w:tcPr>
          <w:p>
            <w:pPr>
              <w:ind w:left="600"/>
              <w:spacing w:after="0"/>
              <w:rPr>
                <w:sz w:val="20"/>
                <w:szCs w:val="20"/>
                <w:color w:val="auto"/>
              </w:rPr>
            </w:pPr>
            <w:r>
              <w:rPr>
                <w:rFonts w:ascii="Arial" w:cs="Arial" w:eastAsia="Arial" w:hAnsi="Arial"/>
                <w:sz w:val="17"/>
                <w:szCs w:val="17"/>
                <w:color w:val="181717"/>
              </w:rPr>
              <w:t>3-5 years</w:t>
            </w:r>
          </w:p>
        </w:tc>
      </w:tr>
    </w:tbl>
    <w:p>
      <w:pPr>
        <w:spacing w:after="0" w:line="212" w:lineRule="exact"/>
        <w:rPr>
          <w:sz w:val="20"/>
          <w:szCs w:val="20"/>
          <w:color w:val="auto"/>
        </w:rPr>
      </w:pPr>
    </w:p>
    <w:p>
      <w:pPr>
        <w:ind w:left="800" w:right="160"/>
        <w:spacing w:after="0" w:line="370" w:lineRule="auto"/>
        <w:rPr>
          <w:sz w:val="20"/>
          <w:szCs w:val="20"/>
          <w:color w:val="auto"/>
        </w:rPr>
      </w:pPr>
      <w:r>
        <w:rPr>
          <w:rFonts w:ascii="Arial" w:cs="Arial" w:eastAsia="Arial" w:hAnsi="Arial"/>
          <w:sz w:val="13"/>
          <w:szCs w:val="13"/>
          <w:color w:val="auto"/>
        </w:rPr>
        <w:t>Repair and maintenance costs are charged to expense as incurred, whereas the cost of renewals and betterment that extends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operations.</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Intangible assets are amortized using the straight-line basis over the estimated useful lives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450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181717"/>
              </w:rPr>
              <w:t>Category</w:t>
            </w:r>
          </w:p>
        </w:tc>
        <w:tc>
          <w:tcPr>
            <w:tcW w:w="640" w:type="dxa"/>
            <w:vAlign w:val="bottom"/>
          </w:tcPr>
          <w:p>
            <w:pPr>
              <w:spacing w:after="0"/>
              <w:rPr>
                <w:sz w:val="18"/>
                <w:szCs w:val="18"/>
                <w:color w:val="auto"/>
              </w:rPr>
            </w:pPr>
          </w:p>
        </w:tc>
        <w:tc>
          <w:tcPr>
            <w:tcW w:w="452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181717"/>
              </w:rPr>
              <w:t>Estimated useful life</w:t>
            </w:r>
          </w:p>
        </w:tc>
        <w:tc>
          <w:tcPr>
            <w:tcW w:w="780" w:type="dxa"/>
            <w:vAlign w:val="bottom"/>
          </w:tcPr>
          <w:p>
            <w:pPr>
              <w:spacing w:after="0"/>
              <w:rPr>
                <w:sz w:val="18"/>
                <w:szCs w:val="18"/>
                <w:color w:val="auto"/>
              </w:rPr>
            </w:pPr>
          </w:p>
        </w:tc>
      </w:tr>
      <w:tr>
        <w:trPr>
          <w:trHeight w:val="179"/>
        </w:trPr>
        <w:tc>
          <w:tcPr>
            <w:tcW w:w="800" w:type="dxa"/>
            <w:vAlign w:val="bottom"/>
          </w:tcPr>
          <w:p>
            <w:pPr>
              <w:spacing w:after="0"/>
              <w:rPr>
                <w:sz w:val="15"/>
                <w:szCs w:val="15"/>
                <w:color w:val="auto"/>
              </w:rPr>
            </w:pPr>
          </w:p>
        </w:tc>
        <w:tc>
          <w:tcPr>
            <w:tcW w:w="4500" w:type="dxa"/>
            <w:vAlign w:val="bottom"/>
          </w:tcPr>
          <w:p>
            <w:pPr>
              <w:ind w:left="600"/>
              <w:spacing w:after="0" w:line="180" w:lineRule="exact"/>
              <w:rPr>
                <w:sz w:val="20"/>
                <w:szCs w:val="20"/>
                <w:color w:val="auto"/>
              </w:rPr>
            </w:pPr>
            <w:r>
              <w:rPr>
                <w:rFonts w:ascii="Arial" w:cs="Arial" w:eastAsia="Arial" w:hAnsi="Arial"/>
                <w:sz w:val="17"/>
                <w:szCs w:val="17"/>
                <w:color w:val="181717"/>
              </w:rPr>
              <w:t>Computer software</w:t>
            </w:r>
          </w:p>
        </w:tc>
        <w:tc>
          <w:tcPr>
            <w:tcW w:w="640" w:type="dxa"/>
            <w:vAlign w:val="bottom"/>
          </w:tcPr>
          <w:p>
            <w:pPr>
              <w:spacing w:after="0"/>
              <w:rPr>
                <w:sz w:val="15"/>
                <w:szCs w:val="15"/>
                <w:color w:val="auto"/>
              </w:rPr>
            </w:pPr>
          </w:p>
        </w:tc>
        <w:tc>
          <w:tcPr>
            <w:tcW w:w="4520" w:type="dxa"/>
            <w:vAlign w:val="bottom"/>
          </w:tcPr>
          <w:p>
            <w:pPr>
              <w:ind w:left="600"/>
              <w:spacing w:after="0" w:line="180" w:lineRule="exact"/>
              <w:rPr>
                <w:sz w:val="20"/>
                <w:szCs w:val="20"/>
                <w:color w:val="auto"/>
              </w:rPr>
            </w:pPr>
            <w:r>
              <w:rPr>
                <w:rFonts w:ascii="Arial" w:cs="Arial" w:eastAsia="Arial" w:hAnsi="Arial"/>
                <w:sz w:val="17"/>
                <w:szCs w:val="17"/>
                <w:color w:val="181717"/>
              </w:rPr>
              <w:t>3 years</w:t>
            </w:r>
          </w:p>
        </w:tc>
        <w:tc>
          <w:tcPr>
            <w:tcW w:w="780" w:type="dxa"/>
            <w:vAlign w:val="bottom"/>
          </w:tcPr>
          <w:p>
            <w:pPr>
              <w:spacing w:after="0"/>
              <w:rPr>
                <w:sz w:val="15"/>
                <w:szCs w:val="15"/>
                <w:color w:val="auto"/>
              </w:rPr>
            </w:pPr>
          </w:p>
        </w:tc>
      </w:tr>
      <w:tr>
        <w:trPr>
          <w:trHeight w:val="212"/>
        </w:trPr>
        <w:tc>
          <w:tcPr>
            <w:tcW w:w="800" w:type="dxa"/>
            <w:vAlign w:val="bottom"/>
          </w:tcPr>
          <w:p>
            <w:pPr>
              <w:spacing w:after="0"/>
              <w:rPr>
                <w:sz w:val="18"/>
                <w:szCs w:val="18"/>
                <w:color w:val="auto"/>
              </w:rPr>
            </w:pPr>
          </w:p>
        </w:tc>
        <w:tc>
          <w:tcPr>
            <w:tcW w:w="4500" w:type="dxa"/>
            <w:vAlign w:val="bottom"/>
          </w:tcPr>
          <w:p>
            <w:pPr>
              <w:ind w:left="600"/>
              <w:spacing w:after="0"/>
              <w:rPr>
                <w:sz w:val="20"/>
                <w:szCs w:val="20"/>
                <w:color w:val="auto"/>
              </w:rPr>
            </w:pPr>
            <w:r>
              <w:rPr>
                <w:rFonts w:ascii="Arial" w:cs="Arial" w:eastAsia="Arial" w:hAnsi="Arial"/>
                <w:sz w:val="17"/>
                <w:szCs w:val="17"/>
                <w:color w:val="181717"/>
              </w:rPr>
              <w:t>License</w:t>
            </w:r>
          </w:p>
        </w:tc>
        <w:tc>
          <w:tcPr>
            <w:tcW w:w="640" w:type="dxa"/>
            <w:vAlign w:val="bottom"/>
          </w:tcPr>
          <w:p>
            <w:pPr>
              <w:spacing w:after="0"/>
              <w:rPr>
                <w:sz w:val="18"/>
                <w:szCs w:val="18"/>
                <w:color w:val="auto"/>
              </w:rPr>
            </w:pPr>
          </w:p>
        </w:tc>
        <w:tc>
          <w:tcPr>
            <w:tcW w:w="4520" w:type="dxa"/>
            <w:vAlign w:val="bottom"/>
          </w:tcPr>
          <w:p>
            <w:pPr>
              <w:ind w:left="600"/>
              <w:spacing w:after="0"/>
              <w:rPr>
                <w:sz w:val="20"/>
                <w:szCs w:val="20"/>
                <w:color w:val="auto"/>
              </w:rPr>
            </w:pPr>
            <w:r>
              <w:rPr>
                <w:rFonts w:ascii="Arial" w:cs="Arial" w:eastAsia="Arial" w:hAnsi="Arial"/>
                <w:sz w:val="17"/>
                <w:szCs w:val="17"/>
                <w:color w:val="181717"/>
              </w:rPr>
              <w:t>5 years</w:t>
            </w:r>
          </w:p>
        </w:tc>
        <w:tc>
          <w:tcPr>
            <w:tcW w:w="780" w:type="dxa"/>
            <w:vAlign w:val="bottom"/>
          </w:tcPr>
          <w:p>
            <w:pPr>
              <w:spacing w:after="0"/>
              <w:rPr>
                <w:sz w:val="18"/>
                <w:szCs w:val="18"/>
                <w:color w:val="auto"/>
              </w:rPr>
            </w:pPr>
          </w:p>
        </w:tc>
      </w:tr>
      <w:tr>
        <w:trPr>
          <w:trHeight w:val="822"/>
        </w:trPr>
        <w:tc>
          <w:tcPr>
            <w:tcW w:w="8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7"/>
                <w:szCs w:val="17"/>
                <w:color w:val="181717"/>
              </w:rPr>
              <w:t>F-14</w:t>
            </w:r>
          </w:p>
        </w:tc>
        <w:tc>
          <w:tcPr>
            <w:tcW w:w="780" w:type="dxa"/>
            <w:vAlign w:val="bottom"/>
          </w:tcPr>
          <w:p>
            <w:pPr>
              <w:spacing w:after="0"/>
              <w:rPr>
                <w:sz w:val="24"/>
                <w:szCs w:val="24"/>
                <w:color w:val="auto"/>
              </w:rPr>
            </w:pPr>
          </w:p>
        </w:tc>
      </w:tr>
      <w:tr>
        <w:trPr>
          <w:trHeight w:val="104"/>
        </w:trPr>
        <w:tc>
          <w:tcPr>
            <w:tcW w:w="80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780" w:hanging="780"/>
        <w:spacing w:after="0"/>
        <w:tabs>
          <w:tab w:leader="none" w:pos="78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color w:val="auto"/>
        </w:rPr>
        <w:t>- continued</w:t>
      </w:r>
    </w:p>
    <w:p>
      <w:pPr>
        <w:spacing w:after="0" w:line="232"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Land use right, net</w:t>
      </w:r>
    </w:p>
    <w:p>
      <w:pPr>
        <w:spacing w:after="0" w:line="228" w:lineRule="exact"/>
        <w:rPr>
          <w:rFonts w:ascii="Arial" w:cs="Arial" w:eastAsia="Arial" w:hAnsi="Arial"/>
          <w:sz w:val="17"/>
          <w:szCs w:val="17"/>
          <w:b w:val="1"/>
          <w:bCs w:val="1"/>
          <w:color w:val="auto"/>
        </w:rPr>
      </w:pPr>
    </w:p>
    <w:p>
      <w:pPr>
        <w:ind w:left="780"/>
        <w:spacing w:after="0"/>
        <w:rPr>
          <w:rFonts w:ascii="Arial" w:cs="Arial" w:eastAsia="Arial" w:hAnsi="Arial"/>
          <w:sz w:val="17"/>
          <w:szCs w:val="17"/>
          <w:b w:val="1"/>
          <w:bCs w:val="1"/>
          <w:color w:val="auto"/>
        </w:rPr>
      </w:pPr>
      <w:r>
        <w:rPr>
          <w:rFonts w:ascii="Arial" w:cs="Arial" w:eastAsia="Arial" w:hAnsi="Arial"/>
          <w:sz w:val="15"/>
          <w:szCs w:val="15"/>
          <w:color w:val="auto"/>
        </w:rPr>
        <w:t>Land use right is recorded at cost less accumulated amortization and amortized on a straight-line basis over the term of the land certificate of 50 years.</w:t>
      </w:r>
    </w:p>
    <w:p>
      <w:pPr>
        <w:spacing w:after="0" w:line="251"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Impairment of long-lived assets</w:t>
      </w:r>
    </w:p>
    <w:p>
      <w:pPr>
        <w:spacing w:after="0" w:line="228" w:lineRule="exact"/>
        <w:rPr>
          <w:rFonts w:ascii="Arial" w:cs="Arial" w:eastAsia="Arial" w:hAnsi="Arial"/>
          <w:sz w:val="17"/>
          <w:szCs w:val="17"/>
          <w:b w:val="1"/>
          <w:bCs w:val="1"/>
          <w:color w:val="auto"/>
        </w:rPr>
      </w:pPr>
    </w:p>
    <w:p>
      <w:pPr>
        <w:ind w:left="800" w:right="20"/>
        <w:spacing w:after="0" w:line="291" w:lineRule="auto"/>
        <w:rPr>
          <w:rFonts w:ascii="Arial" w:cs="Arial" w:eastAsia="Arial" w:hAnsi="Arial"/>
          <w:sz w:val="17"/>
          <w:szCs w:val="17"/>
          <w:b w:val="1"/>
          <w:bCs w:val="1"/>
          <w:color w:val="auto"/>
        </w:rPr>
      </w:pPr>
      <w:r>
        <w:rPr>
          <w:rFonts w:ascii="Arial" w:cs="Arial" w:eastAsia="Arial" w:hAnsi="Arial"/>
          <w:sz w:val="15"/>
          <w:szCs w:val="15"/>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based on the fair value of the assets. The Group did not record any impairment losses on its long-lived assets during the years ended December 31, 2018, 2019 and 2020.</w:t>
      </w:r>
    </w:p>
    <w:p>
      <w:pPr>
        <w:spacing w:after="0" w:line="175"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 recognition</w:t>
      </w:r>
    </w:p>
    <w:p>
      <w:pPr>
        <w:spacing w:after="0" w:line="228" w:lineRule="exact"/>
        <w:rPr>
          <w:rFonts w:ascii="Arial" w:cs="Arial" w:eastAsia="Arial" w:hAnsi="Arial"/>
          <w:sz w:val="17"/>
          <w:szCs w:val="17"/>
          <w:b w:val="1"/>
          <w:bCs w:val="1"/>
          <w:color w:val="auto"/>
        </w:rPr>
      </w:pPr>
    </w:p>
    <w:p>
      <w:pPr>
        <w:ind w:left="80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Group follows five steps for its revenue recognition under ASC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76" w:lineRule="exact"/>
        <w:rPr>
          <w:rFonts w:ascii="Arial" w:cs="Arial" w:eastAsia="Arial" w:hAnsi="Arial"/>
          <w:sz w:val="17"/>
          <w:szCs w:val="17"/>
          <w:b w:val="1"/>
          <w:bCs w:val="1"/>
          <w:color w:val="auto"/>
        </w:rPr>
      </w:pPr>
    </w:p>
    <w:p>
      <w:pPr>
        <w:ind w:left="800" w:right="540"/>
        <w:spacing w:after="0" w:line="520" w:lineRule="auto"/>
        <w:rPr>
          <w:rFonts w:ascii="Arial" w:cs="Arial" w:eastAsia="Arial" w:hAnsi="Arial"/>
          <w:sz w:val="17"/>
          <w:szCs w:val="17"/>
          <w:b w:val="1"/>
          <w:bCs w:val="1"/>
          <w:color w:val="auto"/>
        </w:rPr>
      </w:pPr>
      <w:r>
        <w:rPr>
          <w:rFonts w:ascii="Arial" w:cs="Arial" w:eastAsia="Arial" w:hAnsi="Arial"/>
          <w:sz w:val="17"/>
          <w:szCs w:val="17"/>
          <w:color w:val="auto"/>
        </w:rPr>
        <w:t xml:space="preserve">The Group’s revenue is reported net of discount, value added tax and related surcharges. The primary sources of the Group’s revenues are as follows: </w:t>
      </w:r>
      <w:r>
        <w:rPr>
          <w:rFonts w:ascii="Arial" w:cs="Arial" w:eastAsia="Arial" w:hAnsi="Arial"/>
          <w:sz w:val="17"/>
          <w:szCs w:val="17"/>
          <w:i w:val="1"/>
          <w:iCs w:val="1"/>
          <w:color w:val="auto"/>
        </w:rPr>
        <w:t>Online education services</w:t>
      </w:r>
    </w:p>
    <w:p>
      <w:pPr>
        <w:ind w:left="800" w:right="120"/>
        <w:spacing w:after="0" w:line="340" w:lineRule="auto"/>
        <w:rPr>
          <w:rFonts w:ascii="Arial" w:cs="Arial" w:eastAsia="Arial" w:hAnsi="Arial"/>
          <w:sz w:val="17"/>
          <w:szCs w:val="17"/>
          <w:b w:val="1"/>
          <w:bCs w:val="1"/>
          <w:color w:val="auto"/>
        </w:rPr>
      </w:pPr>
      <w:r>
        <w:rPr>
          <w:rFonts w:ascii="Arial" w:cs="Arial" w:eastAsia="Arial" w:hAnsi="Arial"/>
          <w:sz w:val="13"/>
          <w:szCs w:val="13"/>
          <w:color w:val="auto"/>
        </w:rPr>
        <w:t>For online education services, the Group provides an integrated online education service package to students, including online live streaming audio-video interactive course content, recorded previous live audio-video course content, quiz banks, online chat rooms, and educational contents. The services and goods provided in the package are highly interdependent and interrelated in the context of the contract and are only considered accessory services to the online live streaming and recorded courses which are not distinct and are not sold standalone. Therefore, the Group's integrated online education services package is accounted for as a single performance obligation. The weighted average service period for degree- or diploma-oriented post-secondary courses and professional certification preparation and professional skills courses was 30 months and 9 months, respectively, for the year ended December 31, 2020.</w:t>
      </w:r>
    </w:p>
    <w:p>
      <w:pPr>
        <w:spacing w:after="0" w:line="149" w:lineRule="exact"/>
        <w:rPr>
          <w:rFonts w:ascii="Arial" w:cs="Arial" w:eastAsia="Arial" w:hAnsi="Arial"/>
          <w:sz w:val="17"/>
          <w:szCs w:val="17"/>
          <w:b w:val="1"/>
          <w:bCs w:val="1"/>
          <w:color w:val="auto"/>
        </w:rPr>
      </w:pPr>
    </w:p>
    <w:p>
      <w:pPr>
        <w:ind w:left="780" w:right="28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transaction price of the integrated online education service package is determined by the contract amount net of any discounts. Students are offered a full, unconditional refund within 24 hours upon enrollment. Prior to June 2019, undelivered courses was eligible for refund, excluding registration fees, within 7 days after enrollment. For course contracts entered after June 2019, undelivered courses is eligible for refund during the entire service period, excluding registration fees.</w:t>
      </w:r>
    </w:p>
    <w:p>
      <w:pPr>
        <w:spacing w:after="0" w:line="178" w:lineRule="exact"/>
        <w:rPr>
          <w:rFonts w:ascii="Arial" w:cs="Arial" w:eastAsia="Arial" w:hAnsi="Arial"/>
          <w:sz w:val="17"/>
          <w:szCs w:val="17"/>
          <w:b w:val="1"/>
          <w:bCs w:val="1"/>
          <w:color w:val="auto"/>
        </w:rPr>
      </w:pPr>
    </w:p>
    <w:p>
      <w:pPr>
        <w:ind w:left="800" w:right="4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Revenues for online education services are recognized on a straight line basis over the service period from the registration day to the day on which the service period ends.</w:t>
      </w:r>
    </w:p>
    <w:p>
      <w:pPr>
        <w:spacing w:after="0" w:line="167" w:lineRule="exact"/>
        <w:rPr>
          <w:rFonts w:ascii="Arial" w:cs="Arial" w:eastAsia="Arial" w:hAnsi="Arial"/>
          <w:sz w:val="17"/>
          <w:szCs w:val="17"/>
          <w:b w:val="1"/>
          <w:bCs w:val="1"/>
          <w:color w:val="auto"/>
        </w:rPr>
      </w:pPr>
    </w:p>
    <w:p>
      <w:pPr>
        <w:ind w:left="800" w:right="40"/>
        <w:spacing w:after="0" w:line="267" w:lineRule="auto"/>
        <w:rPr>
          <w:rFonts w:ascii="Arial" w:cs="Arial" w:eastAsia="Arial" w:hAnsi="Arial"/>
          <w:sz w:val="17"/>
          <w:szCs w:val="17"/>
          <w:b w:val="1"/>
          <w:bCs w:val="1"/>
          <w:color w:val="auto"/>
        </w:rPr>
      </w:pPr>
      <w:r>
        <w:rPr>
          <w:rFonts w:ascii="Arial" w:cs="Arial" w:eastAsia="Arial" w:hAnsi="Arial"/>
          <w:sz w:val="16"/>
          <w:szCs w:val="16"/>
          <w:color w:val="auto"/>
        </w:rPr>
        <w:t>For certain online courses, the Group provided students the right to apply for refund or cash incentive if certain pre-agreed conditions are achieved. The Group estimated the variable consideration to be earned to the extent it was probable that a significant reversal of cumulative revenue recognized would not occur when the uncertainty associated with the variable consideration was resolved and recognized revenue over time from the registration day to the day on which the service period ended on a straight line basis. The Group's estimates of variable consideration and determination of whether to include estimated amounts in the transaction price were based largely on an assessment of the Group's anticipated performance and all information (historical, current and forecasted) that was reasonably available.</w:t>
      </w:r>
    </w:p>
    <w:p>
      <w:pPr>
        <w:spacing w:after="0" w:line="191" w:lineRule="exact"/>
        <w:rPr>
          <w:rFonts w:ascii="Arial" w:cs="Arial" w:eastAsia="Arial" w:hAnsi="Arial"/>
          <w:sz w:val="17"/>
          <w:szCs w:val="17"/>
          <w:b w:val="1"/>
          <w:bCs w:val="1"/>
          <w:color w:val="auto"/>
        </w:rPr>
      </w:pPr>
    </w:p>
    <w:p>
      <w:pPr>
        <w:ind w:left="800" w:right="100"/>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For certain online courses, the service period includes a regular period plus an extended period. The Group offers students an extended service period after the regular period if certain pre-agreed conditions are met. Based on historical passing rates, and forecasted passing rates due to continuous improvement of service quality, the Group applies and categorizes the students by portfolio (1) eligible to extended period and (2) not eligible to extended period and estimates the portion of each portfolio. The Group recognizes the revenue on each portfolio over time from the registration day to the day on which the service is expected to end on a straight line basis.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right="6520" w:hanging="800"/>
        <w:spacing w:after="0" w:line="507" w:lineRule="auto"/>
        <w:tabs>
          <w:tab w:leader="none" w:pos="79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continued</w:t>
      </w:r>
    </w:p>
    <w:p>
      <w:pPr>
        <w:ind w:left="80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Online education services-continued</w:t>
      </w:r>
    </w:p>
    <w:p>
      <w:pPr>
        <w:spacing w:after="0" w:line="228" w:lineRule="exact"/>
        <w:rPr>
          <w:rFonts w:ascii="Arial" w:cs="Arial" w:eastAsia="Arial" w:hAnsi="Arial"/>
          <w:sz w:val="17"/>
          <w:szCs w:val="17"/>
          <w:b w:val="1"/>
          <w:bCs w:val="1"/>
          <w:color w:val="auto"/>
        </w:rPr>
      </w:pPr>
    </w:p>
    <w:p>
      <w:pPr>
        <w:ind w:left="800"/>
        <w:spacing w:after="0" w:line="268" w:lineRule="auto"/>
        <w:rPr>
          <w:rFonts w:ascii="Arial" w:cs="Arial" w:eastAsia="Arial" w:hAnsi="Arial"/>
          <w:sz w:val="17"/>
          <w:szCs w:val="17"/>
          <w:b w:val="1"/>
          <w:bCs w:val="1"/>
          <w:color w:val="auto"/>
        </w:rPr>
      </w:pPr>
      <w:r>
        <w:rPr>
          <w:rFonts w:ascii="Arial" w:cs="Arial" w:eastAsia="Arial" w:hAnsi="Arial"/>
          <w:sz w:val="16"/>
          <w:szCs w:val="16"/>
          <w:color w:val="auto"/>
        </w:rPr>
        <w:t>For certain online courses, the Group offers a bundled service including an integrated online education service package with insurance coverage for tuition refund. If certain refund conditions are met, students could claim the insurance equal to full or partial amount of the service fee. The Group identifies that the integrated online education service package and the insurance service are two separate performance obligations as students benefit from each service on its own and they are separately identifiable in the contract. The Group records revenue generated from online education services with insurance coverage on a gross basis as the Group is acting as the principal to fulfill all obligation and control all the services transferred to the students. The total service fee is allocated to each performance obligation based on selling prices, which are estimated based on the expected cost of satisfying each performance obligation plus an estimated margin. Revenues for integrated online education service and the insurance service are recognized over their respective service periods on a straight line basis from the registration day to the day on which the service period ends as the students simultaneously receives and consumes the benefits provided by these two performance obligations.</w:t>
      </w:r>
    </w:p>
    <w:p>
      <w:pPr>
        <w:spacing w:after="0" w:line="193" w:lineRule="exact"/>
        <w:rPr>
          <w:rFonts w:ascii="Arial" w:cs="Arial" w:eastAsia="Arial" w:hAnsi="Arial"/>
          <w:sz w:val="17"/>
          <w:szCs w:val="17"/>
          <w:b w:val="1"/>
          <w:bCs w:val="1"/>
          <w:color w:val="auto"/>
        </w:rPr>
      </w:pPr>
    </w:p>
    <w:p>
      <w:pPr>
        <w:ind w:left="800" w:right="30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Group's deferred costs represent the unamortized incremental sales commission relating to obtaining of customers contract, and the contract liability primarily consists of deferred revenue.</w:t>
      </w:r>
    </w:p>
    <w:p>
      <w:pPr>
        <w:spacing w:after="0" w:line="192"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Student Financing</w:t>
      </w:r>
    </w:p>
    <w:p>
      <w:pPr>
        <w:spacing w:after="0" w:line="228" w:lineRule="exact"/>
        <w:rPr>
          <w:rFonts w:ascii="Arial" w:cs="Arial" w:eastAsia="Arial" w:hAnsi="Arial"/>
          <w:sz w:val="17"/>
          <w:szCs w:val="17"/>
          <w:b w:val="1"/>
          <w:bCs w:val="1"/>
          <w:color w:val="auto"/>
        </w:rPr>
      </w:pPr>
    </w:p>
    <w:p>
      <w:pPr>
        <w:ind w:left="800" w:right="60"/>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The Group offers an installment payment option to students, under which the students obtain loans, from accredited credit sources (“Loan Companies”) for the purpose of satisfying the student’s tuition payment due. The borrowing student is obligated to repay the loan principal in installments over periods ranging from 3 months to 18 months to the Loan Companies, while the Group agrees with the Loan Companies to bear the student’s interest expense and service fees. The Loan Companies remit the tuition to the Group for students to complete the registration. The interest expense and service fees are recorded as a reduction of the transaction price.</w:t>
      </w:r>
    </w:p>
    <w:p>
      <w:pPr>
        <w:spacing w:after="0" w:line="206"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Commission revenue</w:t>
      </w:r>
    </w:p>
    <w:p>
      <w:pPr>
        <w:spacing w:after="0" w:line="228" w:lineRule="exact"/>
        <w:rPr>
          <w:rFonts w:ascii="Arial" w:cs="Arial" w:eastAsia="Arial" w:hAnsi="Arial"/>
          <w:sz w:val="17"/>
          <w:szCs w:val="17"/>
          <w:b w:val="1"/>
          <w:bCs w:val="1"/>
          <w:color w:val="auto"/>
        </w:rPr>
      </w:pPr>
    </w:p>
    <w:p>
      <w:pPr>
        <w:ind w:left="800" w:right="120"/>
        <w:spacing w:after="0" w:line="296" w:lineRule="auto"/>
        <w:rPr>
          <w:rFonts w:ascii="Arial" w:cs="Arial" w:eastAsia="Arial" w:hAnsi="Arial"/>
          <w:sz w:val="17"/>
          <w:szCs w:val="17"/>
          <w:b w:val="1"/>
          <w:bCs w:val="1"/>
          <w:color w:val="auto"/>
        </w:rPr>
      </w:pPr>
      <w:r>
        <w:rPr>
          <w:rFonts w:ascii="Arial" w:cs="Arial" w:eastAsia="Arial" w:hAnsi="Arial"/>
          <w:sz w:val="16"/>
          <w:szCs w:val="16"/>
          <w:color w:val="auto"/>
        </w:rPr>
        <w:t>The Group earns commission revenue by providing referral services to third party institutions. Commission revenue is recognized at the point in time when the referred students complete registration at the third party institutions, by when the performance obligation of the Group is satisfied.</w:t>
      </w:r>
    </w:p>
    <w:p>
      <w:pPr>
        <w:spacing w:after="0" w:line="169"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Deferred Revenue</w:t>
      </w:r>
    </w:p>
    <w:p>
      <w:pPr>
        <w:spacing w:after="0" w:line="228" w:lineRule="exact"/>
        <w:rPr>
          <w:rFonts w:ascii="Arial" w:cs="Arial" w:eastAsia="Arial" w:hAnsi="Arial"/>
          <w:sz w:val="17"/>
          <w:szCs w:val="17"/>
          <w:b w:val="1"/>
          <w:bCs w:val="1"/>
          <w:color w:val="auto"/>
        </w:rPr>
      </w:pPr>
    </w:p>
    <w:p>
      <w:pPr>
        <w:ind w:left="800" w:right="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Revenues related to the Group’s online courses are recognized over time. Deferred revenue consists of tuition fees received from students for which services have not yet been provided to students.</w:t>
      </w:r>
    </w:p>
    <w:p>
      <w:pPr>
        <w:spacing w:after="0" w:line="192"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Value added taxes (“VAT”)</w:t>
      </w:r>
    </w:p>
    <w:p>
      <w:pPr>
        <w:spacing w:after="0" w:line="228" w:lineRule="exact"/>
        <w:rPr>
          <w:rFonts w:ascii="Arial" w:cs="Arial" w:eastAsia="Arial" w:hAnsi="Arial"/>
          <w:sz w:val="17"/>
          <w:szCs w:val="17"/>
          <w:b w:val="1"/>
          <w:bCs w:val="1"/>
          <w:color w:val="auto"/>
        </w:rPr>
      </w:pPr>
    </w:p>
    <w:p>
      <w:pPr>
        <w:ind w:left="800" w:right="2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Group's services are subject to VAT at the rate of 6% for general-VAT-payer entities in accordance with tax rule, except that certain subsidiaries were subject to a simple VAT collection method at a rate of 3% before June 2019.</w:t>
      </w:r>
    </w:p>
    <w:p>
      <w:pPr>
        <w:spacing w:after="0" w:line="192" w:lineRule="exact"/>
        <w:rPr>
          <w:rFonts w:ascii="Arial" w:cs="Arial" w:eastAsia="Arial" w:hAnsi="Arial"/>
          <w:sz w:val="17"/>
          <w:szCs w:val="17"/>
          <w:b w:val="1"/>
          <w:bCs w:val="1"/>
          <w:color w:val="auto"/>
        </w:rPr>
      </w:pPr>
    </w:p>
    <w:p>
      <w:pPr>
        <w:ind w:left="800" w:right="60"/>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Since January 2020, in accordance with Announcement of the Ministry of Finance and the State Taxation Administration [2020] No.8, due to the Novel coronavirus (“COVID-19”) pandemic, the VAT on certain services was temporarily exempted for the year ended December 31, 2020. The VAT exemption is recorded as other income in the consolidated statements of operations in the year ended December 31, 2020.</w:t>
      </w:r>
    </w:p>
    <w:p>
      <w:pPr>
        <w:spacing w:after="0" w:line="182"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Cost of revenue</w:t>
      </w:r>
    </w:p>
    <w:p>
      <w:pPr>
        <w:spacing w:after="0" w:line="228" w:lineRule="exact"/>
        <w:rPr>
          <w:rFonts w:ascii="Arial" w:cs="Arial" w:eastAsia="Arial" w:hAnsi="Arial"/>
          <w:sz w:val="17"/>
          <w:szCs w:val="17"/>
          <w:b w:val="1"/>
          <w:bCs w:val="1"/>
          <w:color w:val="auto"/>
        </w:rPr>
      </w:pPr>
    </w:p>
    <w:p>
      <w:pPr>
        <w:jc w:val="both"/>
        <w:ind w:left="800" w:right="10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Cost of revenues consist of expenditures incurred in the generation of the Group’s revenue, includes but not limited to salaries and benefits paid to teachers, related rental expenses, server management costs, bandwidth costs, payment processing costs, insurance cost, depreciations for property and equipment and amortizations for intangible assets.</w:t>
      </w:r>
    </w:p>
    <w:p>
      <w:pPr>
        <w:spacing w:after="0" w:line="201"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Product development expenses</w:t>
      </w:r>
    </w:p>
    <w:p>
      <w:pPr>
        <w:spacing w:after="0" w:line="228" w:lineRule="exact"/>
        <w:rPr>
          <w:rFonts w:ascii="Arial" w:cs="Arial" w:eastAsia="Arial" w:hAnsi="Arial"/>
          <w:sz w:val="17"/>
          <w:szCs w:val="17"/>
          <w:b w:val="1"/>
          <w:bCs w:val="1"/>
          <w:color w:val="auto"/>
        </w:rPr>
      </w:pPr>
    </w:p>
    <w:p>
      <w:pPr>
        <w:ind w:left="800" w:right="460"/>
        <w:spacing w:after="0" w:line="272" w:lineRule="auto"/>
        <w:rPr>
          <w:rFonts w:ascii="Arial" w:cs="Arial" w:eastAsia="Arial" w:hAnsi="Arial"/>
          <w:sz w:val="17"/>
          <w:szCs w:val="17"/>
          <w:b w:val="1"/>
          <w:bCs w:val="1"/>
          <w:color w:val="auto"/>
        </w:rPr>
      </w:pPr>
      <w:r>
        <w:rPr>
          <w:rFonts w:ascii="Arial" w:cs="Arial" w:eastAsia="Arial" w:hAnsi="Arial"/>
          <w:sz w:val="16"/>
          <w:szCs w:val="16"/>
          <w:color w:val="auto"/>
        </w:rPr>
        <w:t>Product development expenses primarily consist of (i) salaries and benefits for innovation and development of course content, product and technology development personnel, and (ii) office rental, general expenses and depreciation and amortization expenses associated with the product development activities. The Group’s product development activities primarily consist of the development and enhancement of the Group’s educational content, applications and platforms. The Group has expensed all product development expenses when incurred.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780" w:hanging="780"/>
        <w:spacing w:after="0"/>
        <w:tabs>
          <w:tab w:leader="none" w:pos="78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color w:val="auto"/>
        </w:rPr>
        <w:t>- continued</w:t>
      </w:r>
    </w:p>
    <w:p>
      <w:pPr>
        <w:spacing w:after="0" w:line="232"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Sales commission</w:t>
      </w:r>
    </w:p>
    <w:p>
      <w:pPr>
        <w:spacing w:after="0" w:line="228" w:lineRule="exact"/>
        <w:rPr>
          <w:rFonts w:ascii="Arial" w:cs="Arial" w:eastAsia="Arial" w:hAnsi="Arial"/>
          <w:sz w:val="17"/>
          <w:szCs w:val="17"/>
          <w:b w:val="1"/>
          <w:bCs w:val="1"/>
          <w:color w:val="auto"/>
        </w:rPr>
      </w:pPr>
    </w:p>
    <w:p>
      <w:pPr>
        <w:ind w:left="800" w:right="12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incremental sales commission relating to obtaining of the customer contract and expected to be recovered is accounted for as an incremental cost of obtaining a contract and is capitalized as deferred costs when incurred. The capitalized cost is amortized in the same manner as the revenue recognized and is included in “sales and marketing expenses” in the consolidated statements of operations.</w:t>
      </w:r>
    </w:p>
    <w:p>
      <w:pPr>
        <w:spacing w:after="0" w:line="201"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color w:val="auto"/>
        </w:rPr>
        <w:t>Other sales commission incurred regardless of whether the contract was obtained is recognized as an expense when incurred.</w:t>
      </w:r>
    </w:p>
    <w:p>
      <w:pPr>
        <w:spacing w:after="0" w:line="228"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Advertising expenditure</w:t>
      </w:r>
    </w:p>
    <w:p>
      <w:pPr>
        <w:spacing w:after="0" w:line="228" w:lineRule="exact"/>
        <w:rPr>
          <w:rFonts w:ascii="Arial" w:cs="Arial" w:eastAsia="Arial" w:hAnsi="Arial"/>
          <w:sz w:val="17"/>
          <w:szCs w:val="17"/>
          <w:b w:val="1"/>
          <w:bCs w:val="1"/>
          <w:color w:val="auto"/>
        </w:rPr>
      </w:pPr>
    </w:p>
    <w:p>
      <w:pPr>
        <w:jc w:val="both"/>
        <w:ind w:left="800" w:right="8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Advertising expenditure, mainly including search engine marketing and mobile marketing expenses, is expensed when incurred and is included in sales and marketing expenses in the consolidated statements of operations. Advertising expenses were RMB983,012, RMB937,145 and RMB1,090,933 for the years ended December 31, 2018, 2019 and 2020, respectively.</w:t>
      </w:r>
    </w:p>
    <w:p>
      <w:pPr>
        <w:spacing w:after="0" w:line="201"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Sales and marketing expenses</w:t>
      </w:r>
    </w:p>
    <w:p>
      <w:pPr>
        <w:spacing w:after="0" w:line="228" w:lineRule="exact"/>
        <w:rPr>
          <w:rFonts w:ascii="Arial" w:cs="Arial" w:eastAsia="Arial" w:hAnsi="Arial"/>
          <w:sz w:val="17"/>
          <w:szCs w:val="17"/>
          <w:b w:val="1"/>
          <w:bCs w:val="1"/>
          <w:color w:val="auto"/>
        </w:rPr>
      </w:pPr>
    </w:p>
    <w:p>
      <w:pPr>
        <w:ind w:left="800" w:right="2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Sales and marketing expenses primarily consist of (i) salaries and benefits for sales and marketing personnel, (ii) search engine marketing and mobile marketing expenses and other advertising expenses, (iii) office rental, general expenses and depreciation and amortization expenses associated with the sales and marketing activities.</w:t>
      </w:r>
    </w:p>
    <w:p>
      <w:pPr>
        <w:spacing w:after="0" w:line="263"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Leases</w:t>
      </w:r>
    </w:p>
    <w:p>
      <w:pPr>
        <w:spacing w:after="0" w:line="228" w:lineRule="exact"/>
        <w:rPr>
          <w:rFonts w:ascii="Arial" w:cs="Arial" w:eastAsia="Arial" w:hAnsi="Arial"/>
          <w:sz w:val="17"/>
          <w:szCs w:val="17"/>
          <w:b w:val="1"/>
          <w:bCs w:val="1"/>
          <w:color w:val="auto"/>
        </w:rPr>
      </w:pPr>
    </w:p>
    <w:p>
      <w:pPr>
        <w:ind w:left="800" w:hanging="15"/>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Group adopted Topic 842 on January 1, 2019 using the modified retrospective transition approach under ASU 2018-11, without adjusting comparative periods presented. The Group elected the practical expedient package to not reassess prior conclusions related to contracts containing leases, lease classification, and initial direct costs for any existing leases and the Group elected not to record on the balance sheets for leases with an initial term of twelve months or less.</w:t>
      </w:r>
    </w:p>
    <w:p>
      <w:pPr>
        <w:spacing w:after="0" w:line="203" w:lineRule="exact"/>
        <w:rPr>
          <w:rFonts w:ascii="Arial" w:cs="Arial" w:eastAsia="Arial" w:hAnsi="Arial"/>
          <w:sz w:val="17"/>
          <w:szCs w:val="17"/>
          <w:b w:val="1"/>
          <w:bCs w:val="1"/>
          <w:color w:val="auto"/>
        </w:rPr>
      </w:pPr>
    </w:p>
    <w:p>
      <w:pPr>
        <w:ind w:left="800"/>
        <w:spacing w:after="0" w:line="264" w:lineRule="auto"/>
        <w:rPr>
          <w:rFonts w:ascii="Arial" w:cs="Arial" w:eastAsia="Arial" w:hAnsi="Arial"/>
          <w:sz w:val="17"/>
          <w:szCs w:val="17"/>
          <w:b w:val="1"/>
          <w:bCs w:val="1"/>
          <w:color w:val="auto"/>
        </w:rPr>
      </w:pPr>
      <w:r>
        <w:rPr>
          <w:rFonts w:ascii="Arial" w:cs="Arial" w:eastAsia="Arial" w:hAnsi="Arial"/>
          <w:sz w:val="16"/>
          <w:szCs w:val="16"/>
          <w:color w:val="auto"/>
        </w:rPr>
        <w:t>The Group leases administrative office spaces and enrollment centers in different cities in the PRC under operating leases. The Group determines whether an arrangement constitutes a lease at inception. The Group has lease agreements with lease and non-lease components, which are generally accounted for separately. The allocation of the consideration between the lease and the non-lease components is based on the relative stand-alone prices of lease components included in the lease contracts. Operating lease right-of-use assets and liabilities are recognized at lease commencement date based on the present value of remaining lease payments over the lease terms. The Group uses the implicit rate when readily determinable, or its incremental borrowing rate based on the information available, at the commencement date in determining the present value of lease payments. Certain leases include renewal options and/or termination options. Renewal options are included in the lease term if the Group is reasonably certain to exercise those options while options to terminate the lease are only included in the lease term if the Group is reasonably certain not to exercise those options. Lease expense is recorded on a straight-line basis over the lease term.</w:t>
      </w:r>
    </w:p>
    <w:p>
      <w:pPr>
        <w:spacing w:after="0" w:line="196"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5"/>
          <w:szCs w:val="15"/>
          <w:color w:val="auto"/>
        </w:rPr>
        <w:t>For short-term leases, the Group records operating lease expense in its consolidated statements of operations on a straight-line basis over the lease term.</w:t>
      </w:r>
    </w:p>
    <w:p>
      <w:pPr>
        <w:spacing w:after="0" w:line="251"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Government subsidies</w:t>
      </w:r>
    </w:p>
    <w:p>
      <w:pPr>
        <w:spacing w:after="0" w:line="228" w:lineRule="exact"/>
        <w:rPr>
          <w:rFonts w:ascii="Arial" w:cs="Arial" w:eastAsia="Arial" w:hAnsi="Arial"/>
          <w:sz w:val="17"/>
          <w:szCs w:val="17"/>
          <w:b w:val="1"/>
          <w:bCs w:val="1"/>
          <w:color w:val="auto"/>
        </w:rPr>
      </w:pPr>
    </w:p>
    <w:p>
      <w:pPr>
        <w:ind w:left="780"/>
        <w:spacing w:after="0" w:line="295" w:lineRule="auto"/>
        <w:rPr>
          <w:rFonts w:ascii="Arial" w:cs="Arial" w:eastAsia="Arial" w:hAnsi="Arial"/>
          <w:sz w:val="17"/>
          <w:szCs w:val="17"/>
          <w:b w:val="1"/>
          <w:bCs w:val="1"/>
          <w:color w:val="auto"/>
        </w:rPr>
      </w:pPr>
      <w:r>
        <w:rPr>
          <w:rFonts w:ascii="Arial" w:cs="Arial" w:eastAsia="Arial" w:hAnsi="Arial"/>
          <w:sz w:val="15"/>
          <w:szCs w:val="15"/>
          <w:color w:val="auto"/>
        </w:rPr>
        <w:t>For the government subsidies not subject to further performance obligations or future returns, the Group records the amounts as other income when received from local government authority. Whereas for the government subsidies with future performance obligations, the Group recognizes those as liabilities when received until the performances obligations have been met at which time, those are recognized as other income. Government subsidies received and recorded as other income amounted to RMB28,688, RMB14,692 and RMB37,727 for the years ended December 31, 2018, 2019 and 2020, respectively.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780" w:hanging="780"/>
        <w:spacing w:after="0"/>
        <w:tabs>
          <w:tab w:leader="none" w:pos="78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color w:val="auto"/>
        </w:rPr>
        <w:t>- continued</w:t>
      </w:r>
    </w:p>
    <w:p>
      <w:pPr>
        <w:spacing w:after="0" w:line="232"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228" w:lineRule="exact"/>
        <w:rPr>
          <w:rFonts w:ascii="Arial" w:cs="Arial" w:eastAsia="Arial" w:hAnsi="Arial"/>
          <w:sz w:val="17"/>
          <w:szCs w:val="17"/>
          <w:b w:val="1"/>
          <w:bCs w:val="1"/>
          <w:color w:val="auto"/>
        </w:rPr>
      </w:pPr>
    </w:p>
    <w:p>
      <w:pPr>
        <w:ind w:left="800" w:right="60"/>
        <w:spacing w:after="0" w:line="266" w:lineRule="auto"/>
        <w:rPr>
          <w:rFonts w:ascii="Arial" w:cs="Arial" w:eastAsia="Arial" w:hAnsi="Arial"/>
          <w:sz w:val="17"/>
          <w:szCs w:val="17"/>
          <w:b w:val="1"/>
          <w:bCs w:val="1"/>
          <w:color w:val="auto"/>
        </w:rPr>
      </w:pPr>
      <w:r>
        <w:rPr>
          <w:rFonts w:ascii="Arial" w:cs="Arial" w:eastAsia="Arial" w:hAnsi="Arial"/>
          <w:sz w:val="16"/>
          <w:szCs w:val="16"/>
          <w:color w:val="auto"/>
        </w:rPr>
        <w:t>Current income taxes are provided for in accordance with the laws of the relevant tax authorities. Deferred income taxes are recognized when temporary differences exist between the tax bases of assets and liabilities and their reported amounts in the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 The impact of an uncertain income tax position is recognized at the largest amount that is more-likely-than-not to be sustained upon audit by the relevant tax authority. An uncertain income tax position will not be recognized if it has less than a 50% likelihood of being sustained. Interest and penalties on income taxes will be classified as a component of the provisions for income taxes.</w:t>
      </w:r>
    </w:p>
    <w:p>
      <w:pPr>
        <w:spacing w:after="0" w:line="191"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Comprehensive loss</w:t>
      </w:r>
    </w:p>
    <w:p>
      <w:pPr>
        <w:spacing w:after="0" w:line="228" w:lineRule="exact"/>
        <w:rPr>
          <w:rFonts w:ascii="Arial" w:cs="Arial" w:eastAsia="Arial" w:hAnsi="Arial"/>
          <w:sz w:val="17"/>
          <w:szCs w:val="17"/>
          <w:b w:val="1"/>
          <w:bCs w:val="1"/>
          <w:color w:val="auto"/>
        </w:rPr>
      </w:pPr>
    </w:p>
    <w:p>
      <w:pPr>
        <w:ind w:left="80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Comprehensive loss includes net loss and foreign currency translation adjustments and is reported in the consolidated statements of comprehensive loss. The Group presents the components of net loss, the components of other comprehensive loss and total comprehensive loss in two separate but consecutive statements.</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03" w:lineRule="exact"/>
        <w:rPr>
          <w:sz w:val="20"/>
          <w:szCs w:val="20"/>
          <w:color w:val="auto"/>
        </w:rPr>
      </w:pPr>
    </w:p>
    <w:p>
      <w:pPr>
        <w:jc w:val="both"/>
        <w:ind w:left="800" w:right="60"/>
        <w:spacing w:after="0" w:line="251" w:lineRule="auto"/>
        <w:rPr>
          <w:sz w:val="20"/>
          <w:szCs w:val="20"/>
          <w:color w:val="auto"/>
        </w:rPr>
      </w:pPr>
      <w:r>
        <w:rPr>
          <w:rFonts w:ascii="Arial" w:cs="Arial" w:eastAsia="Arial" w:hAnsi="Arial"/>
          <w:sz w:val="17"/>
          <w:szCs w:val="17"/>
          <w:color w:val="auto"/>
        </w:rPr>
        <w:t>Basic net loss per share is computed by dividing net loss attributable to ordinary shareholders of the Company by the weighted average number of common shares outstanding during the year. Diluted net loss per share reflects the potential dilution that could occur if securities or other contracts to issue common shares were exercised into common shares. To calculate the number of shares for diluted loss per share, the effect of the share options is computed using the treasury stock method.</w:t>
      </w:r>
    </w:p>
    <w:p>
      <w:pPr>
        <w:spacing w:after="0" w:line="204" w:lineRule="exact"/>
        <w:rPr>
          <w:sz w:val="20"/>
          <w:szCs w:val="20"/>
          <w:color w:val="auto"/>
        </w:rPr>
      </w:pPr>
    </w:p>
    <w:p>
      <w:pPr>
        <w:ind w:left="800" w:right="240"/>
        <w:spacing w:after="0" w:line="264" w:lineRule="auto"/>
        <w:rPr>
          <w:sz w:val="20"/>
          <w:szCs w:val="20"/>
          <w:color w:val="auto"/>
        </w:rPr>
      </w:pPr>
      <w:r>
        <w:rPr>
          <w:rFonts w:ascii="Arial" w:cs="Arial" w:eastAsia="Arial" w:hAnsi="Arial"/>
          <w:sz w:val="17"/>
          <w:szCs w:val="17"/>
          <w:color w:val="auto"/>
        </w:rPr>
        <w:t>As the Company was loss making for the years ended December 31, 2018, 2019 and 2020, the effect of potential issuances of shares for the share options would be anti-dilutive, and therefore basic and diluted losses per share are the same in those periods.</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8" w:lineRule="exact"/>
        <w:rPr>
          <w:sz w:val="20"/>
          <w:szCs w:val="20"/>
          <w:color w:val="auto"/>
        </w:rPr>
      </w:pPr>
    </w:p>
    <w:p>
      <w:pPr>
        <w:ind w:left="800" w:right="60"/>
        <w:spacing w:after="0" w:line="254" w:lineRule="auto"/>
        <w:rPr>
          <w:sz w:val="20"/>
          <w:szCs w:val="20"/>
          <w:color w:val="auto"/>
        </w:rPr>
      </w:pPr>
      <w:r>
        <w:rPr>
          <w:rFonts w:ascii="Arial" w:cs="Arial" w:eastAsia="Arial" w:hAnsi="Arial"/>
          <w:sz w:val="17"/>
          <w:szCs w:val="17"/>
          <w:color w:val="auto"/>
        </w:rPr>
        <w:t>Share-based compensation with employees is measured based on the grant date fair value of the equity instrument. Share-based compensation expenses, net of forfeitures, are recognized over the requisite service period based on a straight-line basis with a corresponding impact reflected in additional paid-in capital.</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Share-based compensation awards which require the issuance of a variable number of shares to settle a fixed monetary amount are recorded as liabilities.</w:t>
      </w:r>
    </w:p>
    <w:p>
      <w:pPr>
        <w:spacing w:after="0" w:line="251"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Significant risks and uncertainties</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Foreign currency risk</w:t>
      </w:r>
    </w:p>
    <w:p>
      <w:pPr>
        <w:spacing w:after="0" w:line="228" w:lineRule="exact"/>
        <w:rPr>
          <w:sz w:val="20"/>
          <w:szCs w:val="20"/>
          <w:color w:val="auto"/>
        </w:rPr>
      </w:pPr>
    </w:p>
    <w:p>
      <w:pPr>
        <w:ind w:left="800" w:right="60"/>
        <w:spacing w:after="0" w:line="269" w:lineRule="auto"/>
        <w:rPr>
          <w:sz w:val="20"/>
          <w:szCs w:val="20"/>
          <w:color w:val="auto"/>
        </w:rPr>
      </w:pPr>
      <w:r>
        <w:rPr>
          <w:rFonts w:ascii="Arial" w:cs="Arial" w:eastAsia="Arial" w:hAnsi="Arial"/>
          <w:sz w:val="16"/>
          <w:szCs w:val="16"/>
          <w:color w:val="auto"/>
        </w:rPr>
        <w:t>RMB is not a freely convertible currency. The State Administration for Foreign Exchange, under the authority of the People’s Bank of China, controls the conversion of RMB into foreign currencies. The value of RMB is subject to changes in central government policies and to international economic and political developments affecting supply and demand in the China Foreign Exchange Trading System market. The cash and cash equivalents of the Group included aggregate amounts of RMB259,612 and RMB131,810, which were denominated in RMB at December 31, 2019 and 2020, representing 18.5% and 17.3% of the cash and cash equivalents at December 31, 2019 and 2020, respectively.</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Concentration of credit risk</w:t>
      </w:r>
    </w:p>
    <w:p>
      <w:pPr>
        <w:spacing w:after="0" w:line="228" w:lineRule="exact"/>
        <w:rPr>
          <w:sz w:val="20"/>
          <w:szCs w:val="20"/>
          <w:color w:val="auto"/>
        </w:rPr>
      </w:pPr>
    </w:p>
    <w:p>
      <w:pPr>
        <w:ind w:left="800" w:right="180"/>
        <w:spacing w:after="0" w:line="254" w:lineRule="auto"/>
        <w:rPr>
          <w:sz w:val="20"/>
          <w:szCs w:val="20"/>
          <w:color w:val="auto"/>
        </w:rPr>
      </w:pPr>
      <w:r>
        <w:rPr>
          <w:rFonts w:ascii="Arial" w:cs="Arial" w:eastAsia="Arial" w:hAnsi="Arial"/>
          <w:sz w:val="17"/>
          <w:szCs w:val="17"/>
          <w:color w:val="auto"/>
        </w:rPr>
        <w:t>Financial instrument that potentially expose the Group to significant concentration of credit risk primarily consist of cash and cash equivalents, short-term investments and receivables from third party payment agencies. The Group places its cash and cash equivalents and short-term investments in financial institutions with high credit ratings.</w:t>
      </w:r>
    </w:p>
    <w:p>
      <w:pPr>
        <w:spacing w:after="0" w:line="202" w:lineRule="exact"/>
        <w:rPr>
          <w:sz w:val="20"/>
          <w:szCs w:val="20"/>
          <w:color w:val="auto"/>
        </w:rPr>
      </w:pPr>
    </w:p>
    <w:p>
      <w:pPr>
        <w:ind w:left="800" w:right="180"/>
        <w:spacing w:after="0" w:line="264" w:lineRule="auto"/>
        <w:rPr>
          <w:sz w:val="20"/>
          <w:szCs w:val="20"/>
          <w:color w:val="auto"/>
        </w:rPr>
      </w:pPr>
      <w:r>
        <w:rPr>
          <w:rFonts w:ascii="Arial" w:cs="Arial" w:eastAsia="Arial" w:hAnsi="Arial"/>
          <w:sz w:val="17"/>
          <w:szCs w:val="17"/>
          <w:color w:val="auto"/>
        </w:rPr>
        <w:t>There are no revenues from customers which individually represent greater than 10% of the total net revenues for any year of the three years period ended December 31, 2020.</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780" w:hanging="780"/>
        <w:spacing w:after="0"/>
        <w:tabs>
          <w:tab w:leader="none" w:pos="78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color w:val="auto"/>
        </w:rPr>
        <w:t>- continued</w:t>
      </w:r>
    </w:p>
    <w:p>
      <w:pPr>
        <w:spacing w:after="0" w:line="232"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Newly adopted accounting pronouncements</w:t>
      </w:r>
    </w:p>
    <w:p>
      <w:pPr>
        <w:spacing w:after="0" w:line="228" w:lineRule="exact"/>
        <w:rPr>
          <w:rFonts w:ascii="Arial" w:cs="Arial" w:eastAsia="Arial" w:hAnsi="Arial"/>
          <w:sz w:val="17"/>
          <w:szCs w:val="17"/>
          <w:b w:val="1"/>
          <w:bCs w:val="1"/>
          <w:color w:val="auto"/>
        </w:rPr>
      </w:pPr>
    </w:p>
    <w:p>
      <w:pPr>
        <w:ind w:left="800"/>
        <w:spacing w:after="0" w:line="265" w:lineRule="auto"/>
        <w:rPr>
          <w:rFonts w:ascii="Arial" w:cs="Arial" w:eastAsia="Arial" w:hAnsi="Arial"/>
          <w:sz w:val="17"/>
          <w:szCs w:val="17"/>
          <w:b w:val="1"/>
          <w:bCs w:val="1"/>
          <w:color w:val="auto"/>
        </w:rPr>
      </w:pPr>
      <w:r>
        <w:rPr>
          <w:rFonts w:ascii="Arial" w:cs="Arial" w:eastAsia="Arial" w:hAnsi="Arial"/>
          <w:sz w:val="16"/>
          <w:szCs w:val="16"/>
          <w:color w:val="auto"/>
        </w:rPr>
        <w:t>In June 2016, the FASB issued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ASU is effective for fiscal years, and interim periods within those fiscal years, beginning after December 15, 2019. Early application will be permitted for all entities for fiscal years, and interim periods within those fiscal years, beginning after December 15, 2018. In April 25, 2019, ASU 2016-13 was updated with ASU 2019-04, which clarifies certain aspects of accounting for credit losses, hedging activities and financial instruments and provides certain alternatives for the measurement of the allowance for credit losses on accrued interest receivable. The Group adopted the new standard on January 1, 2020, which did not result in a material impact on its consolidated financial statements.</w:t>
      </w:r>
    </w:p>
    <w:p>
      <w:pPr>
        <w:spacing w:after="0" w:line="193" w:lineRule="exact"/>
        <w:rPr>
          <w:rFonts w:ascii="Arial" w:cs="Arial" w:eastAsia="Arial" w:hAnsi="Arial"/>
          <w:sz w:val="17"/>
          <w:szCs w:val="17"/>
          <w:b w:val="1"/>
          <w:bCs w:val="1"/>
          <w:color w:val="auto"/>
        </w:rPr>
      </w:pPr>
    </w:p>
    <w:p>
      <w:pPr>
        <w:ind w:left="800" w:right="60"/>
        <w:spacing w:after="0" w:line="333" w:lineRule="auto"/>
        <w:rPr>
          <w:rFonts w:ascii="Arial" w:cs="Arial" w:eastAsia="Arial" w:hAnsi="Arial"/>
          <w:sz w:val="17"/>
          <w:szCs w:val="17"/>
          <w:b w:val="1"/>
          <w:bCs w:val="1"/>
          <w:color w:val="auto"/>
        </w:rPr>
      </w:pPr>
      <w:r>
        <w:rPr>
          <w:rFonts w:ascii="Arial" w:cs="Arial" w:eastAsia="Arial" w:hAnsi="Arial"/>
          <w:sz w:val="13"/>
          <w:szCs w:val="13"/>
          <w:color w:val="auto"/>
        </w:rPr>
        <w:t>In August 2018, the FASB issued ASU 2018-13, Fair Value Measurement (Topic 820)—Disclosure Framework—Changes to the Disclosure Requirements for Fair Value Measurement. The amendments in this ASU improve the effectiveness of fair value measurement disclosures and modify the disclosure requirements on fair value measurements in Topic 820, Fair Value Measurement, based on the concepts in FASB Concepts Statement, Conceptual Framework for Financial Reporting—Chapter 8: Notes to Financial Statements, including the consideration of costs and benefits. The amendments in this ASU are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The Group adopted the new standard on January 1, 2020, which did not result in a material impact on its consolidated financial statements.</w:t>
      </w:r>
    </w:p>
    <w:p>
      <w:pPr>
        <w:spacing w:after="0" w:line="358" w:lineRule="exact"/>
        <w:rPr>
          <w:rFonts w:ascii="Arial" w:cs="Arial" w:eastAsia="Arial" w:hAnsi="Arial"/>
          <w:sz w:val="17"/>
          <w:szCs w:val="17"/>
          <w:b w:val="1"/>
          <w:bCs w:val="1"/>
          <w:color w:val="auto"/>
        </w:rPr>
      </w:pPr>
    </w:p>
    <w:p>
      <w:pPr>
        <w:ind w:left="800" w:right="40"/>
        <w:spacing w:after="0" w:line="266" w:lineRule="auto"/>
        <w:rPr>
          <w:rFonts w:ascii="Arial" w:cs="Arial" w:eastAsia="Arial" w:hAnsi="Arial"/>
          <w:sz w:val="17"/>
          <w:szCs w:val="17"/>
          <w:b w:val="1"/>
          <w:bCs w:val="1"/>
          <w:color w:val="auto"/>
        </w:rPr>
      </w:pPr>
      <w:r>
        <w:rPr>
          <w:rFonts w:ascii="Arial" w:cs="Arial" w:eastAsia="Arial" w:hAnsi="Arial"/>
          <w:sz w:val="16"/>
          <w:szCs w:val="16"/>
          <w:color w:val="auto"/>
        </w:rPr>
        <w:t>In October 2018, the FASB issued ASU No. 2018-17, Consolidation (Topic 810): Targeted Improvements to Related Party Guidance for Variable Interest Entities ("VIE"). The guidance was issued in response to stakeholders' observations that Topic 810, Consolidation, could be improved in the areas of applying the VIE guidance to private companies under common control and in considering indirect interests held through related parties under common control for determining whether fees paid to decision makers and service providers are variable interests. The new standard will become effective for the Group beginning January 1, 2020, with early adoption permitted, and must be applied retrospectively with a cumulative-effect adjustment to retained earnings at the beginning of the earliest period presented. The Group adopted the new standard on January 1, 2020, which did not result in a material impact on its consolidated financial statements.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228" w:lineRule="exact"/>
        <w:rPr>
          <w:sz w:val="20"/>
          <w:szCs w:val="20"/>
          <w:color w:val="auto"/>
        </w:rPr>
      </w:pPr>
    </w:p>
    <w:p>
      <w:pPr>
        <w:ind w:left="800" w:right="20"/>
        <w:spacing w:after="0" w:line="288" w:lineRule="auto"/>
        <w:rPr>
          <w:sz w:val="20"/>
          <w:szCs w:val="20"/>
          <w:color w:val="auto"/>
        </w:rPr>
      </w:pPr>
      <w:r>
        <w:rPr>
          <w:rFonts w:ascii="Arial" w:cs="Arial" w:eastAsia="Arial" w:hAnsi="Arial"/>
          <w:sz w:val="15"/>
          <w:szCs w:val="15"/>
          <w:color w:val="auto"/>
        </w:rPr>
        <w:t>In January 2020, the FASB issued ASU 2020-01, Investments—Equity Securities (Topic 321), Investments—Equity Method and Joint Ventures (Topic 323), which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ASU is effective for fiscal years beginning after December 15, 2020, and interim periods within those fiscal years. Early adoption is permitted, including early adoption in an interim period, for periods for which financial statements have not yet been issued. The Group does not expect any material impact of this update on its consolidated financial statements.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3" w:name="page134"/>
    <w:bookmarkEnd w:id="133"/>
    <w:p>
      <w:pPr>
        <w:jc w:val="center"/>
        <w:ind w:right="-9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780" w:hanging="780"/>
        <w:spacing w:after="0"/>
        <w:tabs>
          <w:tab w:leader="none" w:pos="780" w:val="left"/>
        </w:tabs>
        <w:numPr>
          <w:ilvl w:val="0"/>
          <w:numId w:val="65"/>
        </w:numPr>
        <w:rPr>
          <w:rFonts w:ascii="Arial" w:cs="Arial" w:eastAsia="Arial" w:hAnsi="Arial"/>
          <w:sz w:val="17"/>
          <w:szCs w:val="17"/>
          <w:b w:val="1"/>
          <w:bCs w:val="1"/>
          <w:color w:val="181717"/>
        </w:rPr>
      </w:pPr>
      <w:r>
        <w:rPr>
          <w:rFonts w:ascii="Arial" w:cs="Arial" w:eastAsia="Arial" w:hAnsi="Arial"/>
          <w:sz w:val="17"/>
          <w:szCs w:val="17"/>
          <w:b w:val="1"/>
          <w:bCs w:val="1"/>
          <w:color w:val="181717"/>
        </w:rPr>
        <w:t>SHORT-TERM INVESTMENTS</w:t>
      </w:r>
    </w:p>
    <w:p>
      <w:pPr>
        <w:spacing w:after="0" w:line="232" w:lineRule="exact"/>
        <w:rPr>
          <w:rFonts w:ascii="Arial" w:cs="Arial" w:eastAsia="Arial" w:hAnsi="Arial"/>
          <w:sz w:val="17"/>
          <w:szCs w:val="17"/>
          <w:b w:val="1"/>
          <w:bCs w:val="1"/>
          <w:color w:val="181717"/>
        </w:rPr>
      </w:pPr>
    </w:p>
    <w:p>
      <w:pPr>
        <w:ind w:left="800"/>
        <w:spacing w:after="0"/>
        <w:rPr>
          <w:rFonts w:ascii="Arial" w:cs="Arial" w:eastAsia="Arial" w:hAnsi="Arial"/>
          <w:sz w:val="17"/>
          <w:szCs w:val="17"/>
          <w:b w:val="1"/>
          <w:bCs w:val="1"/>
          <w:color w:val="181717"/>
        </w:rPr>
      </w:pPr>
      <w:r>
        <w:rPr>
          <w:rFonts w:ascii="Arial" w:cs="Arial" w:eastAsia="Arial" w:hAnsi="Arial"/>
          <w:sz w:val="17"/>
          <w:szCs w:val="17"/>
          <w:color w:val="181717"/>
        </w:rPr>
        <w:t>Short-term investments consisted of the following:</w:t>
      </w:r>
    </w:p>
    <w:p>
      <w:pPr>
        <w:spacing w:after="0" w:line="265" w:lineRule="exact"/>
        <w:rPr>
          <w:sz w:val="20"/>
          <w:szCs w:val="20"/>
          <w:color w:val="auto"/>
        </w:rPr>
      </w:pPr>
    </w:p>
    <w:p>
      <w:pPr>
        <w:jc w:val="center"/>
        <w:ind w:left="6540"/>
        <w:spacing w:after="0"/>
        <w:rPr>
          <w:sz w:val="20"/>
          <w:szCs w:val="20"/>
          <w:color w:val="auto"/>
        </w:rPr>
      </w:pPr>
      <w:r>
        <w:rPr>
          <w:rFonts w:ascii="Arial" w:cs="Arial" w:eastAsia="Arial" w:hAnsi="Arial"/>
          <w:sz w:val="17"/>
          <w:szCs w:val="17"/>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4738370</wp:posOffset>
            </wp:positionH>
            <wp:positionV relativeFrom="paragraph">
              <wp:posOffset>10160</wp:posOffset>
            </wp:positionV>
            <wp:extent cx="183515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1835150" cy="7620"/>
                    </a:xfrm>
                    <a:prstGeom prst="rect">
                      <a:avLst/>
                    </a:prstGeom>
                    <a:noFill/>
                  </pic:spPr>
                </pic:pic>
              </a:graphicData>
            </a:graphic>
          </wp:anchor>
        </w:drawing>
      </w:r>
    </w:p>
    <w:p>
      <w:pPr>
        <w:spacing w:after="0" w:line="9" w:lineRule="exact"/>
        <w:rPr>
          <w:sz w:val="20"/>
          <w:szCs w:val="20"/>
          <w:color w:val="auto"/>
        </w:rPr>
      </w:pPr>
    </w:p>
    <w:p>
      <w:pPr>
        <w:ind w:left="7940"/>
        <w:spacing w:after="0"/>
        <w:tabs>
          <w:tab w:leader="none" w:pos="9480" w:val="left"/>
        </w:tabs>
        <w:rPr>
          <w:sz w:val="20"/>
          <w:szCs w:val="20"/>
          <w:color w:val="auto"/>
        </w:rPr>
      </w:pPr>
      <w:r>
        <w:rPr>
          <w:rFonts w:ascii="Arial" w:cs="Arial" w:eastAsia="Arial" w:hAnsi="Arial"/>
          <w:sz w:val="17"/>
          <w:szCs w:val="17"/>
          <w:color w:val="auto"/>
        </w:rPr>
        <w:t>2019</w:t>
      </w:r>
      <w:r>
        <w:rPr>
          <w:sz w:val="20"/>
          <w:szCs w:val="20"/>
          <w:color w:val="auto"/>
        </w:rPr>
        <w:tab/>
      </w:r>
      <w:r>
        <w:rPr>
          <w:rFonts w:ascii="Arial" w:cs="Arial" w:eastAsia="Arial" w:hAnsi="Arial"/>
          <w:sz w:val="17"/>
          <w:szCs w:val="17"/>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4738370</wp:posOffset>
            </wp:positionH>
            <wp:positionV relativeFrom="paragraph">
              <wp:posOffset>10160</wp:posOffset>
            </wp:positionV>
            <wp:extent cx="183515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1835150" cy="7620"/>
                    </a:xfrm>
                    <a:prstGeom prst="rect">
                      <a:avLst/>
                    </a:prstGeom>
                    <a:noFill/>
                  </pic:spPr>
                </pic:pic>
              </a:graphicData>
            </a:graphic>
          </wp:anchor>
        </w:drawing>
      </w:r>
    </w:p>
    <w:p>
      <w:pPr>
        <w:spacing w:after="0" w:line="9" w:lineRule="exact"/>
        <w:rPr>
          <w:sz w:val="20"/>
          <w:szCs w:val="20"/>
          <w:color w:val="auto"/>
        </w:rPr>
      </w:pPr>
    </w:p>
    <w:p>
      <w:pPr>
        <w:ind w:left="7920"/>
        <w:spacing w:after="0"/>
        <w:tabs>
          <w:tab w:leader="none" w:pos="9460" w:val="left"/>
        </w:tabs>
        <w:rPr>
          <w:sz w:val="20"/>
          <w:szCs w:val="20"/>
          <w:color w:val="auto"/>
        </w:rPr>
      </w:pPr>
      <w:r>
        <w:rPr>
          <w:rFonts w:ascii="Arial" w:cs="Arial" w:eastAsia="Arial" w:hAnsi="Arial"/>
          <w:sz w:val="17"/>
          <w:szCs w:val="17"/>
          <w:color w:val="auto"/>
        </w:rPr>
        <w:t>RMB</w:t>
      </w:r>
      <w:r>
        <w:rPr>
          <w:sz w:val="20"/>
          <w:szCs w:val="20"/>
          <w:color w:val="auto"/>
        </w:rPr>
        <w:tab/>
      </w:r>
      <w:r>
        <w:rPr>
          <w:rFonts w:ascii="Arial" w:cs="Arial" w:eastAsia="Arial" w:hAnsi="Arial"/>
          <w:sz w:val="17"/>
          <w:szCs w:val="17"/>
          <w:color w:val="auto"/>
        </w:rPr>
        <w:t>RMB</w:t>
      </w:r>
    </w:p>
    <w:p>
      <w:pPr>
        <w:spacing w:after="0" w:line="33"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Held-to-maturity investments </w:t>
            </w:r>
            <w:r>
              <w:rPr>
                <w:rFonts w:ascii="Arial" w:cs="Arial" w:eastAsia="Arial" w:hAnsi="Arial"/>
                <w:sz w:val="14"/>
                <w:szCs w:val="14"/>
                <w:color w:val="auto"/>
              </w:rPr>
              <w:t>(1)</w:t>
            </w:r>
          </w:p>
        </w:tc>
        <w:tc>
          <w:tcPr>
            <w:tcW w:w="13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8"/>
              </w:rPr>
              <w:t>10,004</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97"/>
              <w:spacing w:after="0"/>
              <w:rPr>
                <w:sz w:val="20"/>
                <w:szCs w:val="20"/>
                <w:color w:val="auto"/>
              </w:rPr>
            </w:pPr>
            <w:r>
              <w:rPr>
                <w:rFonts w:ascii="Arial" w:cs="Arial" w:eastAsia="Arial" w:hAnsi="Arial"/>
                <w:sz w:val="17"/>
                <w:szCs w:val="17"/>
                <w:color w:val="auto"/>
              </w:rPr>
              <w:t>330,624</w:t>
            </w:r>
          </w:p>
        </w:tc>
        <w:tc>
          <w:tcPr>
            <w:tcW w:w="100" w:type="dxa"/>
            <w:vAlign w:val="bottom"/>
            <w:shd w:val="clear" w:color="auto" w:fill="CFF0FC"/>
          </w:tcPr>
          <w:p>
            <w:pPr>
              <w:spacing w:after="0"/>
              <w:rPr>
                <w:sz w:val="16"/>
                <w:szCs w:val="16"/>
                <w:color w:val="auto"/>
              </w:rPr>
            </w:pPr>
          </w:p>
        </w:tc>
      </w:tr>
      <w:tr>
        <w:trPr>
          <w:trHeight w:val="212"/>
        </w:trPr>
        <w:tc>
          <w:tcPr>
            <w:tcW w:w="6680" w:type="dxa"/>
            <w:vAlign w:val="bottom"/>
          </w:tcPr>
          <w:p>
            <w:pPr>
              <w:spacing w:after="0"/>
              <w:rPr>
                <w:sz w:val="20"/>
                <w:szCs w:val="20"/>
                <w:color w:val="auto"/>
              </w:rPr>
            </w:pPr>
            <w:r>
              <w:rPr>
                <w:rFonts w:ascii="Arial" w:cs="Arial" w:eastAsia="Arial" w:hAnsi="Arial"/>
                <w:sz w:val="17"/>
                <w:szCs w:val="17"/>
                <w:color w:val="auto"/>
              </w:rPr>
              <w:t xml:space="preserve">Variable-rate financial instruments </w:t>
            </w:r>
            <w:r>
              <w:rPr>
                <w:rFonts w:ascii="Arial" w:cs="Arial" w:eastAsia="Arial" w:hAnsi="Arial"/>
                <w:sz w:val="14"/>
                <w:szCs w:val="14"/>
                <w:color w:val="auto"/>
              </w:rPr>
              <w:t>(2)</w:t>
            </w:r>
          </w:p>
        </w:tc>
        <w:tc>
          <w:tcPr>
            <w:tcW w:w="1340" w:type="dxa"/>
            <w:vAlign w:val="bottom"/>
          </w:tcPr>
          <w:p>
            <w:pPr>
              <w:jc w:val="center"/>
              <w:spacing w:after="0"/>
              <w:rPr>
                <w:sz w:val="20"/>
                <w:szCs w:val="20"/>
                <w:color w:val="auto"/>
              </w:rPr>
            </w:pPr>
            <w:r>
              <w:rPr>
                <w:rFonts w:ascii="Arial" w:cs="Arial" w:eastAsia="Arial" w:hAnsi="Arial"/>
                <w:sz w:val="17"/>
                <w:szCs w:val="17"/>
                <w:color w:val="auto"/>
                <w:w w:val="87"/>
              </w:rPr>
              <w:t>207,636</w:t>
            </w:r>
          </w:p>
        </w:tc>
        <w:tc>
          <w:tcPr>
            <w:tcW w:w="200" w:type="dxa"/>
            <w:vAlign w:val="bottom"/>
          </w:tcPr>
          <w:p>
            <w:pPr>
              <w:spacing w:after="0"/>
              <w:rPr>
                <w:sz w:val="18"/>
                <w:szCs w:val="18"/>
                <w:color w:val="auto"/>
              </w:rPr>
            </w:pPr>
          </w:p>
        </w:tc>
        <w:tc>
          <w:tcPr>
            <w:tcW w:w="1360" w:type="dxa"/>
            <w:vAlign w:val="bottom"/>
          </w:tcPr>
          <w:p>
            <w:pPr>
              <w:jc w:val="right"/>
              <w:ind w:right="297"/>
              <w:spacing w:after="0"/>
              <w:rPr>
                <w:sz w:val="20"/>
                <w:szCs w:val="20"/>
                <w:color w:val="auto"/>
              </w:rPr>
            </w:pPr>
            <w:r>
              <w:rPr>
                <w:rFonts w:ascii="Arial" w:cs="Arial" w:eastAsia="Arial" w:hAnsi="Arial"/>
                <w:sz w:val="17"/>
                <w:szCs w:val="17"/>
                <w:color w:val="auto"/>
              </w:rPr>
              <w:t>187,191</w:t>
            </w:r>
          </w:p>
        </w:tc>
        <w:tc>
          <w:tcPr>
            <w:tcW w:w="100" w:type="dxa"/>
            <w:vAlign w:val="bottom"/>
          </w:tcPr>
          <w:p>
            <w:pPr>
              <w:spacing w:after="0"/>
              <w:rPr>
                <w:sz w:val="18"/>
                <w:szCs w:val="18"/>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3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87"/>
              </w:rPr>
              <w:t>217,640</w:t>
            </w:r>
          </w:p>
        </w:tc>
        <w:tc>
          <w:tcPr>
            <w:tcW w:w="200" w:type="dxa"/>
            <w:vAlign w:val="bottom"/>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297"/>
              <w:spacing w:after="0"/>
              <w:rPr>
                <w:sz w:val="20"/>
                <w:szCs w:val="20"/>
                <w:color w:val="auto"/>
              </w:rPr>
            </w:pPr>
            <w:r>
              <w:rPr>
                <w:rFonts w:ascii="Arial" w:cs="Arial" w:eastAsia="Arial" w:hAnsi="Arial"/>
                <w:sz w:val="17"/>
                <w:szCs w:val="17"/>
                <w:color w:val="auto"/>
              </w:rPr>
              <w:t>517,815</w:t>
            </w:r>
          </w:p>
        </w:tc>
        <w:tc>
          <w:tcPr>
            <w:tcW w:w="100" w:type="dxa"/>
            <w:vAlign w:val="bottom"/>
            <w:shd w:val="clear" w:color="auto" w:fill="CFF0FC"/>
          </w:tcPr>
          <w:p>
            <w:pPr>
              <w:spacing w:after="0"/>
              <w:rPr>
                <w:sz w:val="18"/>
                <w:szCs w:val="18"/>
                <w:color w:val="auto"/>
              </w:rPr>
            </w:pPr>
          </w:p>
        </w:tc>
      </w:tr>
    </w:tbl>
    <w:p>
      <w:pPr>
        <w:spacing w:after="0" w:line="208" w:lineRule="exact"/>
        <w:rPr>
          <w:sz w:val="20"/>
          <w:szCs w:val="20"/>
          <w:color w:val="auto"/>
        </w:rPr>
      </w:pPr>
    </w:p>
    <w:p>
      <w:pPr>
        <w:ind w:left="1560" w:hanging="776"/>
        <w:spacing w:after="0" w:line="225" w:lineRule="auto"/>
        <w:tabs>
          <w:tab w:leader="none" w:pos="1560" w:val="left"/>
        </w:tabs>
        <w:numPr>
          <w:ilvl w:val="0"/>
          <w:numId w:val="66"/>
        </w:numPr>
        <w:rPr>
          <w:rFonts w:ascii="Arial" w:cs="Arial" w:eastAsia="Arial" w:hAnsi="Arial"/>
          <w:sz w:val="13"/>
          <w:szCs w:val="13"/>
          <w:color w:val="181717"/>
        </w:rPr>
      </w:pPr>
      <w:r>
        <w:rPr>
          <w:rFonts w:ascii="Arial" w:cs="Arial" w:eastAsia="Arial" w:hAnsi="Arial"/>
          <w:sz w:val="13"/>
          <w:szCs w:val="13"/>
          <w:color w:val="181717"/>
        </w:rPr>
        <w:t>The Group purchased wealth management products from financial institutions and classified them as held-to-maturity investments as the Group has the positive intent and ability to hold the investments to maturity. The maturities of these financial products range from three months to twelve months. The Group estimated that their fair value approximate their amortized costs due to their short term nature.</w:t>
      </w:r>
    </w:p>
    <w:p>
      <w:pPr>
        <w:ind w:left="1560" w:right="20" w:hanging="776"/>
        <w:spacing w:after="0" w:line="237" w:lineRule="auto"/>
        <w:tabs>
          <w:tab w:leader="none" w:pos="1560" w:val="left"/>
        </w:tabs>
        <w:numPr>
          <w:ilvl w:val="0"/>
          <w:numId w:val="66"/>
        </w:numPr>
        <w:rPr>
          <w:rFonts w:ascii="Arial" w:cs="Arial" w:eastAsia="Arial" w:hAnsi="Arial"/>
          <w:sz w:val="13"/>
          <w:szCs w:val="13"/>
          <w:color w:val="181717"/>
        </w:rPr>
      </w:pPr>
      <w:r>
        <w:rPr>
          <w:rFonts w:ascii="Arial" w:cs="Arial" w:eastAsia="Arial" w:hAnsi="Arial"/>
          <w:sz w:val="13"/>
          <w:szCs w:val="13"/>
          <w:color w:val="181717"/>
        </w:rPr>
        <w:t>Variable-rate instruments represent financial products with variable interest rates and unsecured principal but no restriction on withdrawal. The Group elects the fair value option to record them at fair value in accordance with ASC 825 Financial Instruments.</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7"/>
          <w:szCs w:val="17"/>
          <w:color w:val="181717"/>
        </w:rPr>
        <w:t>No impairment loss was recognized for short-term investments for the three years ended December 31, 2018, 2019 and 2020.</w:t>
      </w:r>
    </w:p>
    <w:p>
      <w:pPr>
        <w:spacing w:after="0" w:line="199" w:lineRule="exact"/>
        <w:rPr>
          <w:sz w:val="20"/>
          <w:szCs w:val="20"/>
          <w:color w:val="auto"/>
        </w:rPr>
      </w:pPr>
    </w:p>
    <w:p>
      <w:pPr>
        <w:ind w:left="800" w:right="5780" w:hanging="800"/>
        <w:spacing w:after="0" w:line="476" w:lineRule="auto"/>
        <w:tabs>
          <w:tab w:leader="none" w:pos="790" w:val="left"/>
        </w:tabs>
        <w:numPr>
          <w:ilvl w:val="0"/>
          <w:numId w:val="67"/>
        </w:numPr>
        <w:rPr>
          <w:rFonts w:ascii="Arial" w:cs="Arial" w:eastAsia="Arial" w:hAnsi="Arial"/>
          <w:sz w:val="15"/>
          <w:szCs w:val="15"/>
          <w:b w:val="1"/>
          <w:bCs w:val="1"/>
          <w:color w:val="181717"/>
        </w:rPr>
      </w:pPr>
      <w:r>
        <w:rPr>
          <w:rFonts w:ascii="Arial" w:cs="Arial" w:eastAsia="Arial" w:hAnsi="Arial"/>
          <w:sz w:val="15"/>
          <w:szCs w:val="15"/>
          <w:b w:val="1"/>
          <w:bCs w:val="1"/>
          <w:color w:val="181717"/>
        </w:rPr>
        <w:t xml:space="preserve">PREPAID EXPENSES AND OTHER CURRENT ASSETS </w:t>
      </w:r>
      <w:r>
        <w:rPr>
          <w:rFonts w:ascii="Arial" w:cs="Arial" w:eastAsia="Arial" w:hAnsi="Arial"/>
          <w:sz w:val="15"/>
          <w:szCs w:val="15"/>
          <w:color w:val="181717"/>
        </w:rPr>
        <w:t>Prepaid expenses and other current assets consisted of the following:</w:t>
      </w:r>
    </w:p>
    <w:p>
      <w:pPr>
        <w:spacing w:after="0" w:line="80"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3000" w:type="dxa"/>
            <w:vAlign w:val="bottom"/>
            <w:gridSpan w:val="4"/>
          </w:tcPr>
          <w:p>
            <w:pPr>
              <w:ind w:left="760"/>
              <w:spacing w:after="0"/>
              <w:rPr>
                <w:sz w:val="20"/>
                <w:szCs w:val="20"/>
                <w:color w:val="auto"/>
              </w:rPr>
            </w:pPr>
            <w:r>
              <w:rPr>
                <w:rFonts w:ascii="Arial" w:cs="Arial" w:eastAsia="Arial" w:hAnsi="Arial"/>
                <w:sz w:val="17"/>
                <w:szCs w:val="17"/>
                <w:color w:val="auto"/>
              </w:rPr>
              <w:t>As of December 31,</w:t>
            </w:r>
          </w:p>
        </w:tc>
      </w:tr>
      <w:tr>
        <w:trPr>
          <w:trHeight w:val="204"/>
        </w:trPr>
        <w:tc>
          <w:tcPr>
            <w:tcW w:w="66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7"/>
                <w:szCs w:val="17"/>
                <w:color w:val="auto"/>
              </w:rPr>
              <w:t>2019</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7"/>
                <w:szCs w:val="17"/>
                <w:color w:val="auto"/>
              </w:rPr>
            </w:pPr>
          </w:p>
        </w:tc>
      </w:tr>
      <w:tr>
        <w:trPr>
          <w:trHeight w:val="204"/>
        </w:trPr>
        <w:tc>
          <w:tcPr>
            <w:tcW w:w="6680" w:type="dxa"/>
            <w:vAlign w:val="bottom"/>
          </w:tcPr>
          <w:p>
            <w:pPr>
              <w:spacing w:after="0"/>
              <w:rPr>
                <w:sz w:val="17"/>
                <w:szCs w:val="17"/>
                <w:color w:val="auto"/>
              </w:rPr>
            </w:pPr>
          </w:p>
        </w:tc>
        <w:tc>
          <w:tcPr>
            <w:tcW w:w="1340" w:type="dxa"/>
            <w:vAlign w:val="bottom"/>
          </w:tcPr>
          <w:p>
            <w:pPr>
              <w:jc w:val="right"/>
              <w:ind w:right="417"/>
              <w:spacing w:after="0"/>
              <w:rPr>
                <w:sz w:val="20"/>
                <w:szCs w:val="20"/>
                <w:color w:val="auto"/>
              </w:rPr>
            </w:pPr>
            <w:r>
              <w:rPr>
                <w:rFonts w:ascii="Arial" w:cs="Arial" w:eastAsia="Arial" w:hAnsi="Arial"/>
                <w:sz w:val="17"/>
                <w:szCs w:val="17"/>
                <w:color w:val="auto"/>
              </w:rPr>
              <w:t>RMB</w:t>
            </w:r>
          </w:p>
        </w:tc>
        <w:tc>
          <w:tcPr>
            <w:tcW w:w="200" w:type="dxa"/>
            <w:vAlign w:val="bottom"/>
          </w:tcPr>
          <w:p>
            <w:pPr>
              <w:spacing w:after="0"/>
              <w:rPr>
                <w:sz w:val="17"/>
                <w:szCs w:val="17"/>
                <w:color w:val="auto"/>
              </w:rPr>
            </w:pPr>
          </w:p>
        </w:tc>
        <w:tc>
          <w:tcPr>
            <w:tcW w:w="1360" w:type="dxa"/>
            <w:vAlign w:val="bottom"/>
          </w:tcPr>
          <w:p>
            <w:pPr>
              <w:jc w:val="right"/>
              <w:ind w:right="437"/>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Prepaid and input VAT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120,376</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38,890</w:t>
            </w:r>
          </w:p>
        </w:tc>
        <w:tc>
          <w:tcPr>
            <w:tcW w:w="100" w:type="dxa"/>
            <w:vAlign w:val="bottom"/>
            <w:shd w:val="clear" w:color="auto" w:fill="CFF0FC"/>
          </w:tcPr>
          <w:p>
            <w:pPr>
              <w:spacing w:after="0"/>
              <w:rPr>
                <w:sz w:val="18"/>
                <w:szCs w:val="18"/>
                <w:color w:val="auto"/>
              </w:rPr>
            </w:pPr>
          </w:p>
        </w:tc>
      </w:tr>
      <w:tr>
        <w:trPr>
          <w:trHeight w:val="212"/>
        </w:trPr>
        <w:tc>
          <w:tcPr>
            <w:tcW w:w="6680" w:type="dxa"/>
            <w:vAlign w:val="bottom"/>
          </w:tcPr>
          <w:p>
            <w:pPr>
              <w:spacing w:after="0"/>
              <w:rPr>
                <w:sz w:val="20"/>
                <w:szCs w:val="20"/>
                <w:color w:val="auto"/>
              </w:rPr>
            </w:pPr>
            <w:r>
              <w:rPr>
                <w:rFonts w:ascii="Arial" w:cs="Arial" w:eastAsia="Arial" w:hAnsi="Arial"/>
                <w:sz w:val="17"/>
                <w:szCs w:val="17"/>
                <w:color w:val="auto"/>
              </w:rPr>
              <w:t>Prepaid marketing expenses</w:t>
            </w:r>
          </w:p>
        </w:tc>
        <w:tc>
          <w:tcPr>
            <w:tcW w:w="1340" w:type="dxa"/>
            <w:vAlign w:val="bottom"/>
          </w:tcPr>
          <w:p>
            <w:pPr>
              <w:jc w:val="right"/>
              <w:spacing w:after="0"/>
              <w:rPr>
                <w:sz w:val="20"/>
                <w:szCs w:val="20"/>
                <w:color w:val="auto"/>
              </w:rPr>
            </w:pPr>
            <w:r>
              <w:rPr>
                <w:rFonts w:ascii="Arial" w:cs="Arial" w:eastAsia="Arial" w:hAnsi="Arial"/>
                <w:sz w:val="17"/>
                <w:szCs w:val="17"/>
                <w:color w:val="auto"/>
              </w:rPr>
              <w:t>16,192</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25,913</w:t>
            </w:r>
          </w:p>
        </w:tc>
        <w:tc>
          <w:tcPr>
            <w:tcW w:w="100" w:type="dxa"/>
            <w:vAlign w:val="bottom"/>
          </w:tcPr>
          <w:p>
            <w:pPr>
              <w:spacing w:after="0"/>
              <w:rPr>
                <w:sz w:val="18"/>
                <w:szCs w:val="18"/>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Prepaid expenses </w:t>
            </w:r>
            <w:r>
              <w:rPr>
                <w:rFonts w:ascii="Arial" w:cs="Arial" w:eastAsia="Arial" w:hAnsi="Arial"/>
                <w:sz w:val="14"/>
                <w:szCs w:val="14"/>
                <w:color w:val="auto"/>
              </w:rPr>
              <w:t>(1)</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21,896</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16,125</w:t>
            </w:r>
          </w:p>
        </w:tc>
        <w:tc>
          <w:tcPr>
            <w:tcW w:w="100" w:type="dxa"/>
            <w:vAlign w:val="bottom"/>
            <w:shd w:val="clear" w:color="auto" w:fill="CFF0FC"/>
          </w:tcPr>
          <w:p>
            <w:pPr>
              <w:spacing w:after="0"/>
              <w:rPr>
                <w:sz w:val="18"/>
                <w:szCs w:val="18"/>
                <w:color w:val="auto"/>
              </w:rPr>
            </w:pPr>
          </w:p>
        </w:tc>
      </w:tr>
      <w:tr>
        <w:trPr>
          <w:trHeight w:val="212"/>
        </w:trPr>
        <w:tc>
          <w:tcPr>
            <w:tcW w:w="6680" w:type="dxa"/>
            <w:vAlign w:val="bottom"/>
          </w:tcPr>
          <w:p>
            <w:pPr>
              <w:spacing w:after="0"/>
              <w:rPr>
                <w:sz w:val="20"/>
                <w:szCs w:val="20"/>
                <w:color w:val="auto"/>
              </w:rPr>
            </w:pPr>
            <w:r>
              <w:rPr>
                <w:rFonts w:ascii="Arial" w:cs="Arial" w:eastAsia="Arial" w:hAnsi="Arial"/>
                <w:sz w:val="17"/>
                <w:szCs w:val="17"/>
                <w:color w:val="auto"/>
              </w:rPr>
              <w:t>Interest receivables</w:t>
            </w:r>
          </w:p>
        </w:tc>
        <w:tc>
          <w:tcPr>
            <w:tcW w:w="1340" w:type="dxa"/>
            <w:vAlign w:val="bottom"/>
          </w:tcPr>
          <w:p>
            <w:pPr>
              <w:jc w:val="right"/>
              <w:spacing w:after="0"/>
              <w:rPr>
                <w:sz w:val="20"/>
                <w:szCs w:val="20"/>
                <w:color w:val="auto"/>
              </w:rPr>
            </w:pPr>
            <w:r>
              <w:rPr>
                <w:rFonts w:ascii="Arial" w:cs="Arial" w:eastAsia="Arial" w:hAnsi="Arial"/>
                <w:sz w:val="17"/>
                <w:szCs w:val="17"/>
                <w:color w:val="auto"/>
              </w:rPr>
              <w:t>1,737</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6,536</w:t>
            </w:r>
          </w:p>
        </w:tc>
        <w:tc>
          <w:tcPr>
            <w:tcW w:w="100" w:type="dxa"/>
            <w:vAlign w:val="bottom"/>
          </w:tcPr>
          <w:p>
            <w:pPr>
              <w:spacing w:after="0"/>
              <w:rPr>
                <w:sz w:val="18"/>
                <w:szCs w:val="18"/>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Deposits </w:t>
            </w:r>
            <w:r>
              <w:rPr>
                <w:rFonts w:ascii="Arial" w:cs="Arial" w:eastAsia="Arial" w:hAnsi="Arial"/>
                <w:sz w:val="14"/>
                <w:szCs w:val="14"/>
                <w:color w:val="auto"/>
              </w:rPr>
              <w:t>(2)</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8,929</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4,381</w:t>
            </w:r>
          </w:p>
        </w:tc>
        <w:tc>
          <w:tcPr>
            <w:tcW w:w="100" w:type="dxa"/>
            <w:vAlign w:val="bottom"/>
            <w:shd w:val="clear" w:color="auto" w:fill="CFF0FC"/>
          </w:tcPr>
          <w:p>
            <w:pPr>
              <w:spacing w:after="0"/>
              <w:rPr>
                <w:sz w:val="18"/>
                <w:szCs w:val="18"/>
                <w:color w:val="auto"/>
              </w:rPr>
            </w:pPr>
          </w:p>
        </w:tc>
      </w:tr>
      <w:tr>
        <w:trPr>
          <w:trHeight w:val="212"/>
        </w:trPr>
        <w:tc>
          <w:tcPr>
            <w:tcW w:w="6680" w:type="dxa"/>
            <w:vAlign w:val="bottom"/>
          </w:tcPr>
          <w:p>
            <w:pPr>
              <w:spacing w:after="0"/>
              <w:rPr>
                <w:sz w:val="20"/>
                <w:szCs w:val="20"/>
                <w:color w:val="auto"/>
              </w:rPr>
            </w:pPr>
            <w:r>
              <w:rPr>
                <w:rFonts w:ascii="Arial" w:cs="Arial" w:eastAsia="Arial" w:hAnsi="Arial"/>
                <w:sz w:val="17"/>
                <w:szCs w:val="17"/>
                <w:color w:val="auto"/>
              </w:rPr>
              <w:t>Receivables from third-party payment agencies</w:t>
            </w:r>
          </w:p>
        </w:tc>
        <w:tc>
          <w:tcPr>
            <w:tcW w:w="1340" w:type="dxa"/>
            <w:vAlign w:val="bottom"/>
          </w:tcPr>
          <w:p>
            <w:pPr>
              <w:jc w:val="right"/>
              <w:spacing w:after="0"/>
              <w:rPr>
                <w:sz w:val="20"/>
                <w:szCs w:val="20"/>
                <w:color w:val="auto"/>
              </w:rPr>
            </w:pPr>
            <w:r>
              <w:rPr>
                <w:rFonts w:ascii="Arial" w:cs="Arial" w:eastAsia="Arial" w:hAnsi="Arial"/>
                <w:sz w:val="17"/>
                <w:szCs w:val="17"/>
                <w:color w:val="auto"/>
              </w:rPr>
              <w:t>4,367</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19,162</w:t>
            </w:r>
          </w:p>
        </w:tc>
        <w:tc>
          <w:tcPr>
            <w:tcW w:w="100" w:type="dxa"/>
            <w:vAlign w:val="bottom"/>
          </w:tcPr>
          <w:p>
            <w:pPr>
              <w:spacing w:after="0"/>
              <w:rPr>
                <w:sz w:val="18"/>
                <w:szCs w:val="18"/>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Staff advances</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751</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FF0FC"/>
          </w:tcPr>
          <w:p>
            <w:pPr>
              <w:spacing w:after="0"/>
              <w:rPr>
                <w:sz w:val="18"/>
                <w:szCs w:val="18"/>
                <w:color w:val="auto"/>
              </w:rPr>
            </w:pPr>
          </w:p>
        </w:tc>
      </w:tr>
      <w:tr>
        <w:trPr>
          <w:trHeight w:val="212"/>
        </w:trPr>
        <w:tc>
          <w:tcPr>
            <w:tcW w:w="6680" w:type="dxa"/>
            <w:vAlign w:val="bottom"/>
          </w:tcPr>
          <w:p>
            <w:pPr>
              <w:spacing w:after="0"/>
              <w:rPr>
                <w:sz w:val="20"/>
                <w:szCs w:val="20"/>
                <w:color w:val="auto"/>
              </w:rPr>
            </w:pPr>
            <w:r>
              <w:rPr>
                <w:rFonts w:ascii="Arial" w:cs="Arial" w:eastAsia="Arial" w:hAnsi="Arial"/>
                <w:sz w:val="17"/>
                <w:szCs w:val="17"/>
                <w:color w:val="auto"/>
              </w:rPr>
              <w:t>Others</w:t>
            </w:r>
          </w:p>
        </w:tc>
        <w:tc>
          <w:tcPr>
            <w:tcW w:w="1340" w:type="dxa"/>
            <w:vAlign w:val="bottom"/>
          </w:tcPr>
          <w:p>
            <w:pPr>
              <w:jc w:val="right"/>
              <w:spacing w:after="0"/>
              <w:rPr>
                <w:sz w:val="20"/>
                <w:szCs w:val="20"/>
                <w:color w:val="auto"/>
              </w:rPr>
            </w:pPr>
            <w:r>
              <w:rPr>
                <w:rFonts w:ascii="Arial" w:cs="Arial" w:eastAsia="Arial" w:hAnsi="Arial"/>
                <w:sz w:val="17"/>
                <w:szCs w:val="17"/>
                <w:color w:val="auto"/>
              </w:rPr>
              <w:t>6,633</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6,256</w:t>
            </w:r>
          </w:p>
        </w:tc>
        <w:tc>
          <w:tcPr>
            <w:tcW w:w="100" w:type="dxa"/>
            <w:vAlign w:val="bottom"/>
          </w:tcPr>
          <w:p>
            <w:pPr>
              <w:spacing w:after="0"/>
              <w:rPr>
                <w:sz w:val="18"/>
                <w:szCs w:val="18"/>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180,881</w:t>
            </w:r>
          </w:p>
        </w:tc>
        <w:tc>
          <w:tcPr>
            <w:tcW w:w="200" w:type="dxa"/>
            <w:vAlign w:val="bottom"/>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117,637</w:t>
            </w:r>
          </w:p>
        </w:tc>
        <w:tc>
          <w:tcPr>
            <w:tcW w:w="100" w:type="dxa"/>
            <w:vAlign w:val="bottom"/>
            <w:shd w:val="clear" w:color="auto" w:fill="CFF0FC"/>
          </w:tcPr>
          <w:p>
            <w:pPr>
              <w:spacing w:after="0"/>
              <w:rPr>
                <w:sz w:val="18"/>
                <w:szCs w:val="18"/>
                <w:color w:val="auto"/>
              </w:rPr>
            </w:pPr>
          </w:p>
        </w:tc>
      </w:tr>
    </w:tbl>
    <w:p>
      <w:pPr>
        <w:spacing w:after="0" w:line="183" w:lineRule="exact"/>
        <w:rPr>
          <w:sz w:val="20"/>
          <w:szCs w:val="20"/>
          <w:color w:val="auto"/>
        </w:rPr>
      </w:pPr>
    </w:p>
    <w:p>
      <w:pPr>
        <w:ind w:left="1560" w:hanging="776"/>
        <w:spacing w:after="0"/>
        <w:tabs>
          <w:tab w:leader="none" w:pos="1560" w:val="left"/>
        </w:tabs>
        <w:numPr>
          <w:ilvl w:val="0"/>
          <w:numId w:val="68"/>
        </w:numPr>
        <w:rPr>
          <w:rFonts w:ascii="Arial" w:cs="Arial" w:eastAsia="Arial" w:hAnsi="Arial"/>
          <w:sz w:val="13"/>
          <w:szCs w:val="13"/>
          <w:color w:val="181717"/>
        </w:rPr>
      </w:pPr>
      <w:r>
        <w:rPr>
          <w:rFonts w:ascii="Arial" w:cs="Arial" w:eastAsia="Arial" w:hAnsi="Arial"/>
          <w:sz w:val="13"/>
          <w:szCs w:val="13"/>
          <w:color w:val="181717"/>
        </w:rPr>
        <w:t>Represented the prepaid expenses for telecommunications, network, property management fee and software usage fee.</w:t>
      </w:r>
    </w:p>
    <w:p>
      <w:pPr>
        <w:spacing w:after="0" w:line="18" w:lineRule="exact"/>
        <w:rPr>
          <w:rFonts w:ascii="Arial" w:cs="Arial" w:eastAsia="Arial" w:hAnsi="Arial"/>
          <w:sz w:val="13"/>
          <w:szCs w:val="13"/>
          <w:color w:val="181717"/>
        </w:rPr>
      </w:pPr>
    </w:p>
    <w:p>
      <w:pPr>
        <w:ind w:left="1560" w:hanging="776"/>
        <w:spacing w:after="0" w:line="180" w:lineRule="auto"/>
        <w:tabs>
          <w:tab w:leader="none" w:pos="1560" w:val="left"/>
        </w:tabs>
        <w:numPr>
          <w:ilvl w:val="0"/>
          <w:numId w:val="68"/>
        </w:numPr>
        <w:rPr>
          <w:rFonts w:ascii="Arial" w:cs="Arial" w:eastAsia="Arial" w:hAnsi="Arial"/>
          <w:sz w:val="23"/>
          <w:szCs w:val="23"/>
          <w:color w:val="181717"/>
          <w:vertAlign w:val="superscript"/>
        </w:rPr>
      </w:pPr>
      <w:r>
        <w:rPr>
          <w:rFonts w:ascii="Arial" w:cs="Arial" w:eastAsia="Arial" w:hAnsi="Arial"/>
          <w:sz w:val="12"/>
          <w:szCs w:val="12"/>
          <w:color w:val="181717"/>
        </w:rPr>
        <w:t>Represented rental deposits, deposits for search engine marketing activities and deposits for leasehold improvement of buildings which all being refundable within one year.</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181717"/>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34" w:name="page135"/>
    <w:bookmarkEnd w:id="134"/>
    <w:p>
      <w:pPr>
        <w:jc w:val="center"/>
        <w:ind w:right="-15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hanging="780"/>
        <w:spacing w:after="0"/>
        <w:tabs>
          <w:tab w:leader="none" w:pos="800" w:val="left"/>
        </w:tabs>
        <w:numPr>
          <w:ilvl w:val="0"/>
          <w:numId w:val="69"/>
        </w:numPr>
        <w:rPr>
          <w:rFonts w:ascii="Arial" w:cs="Arial" w:eastAsia="Arial" w:hAnsi="Arial"/>
          <w:sz w:val="17"/>
          <w:szCs w:val="17"/>
          <w:b w:val="1"/>
          <w:bCs w:val="1"/>
          <w:color w:val="181717"/>
        </w:rPr>
      </w:pPr>
      <w:r>
        <w:rPr>
          <w:rFonts w:ascii="Arial" w:cs="Arial" w:eastAsia="Arial" w:hAnsi="Arial"/>
          <w:sz w:val="17"/>
          <w:szCs w:val="17"/>
          <w:b w:val="1"/>
          <w:bCs w:val="1"/>
          <w:color w:val="181717"/>
        </w:rPr>
        <w:t>DEFERRED COSTS</w:t>
      </w:r>
    </w:p>
    <w:p>
      <w:pPr>
        <w:spacing w:after="0" w:line="119" w:lineRule="exact"/>
        <w:rPr>
          <w:rFonts w:ascii="Arial" w:cs="Arial" w:eastAsia="Arial" w:hAnsi="Arial"/>
          <w:sz w:val="17"/>
          <w:szCs w:val="17"/>
          <w:b w:val="1"/>
          <w:bCs w:val="1"/>
          <w:color w:val="181717"/>
        </w:rPr>
      </w:pPr>
    </w:p>
    <w:p>
      <w:pPr>
        <w:ind w:left="820" w:right="200"/>
        <w:spacing w:after="0" w:line="254" w:lineRule="auto"/>
        <w:rPr>
          <w:rFonts w:ascii="Arial" w:cs="Arial" w:eastAsia="Arial" w:hAnsi="Arial"/>
          <w:sz w:val="17"/>
          <w:szCs w:val="17"/>
          <w:b w:val="1"/>
          <w:bCs w:val="1"/>
          <w:color w:val="181717"/>
        </w:rPr>
      </w:pPr>
      <w:r>
        <w:rPr>
          <w:rFonts w:ascii="Arial" w:cs="Arial" w:eastAsia="Arial" w:hAnsi="Arial"/>
          <w:sz w:val="17"/>
          <w:szCs w:val="17"/>
          <w:color w:val="181717"/>
        </w:rPr>
        <w:t>Deferred costs primarily consist of the incremental sales commission and service fee relating to obtaining of customers contract which is expected to be recovered and is capitalized pursuant to ASC340-40. The capitalized sales commission is amortized in the same manner the related revenue being recognized.</w:t>
      </w:r>
    </w:p>
    <w:p>
      <w:pPr>
        <w:spacing w:after="0" w:line="201" w:lineRule="exact"/>
        <w:rPr>
          <w:rFonts w:ascii="Arial" w:cs="Arial" w:eastAsia="Arial" w:hAnsi="Arial"/>
          <w:sz w:val="17"/>
          <w:szCs w:val="17"/>
          <w:b w:val="1"/>
          <w:bCs w:val="1"/>
          <w:color w:val="181717"/>
        </w:rPr>
      </w:pPr>
    </w:p>
    <w:p>
      <w:pPr>
        <w:ind w:left="820"/>
        <w:spacing w:after="0"/>
        <w:rPr>
          <w:rFonts w:ascii="Arial" w:cs="Arial" w:eastAsia="Arial" w:hAnsi="Arial"/>
          <w:sz w:val="17"/>
          <w:szCs w:val="17"/>
          <w:b w:val="1"/>
          <w:bCs w:val="1"/>
          <w:color w:val="181717"/>
        </w:rPr>
      </w:pPr>
      <w:r>
        <w:rPr>
          <w:rFonts w:ascii="Arial" w:cs="Arial" w:eastAsia="Arial" w:hAnsi="Arial"/>
          <w:sz w:val="17"/>
          <w:szCs w:val="17"/>
          <w:color w:val="181717"/>
        </w:rPr>
        <w:t>The movements of deferred costs for the years ended December 31, 2019 and 2020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3260" w:type="dxa"/>
            <w:vAlign w:val="bottom"/>
            <w:gridSpan w:val="4"/>
          </w:tcPr>
          <w:p>
            <w:pPr>
              <w:jc w:val="right"/>
              <w:ind w:right="1020"/>
              <w:spacing w:after="0"/>
              <w:rPr>
                <w:sz w:val="20"/>
                <w:szCs w:val="20"/>
                <w:color w:val="auto"/>
              </w:rPr>
            </w:pPr>
            <w:r>
              <w:rPr>
                <w:rFonts w:ascii="Arial" w:cs="Arial" w:eastAsia="Arial" w:hAnsi="Arial"/>
                <w:sz w:val="17"/>
                <w:szCs w:val="17"/>
                <w:color w:val="auto"/>
              </w:rPr>
              <w:t>As of December 31,</w:t>
            </w:r>
          </w:p>
        </w:tc>
      </w:tr>
      <w:tr>
        <w:trPr>
          <w:trHeight w:val="204"/>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7"/>
                <w:szCs w:val="17"/>
                <w:color w:val="auto"/>
              </w:rPr>
              <w:t>2019</w:t>
            </w: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440" w:type="dxa"/>
            <w:vAlign w:val="bottom"/>
          </w:tcPr>
          <w:p>
            <w:pPr>
              <w:jc w:val="right"/>
              <w:ind w:right="457"/>
              <w:spacing w:after="0"/>
              <w:rPr>
                <w:sz w:val="20"/>
                <w:szCs w:val="20"/>
                <w:color w:val="auto"/>
              </w:rPr>
            </w:pPr>
            <w:r>
              <w:rPr>
                <w:rFonts w:ascii="Arial" w:cs="Arial" w:eastAsia="Arial" w:hAnsi="Arial"/>
                <w:sz w:val="17"/>
                <w:szCs w:val="17"/>
                <w:color w:val="auto"/>
              </w:rPr>
              <w:t>RMB</w:t>
            </w:r>
          </w:p>
        </w:tc>
        <w:tc>
          <w:tcPr>
            <w:tcW w:w="260" w:type="dxa"/>
            <w:vAlign w:val="bottom"/>
          </w:tcPr>
          <w:p>
            <w:pPr>
              <w:spacing w:after="0"/>
              <w:rPr>
                <w:sz w:val="17"/>
                <w:szCs w:val="17"/>
                <w:color w:val="auto"/>
              </w:rPr>
            </w:pPr>
          </w:p>
        </w:tc>
        <w:tc>
          <w:tcPr>
            <w:tcW w:w="1460" w:type="dxa"/>
            <w:vAlign w:val="bottom"/>
          </w:tcPr>
          <w:p>
            <w:pPr>
              <w:jc w:val="right"/>
              <w:ind w:right="477"/>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7"/>
                <w:szCs w:val="17"/>
                <w:color w:val="auto"/>
              </w:rPr>
              <w:t>Beginning balances (current and non-current)</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327,267</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449,069</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7"/>
                <w:szCs w:val="17"/>
                <w:color w:val="auto"/>
              </w:rPr>
              <w:t>Additions</w:t>
            </w:r>
          </w:p>
        </w:tc>
        <w:tc>
          <w:tcPr>
            <w:tcW w:w="1440" w:type="dxa"/>
            <w:vAlign w:val="bottom"/>
          </w:tcPr>
          <w:p>
            <w:pPr>
              <w:jc w:val="right"/>
              <w:spacing w:after="0"/>
              <w:rPr>
                <w:sz w:val="20"/>
                <w:szCs w:val="20"/>
                <w:color w:val="auto"/>
              </w:rPr>
            </w:pPr>
            <w:r>
              <w:rPr>
                <w:rFonts w:ascii="Arial" w:cs="Arial" w:eastAsia="Arial" w:hAnsi="Arial"/>
                <w:sz w:val="17"/>
                <w:szCs w:val="17"/>
                <w:color w:val="auto"/>
              </w:rPr>
              <w:t>440,495</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214,181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7"/>
                <w:szCs w:val="17"/>
                <w:color w:val="auto"/>
              </w:rPr>
              <w:t>Amortizations</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(318,693)</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(334,864)</w:t>
            </w:r>
          </w:p>
        </w:tc>
      </w:tr>
      <w:tr>
        <w:trPr>
          <w:trHeight w:val="212"/>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7"/>
                <w:szCs w:val="17"/>
                <w:color w:val="auto"/>
              </w:rPr>
              <w:t>Accumulated impairments</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(134)</w:t>
            </w: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(134)</w:t>
            </w:r>
          </w:p>
        </w:tc>
      </w:tr>
      <w:tr>
        <w:trPr>
          <w:trHeight w:val="204"/>
        </w:trPr>
        <w:tc>
          <w:tcPr>
            <w:tcW w:w="20" w:type="dxa"/>
            <w:vAlign w:val="bottom"/>
          </w:tcPr>
          <w:p>
            <w:pPr>
              <w:spacing w:after="0"/>
              <w:rPr>
                <w:sz w:val="17"/>
                <w:szCs w:val="17"/>
                <w:color w:val="auto"/>
              </w:rPr>
            </w:pPr>
          </w:p>
        </w:tc>
        <w:tc>
          <w:tcPr>
            <w:tcW w:w="7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Ending balances (current and non-current)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448,935</w:t>
            </w:r>
          </w:p>
        </w:tc>
        <w:tc>
          <w:tcPr>
            <w:tcW w:w="26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328,252</w:t>
            </w:r>
          </w:p>
        </w:tc>
        <w:tc>
          <w:tcPr>
            <w:tcW w:w="100" w:type="dxa"/>
            <w:vAlign w:val="bottom"/>
            <w:tcBorders>
              <w:top w:val="single" w:sz="8" w:color="CFF0FC"/>
            </w:tcBorders>
            <w:shd w:val="clear" w:color="auto" w:fill="CFF0FC"/>
          </w:tcPr>
          <w:p>
            <w:pPr>
              <w:spacing w:after="0"/>
              <w:rPr>
                <w:sz w:val="17"/>
                <w:szCs w:val="17"/>
                <w:color w:val="auto"/>
              </w:rPr>
            </w:pPr>
          </w:p>
        </w:tc>
      </w:tr>
      <w:tr>
        <w:trPr>
          <w:trHeight w:val="204"/>
        </w:trPr>
        <w:tc>
          <w:tcPr>
            <w:tcW w:w="7220" w:type="dxa"/>
            <w:vAlign w:val="bottom"/>
            <w:gridSpan w:val="2"/>
          </w:tcPr>
          <w:p>
            <w:pPr>
              <w:spacing w:after="0"/>
              <w:rPr>
                <w:sz w:val="20"/>
                <w:szCs w:val="20"/>
                <w:color w:val="auto"/>
              </w:rPr>
            </w:pPr>
            <w:r>
              <w:rPr>
                <w:rFonts w:ascii="Arial" w:cs="Arial" w:eastAsia="Arial" w:hAnsi="Arial"/>
                <w:sz w:val="17"/>
                <w:szCs w:val="17"/>
                <w:color w:val="auto"/>
              </w:rPr>
              <w:t>Deferred costs, current</w:t>
            </w:r>
          </w:p>
        </w:tc>
        <w:tc>
          <w:tcPr>
            <w:tcW w:w="1440" w:type="dxa"/>
            <w:vAlign w:val="bottom"/>
          </w:tcPr>
          <w:p>
            <w:pPr>
              <w:jc w:val="right"/>
              <w:spacing w:after="0"/>
              <w:rPr>
                <w:sz w:val="20"/>
                <w:szCs w:val="20"/>
                <w:color w:val="auto"/>
              </w:rPr>
            </w:pPr>
            <w:r>
              <w:rPr>
                <w:rFonts w:ascii="Arial" w:cs="Arial" w:eastAsia="Arial" w:hAnsi="Arial"/>
                <w:sz w:val="17"/>
                <w:szCs w:val="17"/>
                <w:color w:val="auto"/>
              </w:rPr>
              <w:t>243,447</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158,092</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7"/>
                <w:szCs w:val="17"/>
                <w:color w:val="auto"/>
              </w:rPr>
              <w:t>Deferred costs, non-current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205,488</w:t>
            </w:r>
          </w:p>
        </w:tc>
        <w:tc>
          <w:tcPr>
            <w:tcW w:w="26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170,160</w:t>
            </w:r>
          </w:p>
        </w:tc>
        <w:tc>
          <w:tcPr>
            <w:tcW w:w="100" w:type="dxa"/>
            <w:vAlign w:val="bottom"/>
            <w:shd w:val="clear" w:color="auto" w:fill="CFF0FC"/>
          </w:tcPr>
          <w:p>
            <w:pPr>
              <w:spacing w:after="0"/>
              <w:rPr>
                <w:sz w:val="18"/>
                <w:szCs w:val="18"/>
                <w:color w:val="auto"/>
              </w:rPr>
            </w:pPr>
          </w:p>
        </w:tc>
      </w:tr>
    </w:tbl>
    <w:p>
      <w:pPr>
        <w:spacing w:after="0" w:line="208" w:lineRule="exact"/>
        <w:rPr>
          <w:sz w:val="20"/>
          <w:szCs w:val="20"/>
          <w:color w:val="auto"/>
        </w:rPr>
      </w:pPr>
    </w:p>
    <w:p>
      <w:pPr>
        <w:ind w:left="820" w:right="6880" w:hanging="800"/>
        <w:spacing w:after="0" w:line="447" w:lineRule="auto"/>
        <w:tabs>
          <w:tab w:leader="none" w:pos="81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AND EQUIPMENT, NET </w:t>
      </w:r>
      <w:r>
        <w:rPr>
          <w:rFonts w:ascii="Arial" w:cs="Arial" w:eastAsia="Arial" w:hAnsi="Arial"/>
          <w:sz w:val="16"/>
          <w:szCs w:val="16"/>
          <w:color w:val="auto"/>
        </w:rPr>
        <w:t>Property and equipment consisted of the following:</w:t>
      </w:r>
    </w:p>
    <w:p>
      <w:pPr>
        <w:spacing w:after="0" w:line="91" w:lineRule="exact"/>
        <w:rPr>
          <w:sz w:val="20"/>
          <w:szCs w:val="20"/>
          <w:color w:val="auto"/>
        </w:rPr>
      </w:pPr>
    </w:p>
    <w:p>
      <w:pPr>
        <w:ind w:left="8100"/>
        <w:spacing w:after="0"/>
        <w:rPr>
          <w:sz w:val="20"/>
          <w:szCs w:val="20"/>
          <w:color w:val="auto"/>
        </w:rPr>
      </w:pPr>
      <w:r>
        <w:rPr>
          <w:rFonts w:ascii="Arial" w:cs="Arial" w:eastAsia="Arial" w:hAnsi="Arial"/>
          <w:sz w:val="17"/>
          <w:szCs w:val="17"/>
          <w:color w:val="auto"/>
        </w:rPr>
        <w:t>As of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00" w:type="dxa"/>
            <w:vAlign w:val="bottom"/>
            <w:gridSpan w:val="2"/>
          </w:tcPr>
          <w:p>
            <w:pPr>
              <w:spacing w:after="0"/>
              <w:rPr>
                <w:sz w:val="17"/>
                <w:szCs w:val="17"/>
                <w:color w:val="auto"/>
              </w:rPr>
            </w:pPr>
          </w:p>
        </w:tc>
        <w:tc>
          <w:tcPr>
            <w:tcW w:w="9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7"/>
                <w:szCs w:val="17"/>
                <w:color w:val="auto"/>
                <w:w w:val="84"/>
              </w:rPr>
              <w:t>2019</w:t>
            </w:r>
          </w:p>
        </w:tc>
        <w:tc>
          <w:tcPr>
            <w:tcW w:w="5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900" w:type="dxa"/>
            <w:vAlign w:val="bottom"/>
          </w:tcPr>
          <w:p>
            <w:pPr>
              <w:ind w:left="540"/>
              <w:spacing w:after="0"/>
              <w:rPr>
                <w:sz w:val="20"/>
                <w:szCs w:val="20"/>
                <w:color w:val="auto"/>
              </w:rPr>
            </w:pPr>
            <w:r>
              <w:rPr>
                <w:rFonts w:ascii="Arial" w:cs="Arial" w:eastAsia="Arial" w:hAnsi="Arial"/>
                <w:sz w:val="17"/>
                <w:szCs w:val="17"/>
                <w:color w:val="auto"/>
                <w:w w:val="89"/>
              </w:rPr>
              <w:t>RMB</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477"/>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80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 xml:space="preserve">Buildings </w:t>
            </w:r>
            <w:r>
              <w:rPr>
                <w:rFonts w:ascii="Arial" w:cs="Arial" w:eastAsia="Arial" w:hAnsi="Arial"/>
                <w:sz w:val="14"/>
                <w:szCs w:val="14"/>
                <w:color w:val="auto"/>
              </w:rPr>
              <w:t>(1)</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480,271</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480,271</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7"/>
                <w:szCs w:val="17"/>
                <w:color w:val="auto"/>
              </w:rPr>
              <w:t>Leasehold and buildings improvement</w:t>
            </w:r>
          </w:p>
        </w:tc>
        <w:tc>
          <w:tcPr>
            <w:tcW w:w="560" w:type="dxa"/>
            <w:vAlign w:val="bottom"/>
          </w:tcPr>
          <w:p>
            <w:pPr>
              <w:jc w:val="right"/>
              <w:spacing w:after="0"/>
              <w:rPr>
                <w:sz w:val="20"/>
                <w:szCs w:val="20"/>
                <w:color w:val="auto"/>
              </w:rPr>
            </w:pPr>
            <w:r>
              <w:rPr>
                <w:rFonts w:ascii="Arial" w:cs="Arial" w:eastAsia="Arial" w:hAnsi="Arial"/>
                <w:sz w:val="17"/>
                <w:szCs w:val="17"/>
                <w:color w:val="auto"/>
                <w:w w:val="84"/>
              </w:rPr>
              <w:t>106,377</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106,712</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0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Electronic and office equipment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35,049</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35,306</w:t>
            </w:r>
          </w:p>
        </w:tc>
        <w:tc>
          <w:tcPr>
            <w:tcW w:w="100" w:type="dxa"/>
            <w:vAlign w:val="bottom"/>
            <w:shd w:val="clear" w:color="auto" w:fill="CFF0FC"/>
          </w:tcPr>
          <w:p>
            <w:pPr>
              <w:spacing w:after="0"/>
              <w:rPr>
                <w:sz w:val="18"/>
                <w:szCs w:val="18"/>
                <w:color w:val="auto"/>
              </w:rPr>
            </w:pPr>
          </w:p>
        </w:tc>
      </w:tr>
      <w:tr>
        <w:trPr>
          <w:trHeight w:val="204"/>
        </w:trPr>
        <w:tc>
          <w:tcPr>
            <w:tcW w:w="7200" w:type="dxa"/>
            <w:vAlign w:val="bottom"/>
            <w:gridSpan w:val="2"/>
          </w:tcPr>
          <w:p>
            <w:pPr>
              <w:spacing w:after="0"/>
              <w:rPr>
                <w:sz w:val="20"/>
                <w:szCs w:val="20"/>
                <w:color w:val="auto"/>
              </w:rPr>
            </w:pPr>
            <w:r>
              <w:rPr>
                <w:rFonts w:ascii="Arial" w:cs="Arial" w:eastAsia="Arial" w:hAnsi="Arial"/>
                <w:sz w:val="17"/>
                <w:szCs w:val="17"/>
                <w:color w:val="auto"/>
              </w:rPr>
              <w:t>Total cost</w:t>
            </w: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621,697</w:t>
            </w:r>
          </w:p>
        </w:tc>
        <w:tc>
          <w:tcPr>
            <w:tcW w:w="26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622,289</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80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1"/>
              </w:rPr>
              <w:t>(76,022)</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(111,197)</w:t>
            </w:r>
          </w:p>
        </w:tc>
      </w:tr>
      <w:tr>
        <w:trPr>
          <w:trHeight w:val="204"/>
        </w:trPr>
        <w:tc>
          <w:tcPr>
            <w:tcW w:w="720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545,675</w:t>
            </w:r>
          </w:p>
        </w:tc>
        <w:tc>
          <w:tcPr>
            <w:tcW w:w="26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511,092</w:t>
            </w:r>
          </w:p>
        </w:tc>
        <w:tc>
          <w:tcPr>
            <w:tcW w:w="100" w:type="dxa"/>
            <w:vAlign w:val="bottom"/>
          </w:tcPr>
          <w:p>
            <w:pPr>
              <w:spacing w:after="0"/>
              <w:rPr>
                <w:sz w:val="17"/>
                <w:szCs w:val="17"/>
                <w:color w:val="auto"/>
              </w:rPr>
            </w:pPr>
          </w:p>
        </w:tc>
      </w:tr>
    </w:tbl>
    <w:p>
      <w:pPr>
        <w:spacing w:after="0" w:line="208" w:lineRule="exact"/>
        <w:rPr>
          <w:sz w:val="20"/>
          <w:szCs w:val="20"/>
          <w:color w:val="auto"/>
        </w:rPr>
      </w:pPr>
    </w:p>
    <w:p>
      <w:pPr>
        <w:ind w:left="1580" w:hanging="776"/>
        <w:spacing w:after="0" w:line="250" w:lineRule="auto"/>
        <w:tabs>
          <w:tab w:leader="none" w:pos="15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 2017, the Group purchased two buildings in Wuhan (Building A and B) and one building in Guangzhou (Building C) with a total consideration of RMB480,271. RMB60,000 of the consideration was paid by a mortgage loan provided by a PRC bank in August 2018 (Note 13).</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Depreciation expenses were RMB24,930, RMB36,250 and RMB39,574 for the years ended December 31, 2018, 2019 and 2020, respectively.</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0" w:type="dxa"/>
            <w:vAlign w:val="bottom"/>
          </w:tcPr>
          <w:p>
            <w:pPr>
              <w:jc w:val="right"/>
              <w:ind w:right="237"/>
              <w:spacing w:after="0"/>
              <w:rPr>
                <w:sz w:val="20"/>
                <w:szCs w:val="20"/>
                <w:color w:val="auto"/>
              </w:rPr>
            </w:pPr>
            <w:r>
              <w:rPr>
                <w:rFonts w:ascii="Arial" w:cs="Arial" w:eastAsia="Arial" w:hAnsi="Arial"/>
                <w:sz w:val="17"/>
                <w:szCs w:val="17"/>
                <w:b w:val="1"/>
                <w:bCs w:val="1"/>
                <w:color w:val="auto"/>
                <w:w w:val="70"/>
              </w:rPr>
              <w:t>7.</w:t>
            </w:r>
          </w:p>
        </w:tc>
        <w:tc>
          <w:tcPr>
            <w:tcW w:w="7880" w:type="dxa"/>
            <w:vAlign w:val="bottom"/>
            <w:gridSpan w:val="3"/>
          </w:tcPr>
          <w:p>
            <w:pPr>
              <w:ind w:left="340"/>
              <w:spacing w:after="0"/>
              <w:rPr>
                <w:sz w:val="20"/>
                <w:szCs w:val="20"/>
                <w:color w:val="auto"/>
              </w:rPr>
            </w:pPr>
            <w:r>
              <w:rPr>
                <w:rFonts w:ascii="Arial" w:cs="Arial" w:eastAsia="Arial" w:hAnsi="Arial"/>
                <w:sz w:val="17"/>
                <w:szCs w:val="17"/>
                <w:b w:val="1"/>
                <w:bCs w:val="1"/>
                <w:color w:val="auto"/>
              </w:rPr>
              <w:t>INTANGIBLE ASSETS, NET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9"/>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color w:val="auto"/>
              </w:rPr>
              <w:t>The balance of intangible assets consisted of the following:</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1"/>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440" w:type="dxa"/>
            <w:vAlign w:val="bottom"/>
            <w:tcBorders>
              <w:bottom w:val="single" w:sz="8" w:color="auto"/>
            </w:tcBorders>
            <w:gridSpan w:val="4"/>
          </w:tcPr>
          <w:p>
            <w:pPr>
              <w:ind w:left="780"/>
              <w:spacing w:after="0"/>
              <w:rPr>
                <w:sz w:val="20"/>
                <w:szCs w:val="20"/>
                <w:color w:val="auto"/>
              </w:rPr>
            </w:pPr>
            <w:r>
              <w:rPr>
                <w:rFonts w:ascii="Arial" w:cs="Arial" w:eastAsia="Arial" w:hAnsi="Arial"/>
                <w:sz w:val="17"/>
                <w:szCs w:val="17"/>
                <w:color w:val="auto"/>
              </w:rPr>
              <w:t>As of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440" w:type="dxa"/>
            <w:vAlign w:val="bottom"/>
          </w:tcPr>
          <w:p>
            <w:pPr>
              <w:spacing w:after="0"/>
              <w:rPr>
                <w:sz w:val="17"/>
                <w:szCs w:val="17"/>
                <w:color w:val="auto"/>
              </w:rPr>
            </w:pPr>
          </w:p>
        </w:tc>
        <w:tc>
          <w:tcPr>
            <w:tcW w:w="7000" w:type="dxa"/>
            <w:vAlign w:val="bottom"/>
            <w:gridSpan w:val="2"/>
          </w:tcPr>
          <w:p>
            <w:pPr>
              <w:spacing w:after="0"/>
              <w:rPr>
                <w:sz w:val="17"/>
                <w:szCs w:val="17"/>
                <w:color w:val="auto"/>
              </w:rPr>
            </w:pPr>
          </w:p>
        </w:tc>
        <w:tc>
          <w:tcPr>
            <w:tcW w:w="880" w:type="dxa"/>
            <w:vAlign w:val="bottom"/>
          </w:tcPr>
          <w:p>
            <w:pPr>
              <w:ind w:left="500"/>
              <w:spacing w:after="0"/>
              <w:rPr>
                <w:sz w:val="20"/>
                <w:szCs w:val="20"/>
                <w:color w:val="auto"/>
              </w:rPr>
            </w:pPr>
            <w:r>
              <w:rPr>
                <w:rFonts w:ascii="Arial" w:cs="Arial" w:eastAsia="Arial" w:hAnsi="Arial"/>
                <w:sz w:val="17"/>
                <w:szCs w:val="17"/>
                <w:color w:val="auto"/>
                <w:w w:val="95"/>
              </w:rPr>
              <w:t>2019</w:t>
            </w:r>
          </w:p>
        </w:tc>
        <w:tc>
          <w:tcPr>
            <w:tcW w:w="1560" w:type="dxa"/>
            <w:vAlign w:val="bottom"/>
            <w:gridSpan w:val="3"/>
          </w:tcPr>
          <w:p>
            <w:pPr>
              <w:ind w:left="1180"/>
              <w:spacing w:after="0"/>
              <w:rPr>
                <w:sz w:val="20"/>
                <w:szCs w:val="20"/>
                <w:color w:val="auto"/>
              </w:rPr>
            </w:pPr>
            <w:r>
              <w:rPr>
                <w:rFonts w:ascii="Arial" w:cs="Arial" w:eastAsia="Arial" w:hAnsi="Arial"/>
                <w:sz w:val="17"/>
                <w:szCs w:val="17"/>
                <w:color w:val="auto"/>
                <w:w w:val="95"/>
              </w:rPr>
              <w:t>2020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88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rPr>
              <w:t>RMB</w:t>
            </w:r>
          </w:p>
        </w:tc>
        <w:tc>
          <w:tcPr>
            <w:tcW w:w="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ind w:left="460"/>
              <w:spacing w:after="0"/>
              <w:rPr>
                <w:sz w:val="20"/>
                <w:szCs w:val="20"/>
                <w:color w:val="auto"/>
              </w:rPr>
            </w:pPr>
            <w:r>
              <w:rPr>
                <w:rFonts w:ascii="Arial" w:cs="Arial" w:eastAsia="Arial" w:hAnsi="Arial"/>
                <w:sz w:val="17"/>
                <w:szCs w:val="17"/>
                <w:color w:val="auto"/>
              </w:rPr>
              <w:t>RMB</w:t>
            </w: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Computer software</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3,757</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4,394</w:t>
            </w:r>
          </w:p>
        </w:tc>
        <w:tc>
          <w:tcPr>
            <w:tcW w:w="100" w:type="dxa"/>
            <w:vAlign w:val="bottom"/>
            <w:shd w:val="clear" w:color="auto" w:fill="CFF0FC"/>
          </w:tcPr>
          <w:p>
            <w:pPr>
              <w:spacing w:after="0"/>
              <w:rPr>
                <w:sz w:val="18"/>
                <w:szCs w:val="18"/>
                <w:color w:val="auto"/>
              </w:rPr>
            </w:pPr>
          </w:p>
        </w:tc>
      </w:tr>
      <w:tr>
        <w:trPr>
          <w:trHeight w:val="212"/>
        </w:trPr>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7"/>
                <w:szCs w:val="17"/>
                <w:color w:val="auto"/>
              </w:rPr>
              <w:t>License</w:t>
            </w:r>
          </w:p>
        </w:tc>
        <w:tc>
          <w:tcPr>
            <w:tcW w:w="460" w:type="dxa"/>
            <w:vAlign w:val="bottom"/>
          </w:tcPr>
          <w:p>
            <w:pPr>
              <w:jc w:val="right"/>
              <w:spacing w:after="0"/>
              <w:rPr>
                <w:sz w:val="20"/>
                <w:szCs w:val="20"/>
                <w:color w:val="auto"/>
              </w:rPr>
            </w:pPr>
            <w:r>
              <w:rPr>
                <w:rFonts w:ascii="Arial" w:cs="Arial" w:eastAsia="Arial" w:hAnsi="Arial"/>
                <w:sz w:val="17"/>
                <w:szCs w:val="17"/>
                <w:color w:val="auto"/>
              </w:rPr>
              <w:t>780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18"/>
                <w:szCs w:val="18"/>
                <w:color w:val="auto"/>
              </w:rPr>
            </w:pPr>
          </w:p>
        </w:tc>
      </w:tr>
      <w:tr>
        <w:trPr>
          <w:trHeight w:val="212"/>
        </w:trPr>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amortization</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w w:val="89"/>
              </w:rPr>
              <w:t>(3,361)</w:t>
            </w:r>
          </w:p>
        </w:tc>
        <w:tc>
          <w:tcPr>
            <w:tcW w:w="8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92"/>
              </w:rPr>
              <w:t>(3,963)</w:t>
            </w:r>
          </w:p>
        </w:tc>
      </w:tr>
      <w:tr>
        <w:trPr>
          <w:trHeight w:val="204"/>
        </w:trPr>
        <w:tc>
          <w:tcPr>
            <w:tcW w:w="440" w:type="dxa"/>
            <w:vAlign w:val="bottom"/>
          </w:tcPr>
          <w:p>
            <w:pPr>
              <w:spacing w:after="0"/>
              <w:rPr>
                <w:sz w:val="17"/>
                <w:szCs w:val="17"/>
                <w:color w:val="auto"/>
              </w:rPr>
            </w:pPr>
          </w:p>
        </w:tc>
        <w:tc>
          <w:tcPr>
            <w:tcW w:w="7000" w:type="dxa"/>
            <w:vAlign w:val="bottom"/>
            <w:gridSpan w:val="2"/>
          </w:tcPr>
          <w:p>
            <w:pPr>
              <w:ind w:left="340"/>
              <w:spacing w:after="0"/>
              <w:rPr>
                <w:sz w:val="20"/>
                <w:szCs w:val="20"/>
                <w:color w:val="auto"/>
              </w:rPr>
            </w:pPr>
            <w:r>
              <w:rPr>
                <w:rFonts w:ascii="Arial" w:cs="Arial" w:eastAsia="Arial" w:hAnsi="Arial"/>
                <w:sz w:val="17"/>
                <w:szCs w:val="17"/>
                <w:color w:val="auto"/>
              </w:rPr>
              <w:t>Intangible assets, net</w:t>
            </w:r>
          </w:p>
        </w:tc>
        <w:tc>
          <w:tcPr>
            <w:tcW w:w="8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1,176</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1,211</w:t>
            </w:r>
          </w:p>
        </w:tc>
        <w:tc>
          <w:tcPr>
            <w:tcW w:w="100" w:type="dxa"/>
            <w:vAlign w:val="bottom"/>
          </w:tcPr>
          <w:p>
            <w:pPr>
              <w:spacing w:after="0"/>
              <w:rPr>
                <w:sz w:val="17"/>
                <w:szCs w:val="17"/>
                <w:color w:val="auto"/>
              </w:rPr>
            </w:pPr>
          </w:p>
        </w:tc>
      </w:tr>
    </w:tbl>
    <w:p>
      <w:pPr>
        <w:spacing w:after="0" w:line="21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Amortization expenses were RMB</w:t>
      </w:r>
      <w:r>
        <w:rPr>
          <w:rFonts w:ascii="Arial" w:cs="Arial" w:eastAsia="Arial" w:hAnsi="Arial"/>
          <w:sz w:val="17"/>
          <w:szCs w:val="17"/>
          <w:color w:val="181717"/>
        </w:rPr>
        <w:t>848</w:t>
      </w:r>
      <w:r>
        <w:rPr>
          <w:rFonts w:ascii="Arial" w:cs="Arial" w:eastAsia="Arial" w:hAnsi="Arial"/>
          <w:sz w:val="17"/>
          <w:szCs w:val="17"/>
          <w:color w:val="auto"/>
        </w:rPr>
        <w:t>, RMB</w:t>
      </w:r>
      <w:r>
        <w:rPr>
          <w:rFonts w:ascii="Arial" w:cs="Arial" w:eastAsia="Arial" w:hAnsi="Arial"/>
          <w:sz w:val="17"/>
          <w:szCs w:val="17"/>
          <w:color w:val="181717"/>
        </w:rPr>
        <w:t>973</w:t>
      </w:r>
      <w:r>
        <w:rPr>
          <w:rFonts w:ascii="Arial" w:cs="Arial" w:eastAsia="Arial" w:hAnsi="Arial"/>
          <w:sz w:val="17"/>
          <w:szCs w:val="17"/>
          <w:color w:val="auto"/>
        </w:rPr>
        <w:t xml:space="preserve"> and RMB</w:t>
      </w:r>
      <w:r>
        <w:rPr>
          <w:rFonts w:ascii="Arial" w:cs="Arial" w:eastAsia="Arial" w:hAnsi="Arial"/>
          <w:sz w:val="17"/>
          <w:szCs w:val="17"/>
          <w:color w:val="181717"/>
        </w:rPr>
        <w:t>602</w:t>
      </w:r>
      <w:r>
        <w:rPr>
          <w:rFonts w:ascii="Arial" w:cs="Arial" w:eastAsia="Arial" w:hAnsi="Arial"/>
          <w:sz w:val="17"/>
          <w:szCs w:val="17"/>
          <w:color w:val="auto"/>
        </w:rPr>
        <w:t xml:space="preserve"> for the years ended December 31, 2018, 2019 and 2020, respectively.</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181717"/>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00"/>
          </w:cols>
          <w:pgMar w:left="300" w:top="127" w:right="499" w:bottom="1440" w:gutter="0" w:footer="0" w:header="0"/>
        </w:sectPr>
      </w:pPr>
    </w:p>
    <w:bookmarkStart w:id="135" w:name="page136"/>
    <w:bookmarkEnd w:id="135"/>
    <w:p>
      <w:pPr>
        <w:jc w:val="center"/>
        <w:ind w:right="-7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hanging="780"/>
        <w:spacing w:after="0"/>
        <w:tabs>
          <w:tab w:leader="none" w:pos="80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INTANGIBLE ASSETS, NET </w:t>
      </w:r>
      <w:r>
        <w:rPr>
          <w:rFonts w:ascii="Arial" w:cs="Arial" w:eastAsia="Arial" w:hAnsi="Arial"/>
          <w:sz w:val="17"/>
          <w:szCs w:val="17"/>
          <w:color w:val="auto"/>
        </w:rPr>
        <w:t>- continued</w:t>
      </w:r>
    </w:p>
    <w:p>
      <w:pPr>
        <w:spacing w:after="0" w:line="207" w:lineRule="exact"/>
        <w:rPr>
          <w:rFonts w:ascii="Arial" w:cs="Arial" w:eastAsia="Arial" w:hAnsi="Arial"/>
          <w:sz w:val="17"/>
          <w:szCs w:val="17"/>
          <w:b w:val="1"/>
          <w:bCs w:val="1"/>
          <w:color w:val="auto"/>
        </w:rPr>
      </w:pPr>
    </w:p>
    <w:p>
      <w:pPr>
        <w:ind w:left="820"/>
        <w:spacing w:after="0"/>
        <w:rPr>
          <w:rFonts w:ascii="Arial" w:cs="Arial" w:eastAsia="Arial" w:hAnsi="Arial"/>
          <w:sz w:val="17"/>
          <w:szCs w:val="17"/>
          <w:b w:val="1"/>
          <w:bCs w:val="1"/>
          <w:color w:val="auto"/>
        </w:rPr>
      </w:pPr>
      <w:r>
        <w:rPr>
          <w:rFonts w:ascii="Arial" w:cs="Arial" w:eastAsia="Arial" w:hAnsi="Arial"/>
          <w:sz w:val="17"/>
          <w:szCs w:val="17"/>
          <w:color w:val="auto"/>
        </w:rPr>
        <w:t>The intangible assets amortization expenses for each of the following fiscal years are as follows:</w:t>
      </w:r>
    </w:p>
    <w:p>
      <w:pPr>
        <w:spacing w:after="0" w:line="265" w:lineRule="exact"/>
        <w:rPr>
          <w:sz w:val="20"/>
          <w:szCs w:val="20"/>
          <w:color w:val="auto"/>
        </w:rPr>
      </w:pPr>
    </w:p>
    <w:tbl>
      <w:tblPr>
        <w:tblLayout w:type="fixed"/>
        <w:tblInd w:w="800" w:type="dxa"/>
        <w:tblCellMar>
          <w:top w:w="0" w:type="dxa"/>
          <w:left w:w="0" w:type="dxa"/>
          <w:bottom w:w="0" w:type="dxa"/>
          <w:right w:w="0" w:type="dxa"/>
        </w:tblCellMar>
      </w:tblPr>
      <w:tr>
        <w:trPr>
          <w:trHeight w:val="212"/>
        </w:trPr>
        <w:tc>
          <w:tcPr>
            <w:tcW w:w="7960" w:type="dxa"/>
            <w:vAlign w:val="bottom"/>
          </w:tcPr>
          <w:p>
            <w:pPr>
              <w:spacing w:after="0"/>
              <w:rPr>
                <w:sz w:val="18"/>
                <w:szCs w:val="18"/>
                <w:color w:val="auto"/>
              </w:rPr>
            </w:pPr>
          </w:p>
        </w:tc>
        <w:tc>
          <w:tcPr>
            <w:tcW w:w="1720" w:type="dxa"/>
            <w:vAlign w:val="bottom"/>
            <w:gridSpan w:val="2"/>
          </w:tcPr>
          <w:p>
            <w:pPr>
              <w:ind w:left="340"/>
              <w:spacing w:after="0"/>
              <w:rPr>
                <w:sz w:val="20"/>
                <w:szCs w:val="20"/>
                <w:color w:val="auto"/>
              </w:rPr>
            </w:pPr>
            <w:r>
              <w:rPr>
                <w:rFonts w:ascii="Arial" w:cs="Arial" w:eastAsia="Arial" w:hAnsi="Arial"/>
                <w:sz w:val="17"/>
                <w:szCs w:val="17"/>
                <w:color w:val="auto"/>
              </w:rPr>
              <w:t>Amortization</w:t>
            </w:r>
          </w:p>
        </w:tc>
      </w:tr>
      <w:tr>
        <w:trPr>
          <w:trHeight w:val="204"/>
        </w:trPr>
        <w:tc>
          <w:tcPr>
            <w:tcW w:w="7960" w:type="dxa"/>
            <w:vAlign w:val="bottom"/>
          </w:tcPr>
          <w:p>
            <w:pPr>
              <w:spacing w:after="0"/>
              <w:rPr>
                <w:sz w:val="17"/>
                <w:szCs w:val="17"/>
                <w:color w:val="auto"/>
              </w:rPr>
            </w:pPr>
          </w:p>
        </w:tc>
        <w:tc>
          <w:tcPr>
            <w:tcW w:w="1620" w:type="dxa"/>
            <w:vAlign w:val="bottom"/>
            <w:tcBorders>
              <w:top w:val="single" w:sz="8" w:color="auto"/>
            </w:tcBorders>
          </w:tcPr>
          <w:p>
            <w:pPr>
              <w:jc w:val="right"/>
              <w:ind w:right="557"/>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r>
      <w:tr>
        <w:trPr>
          <w:trHeight w:val="212"/>
        </w:trPr>
        <w:tc>
          <w:tcPr>
            <w:tcW w:w="796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FF0FC"/>
          </w:tcPr>
          <w:p>
            <w:pPr>
              <w:spacing w:after="0"/>
              <w:rPr>
                <w:sz w:val="18"/>
                <w:szCs w:val="18"/>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7"/>
                <w:szCs w:val="17"/>
                <w:color w:val="auto"/>
              </w:rPr>
              <w:t>2022</w:t>
            </w:r>
          </w:p>
        </w:tc>
        <w:tc>
          <w:tcPr>
            <w:tcW w:w="1620" w:type="dxa"/>
            <w:vAlign w:val="bottom"/>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8"/>
                <w:szCs w:val="18"/>
                <w:color w:val="auto"/>
              </w:rPr>
            </w:pPr>
          </w:p>
        </w:tc>
      </w:tr>
      <w:tr>
        <w:trPr>
          <w:trHeight w:val="212"/>
        </w:trPr>
        <w:tc>
          <w:tcPr>
            <w:tcW w:w="796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FF0FC"/>
          </w:tcPr>
          <w:p>
            <w:pPr>
              <w:spacing w:after="0"/>
              <w:rPr>
                <w:sz w:val="18"/>
                <w:szCs w:val="18"/>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7"/>
                <w:szCs w:val="17"/>
                <w:color w:val="auto"/>
              </w:rPr>
              <w:t>2024</w:t>
            </w:r>
          </w:p>
        </w:tc>
        <w:tc>
          <w:tcPr>
            <w:tcW w:w="162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8"/>
                <w:szCs w:val="18"/>
                <w:color w:val="auto"/>
              </w:rPr>
            </w:pPr>
          </w:p>
        </w:tc>
      </w:tr>
      <w:tr>
        <w:trPr>
          <w:trHeight w:val="212"/>
        </w:trPr>
        <w:tc>
          <w:tcPr>
            <w:tcW w:w="796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4"/>
        </w:trPr>
        <w:tc>
          <w:tcPr>
            <w:tcW w:w="7960" w:type="dxa"/>
            <w:vAlign w:val="bottom"/>
          </w:tcPr>
          <w:p>
            <w:pPr>
              <w:spacing w:after="0"/>
              <w:rPr>
                <w:sz w:val="20"/>
                <w:szCs w:val="20"/>
                <w:color w:val="auto"/>
              </w:rPr>
            </w:pPr>
            <w:r>
              <w:rPr>
                <w:rFonts w:ascii="Arial" w:cs="Arial" w:eastAsia="Arial" w:hAnsi="Arial"/>
                <w:sz w:val="17"/>
                <w:szCs w:val="17"/>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1,211</w:t>
            </w:r>
          </w:p>
        </w:tc>
        <w:tc>
          <w:tcPr>
            <w:tcW w:w="100" w:type="dxa"/>
            <w:vAlign w:val="bottom"/>
          </w:tcPr>
          <w:p>
            <w:pPr>
              <w:spacing w:after="0"/>
              <w:rPr>
                <w:sz w:val="17"/>
                <w:szCs w:val="17"/>
                <w:color w:val="auto"/>
              </w:rPr>
            </w:pPr>
          </w:p>
        </w:tc>
      </w:tr>
    </w:tbl>
    <w:p>
      <w:pPr>
        <w:spacing w:after="0" w:line="208" w:lineRule="exact"/>
        <w:rPr>
          <w:sz w:val="20"/>
          <w:szCs w:val="20"/>
          <w:color w:val="auto"/>
        </w:rPr>
      </w:pPr>
    </w:p>
    <w:p>
      <w:pPr>
        <w:ind w:left="800" w:hanging="780"/>
        <w:spacing w:after="0"/>
        <w:tabs>
          <w:tab w:leader="none" w:pos="80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LAND USE RIGHT, NET</w:t>
      </w:r>
    </w:p>
    <w:p>
      <w:pPr>
        <w:spacing w:after="0" w:line="207" w:lineRule="exact"/>
        <w:rPr>
          <w:rFonts w:ascii="Arial" w:cs="Arial" w:eastAsia="Arial" w:hAnsi="Arial"/>
          <w:sz w:val="17"/>
          <w:szCs w:val="17"/>
          <w:b w:val="1"/>
          <w:bCs w:val="1"/>
          <w:color w:val="auto"/>
        </w:rPr>
      </w:pPr>
    </w:p>
    <w:p>
      <w:pPr>
        <w:ind w:left="820"/>
        <w:spacing w:after="0"/>
        <w:rPr>
          <w:rFonts w:ascii="Arial" w:cs="Arial" w:eastAsia="Arial" w:hAnsi="Arial"/>
          <w:sz w:val="17"/>
          <w:szCs w:val="17"/>
          <w:b w:val="1"/>
          <w:bCs w:val="1"/>
          <w:color w:val="auto"/>
        </w:rPr>
      </w:pPr>
      <w:r>
        <w:rPr>
          <w:rFonts w:ascii="Arial" w:cs="Arial" w:eastAsia="Arial" w:hAnsi="Arial"/>
          <w:sz w:val="17"/>
          <w:szCs w:val="17"/>
          <w:color w:val="auto"/>
        </w:rPr>
        <w:t>The balance of land use right consisted of the following:</w:t>
      </w:r>
    </w:p>
    <w:p>
      <w:pPr>
        <w:spacing w:after="0" w:line="241" w:lineRule="exact"/>
        <w:rPr>
          <w:sz w:val="20"/>
          <w:szCs w:val="20"/>
          <w:color w:val="auto"/>
        </w:rPr>
      </w:pPr>
    </w:p>
    <w:p>
      <w:pPr>
        <w:ind w:left="8100"/>
        <w:spacing w:after="0"/>
        <w:rPr>
          <w:sz w:val="20"/>
          <w:szCs w:val="20"/>
          <w:color w:val="auto"/>
        </w:rPr>
      </w:pPr>
      <w:r>
        <w:rPr>
          <w:rFonts w:ascii="Arial" w:cs="Arial" w:eastAsia="Arial" w:hAnsi="Arial"/>
          <w:sz w:val="17"/>
          <w:szCs w:val="17"/>
          <w:color w:val="auto"/>
        </w:rPr>
        <w:t>As of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00" w:type="dxa"/>
            <w:vAlign w:val="bottom"/>
            <w:gridSpan w:val="2"/>
          </w:tcPr>
          <w:p>
            <w:pPr>
              <w:spacing w:after="0"/>
              <w:rPr>
                <w:sz w:val="17"/>
                <w:szCs w:val="17"/>
                <w:color w:val="auto"/>
              </w:rPr>
            </w:pPr>
          </w:p>
        </w:tc>
        <w:tc>
          <w:tcPr>
            <w:tcW w:w="10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7"/>
                <w:szCs w:val="17"/>
                <w:color w:val="auto"/>
              </w:rPr>
              <w:t>2019</w:t>
            </w:r>
          </w:p>
        </w:tc>
        <w:tc>
          <w:tcPr>
            <w:tcW w:w="3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080" w:type="dxa"/>
            <w:vAlign w:val="bottom"/>
          </w:tcPr>
          <w:p>
            <w:pPr>
              <w:ind w:left="520"/>
              <w:spacing w:after="0"/>
              <w:rPr>
                <w:sz w:val="20"/>
                <w:szCs w:val="20"/>
                <w:color w:val="auto"/>
              </w:rPr>
            </w:pPr>
            <w:r>
              <w:rPr>
                <w:rFonts w:ascii="Arial" w:cs="Arial" w:eastAsia="Arial" w:hAnsi="Arial"/>
                <w:sz w:val="17"/>
                <w:szCs w:val="17"/>
                <w:color w:val="auto"/>
              </w:rPr>
              <w:t>RMB</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477"/>
              <w:spacing w:after="0"/>
              <w:rPr>
                <w:sz w:val="20"/>
                <w:szCs w:val="20"/>
                <w:color w:val="auto"/>
              </w:rPr>
            </w:pPr>
            <w:r>
              <w:rPr>
                <w:rFonts w:ascii="Arial" w:cs="Arial" w:eastAsia="Arial" w:hAnsi="Arial"/>
                <w:sz w:val="17"/>
                <w:szCs w:val="17"/>
                <w:color w:val="auto"/>
              </w:rPr>
              <w:t>RMB</w:t>
            </w:r>
          </w:p>
        </w:tc>
        <w:tc>
          <w:tcPr>
            <w:tcW w:w="1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8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Land use right</w:t>
            </w:r>
          </w:p>
        </w:tc>
        <w:tc>
          <w:tcPr>
            <w:tcW w:w="62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13,655</w:t>
            </w:r>
          </w:p>
        </w:tc>
        <w:tc>
          <w:tcPr>
            <w:tcW w:w="12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7"/>
                <w:szCs w:val="17"/>
                <w:color w:val="auto"/>
              </w:rPr>
              <w:t>Less: Accumulated amortization</w:t>
            </w:r>
          </w:p>
        </w:tc>
        <w:tc>
          <w:tcPr>
            <w:tcW w:w="6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(91)</w:t>
            </w:r>
          </w:p>
        </w:tc>
      </w:tr>
      <w:tr>
        <w:trPr>
          <w:trHeight w:val="204"/>
        </w:trPr>
        <w:tc>
          <w:tcPr>
            <w:tcW w:w="20" w:type="dxa"/>
            <w:vAlign w:val="bottom"/>
          </w:tcPr>
          <w:p>
            <w:pPr>
              <w:spacing w:after="0"/>
              <w:rPr>
                <w:sz w:val="17"/>
                <w:szCs w:val="17"/>
                <w:color w:val="auto"/>
              </w:rPr>
            </w:pPr>
          </w:p>
        </w:tc>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Land use right, net</w:t>
            </w:r>
          </w:p>
        </w:tc>
        <w:tc>
          <w:tcPr>
            <w:tcW w:w="1080" w:type="dxa"/>
            <w:vAlign w:val="bottom"/>
            <w:tcBorders>
              <w:top w:val="single" w:sz="8" w:color="auto"/>
              <w:bottom w:val="single" w:sz="8" w:color="auto"/>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7"/>
                <w:szCs w:val="17"/>
                <w:color w:val="auto"/>
                <w:w w:val="93"/>
              </w:rPr>
              <w:t>—</w:t>
            </w:r>
          </w:p>
        </w:tc>
        <w:tc>
          <w:tcPr>
            <w:tcW w:w="26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13,564</w:t>
            </w:r>
          </w:p>
        </w:tc>
        <w:tc>
          <w:tcPr>
            <w:tcW w:w="120" w:type="dxa"/>
            <w:vAlign w:val="bottom"/>
            <w:tcBorders>
              <w:top w:val="single" w:sz="8" w:color="CFF0FC"/>
            </w:tcBorders>
            <w:shd w:val="clear" w:color="auto" w:fill="CFF0FC"/>
          </w:tcPr>
          <w:p>
            <w:pPr>
              <w:spacing w:after="0"/>
              <w:rPr>
                <w:sz w:val="17"/>
                <w:szCs w:val="17"/>
                <w:color w:val="auto"/>
              </w:rPr>
            </w:pPr>
          </w:p>
        </w:tc>
      </w:tr>
    </w:tbl>
    <w:p>
      <w:pPr>
        <w:spacing w:after="0" w:line="187" w:lineRule="exact"/>
        <w:rPr>
          <w:sz w:val="20"/>
          <w:szCs w:val="20"/>
          <w:color w:val="auto"/>
        </w:rPr>
      </w:pPr>
    </w:p>
    <w:p>
      <w:pPr>
        <w:ind w:left="820" w:right="80"/>
        <w:spacing w:after="0" w:line="264" w:lineRule="auto"/>
        <w:rPr>
          <w:sz w:val="20"/>
          <w:szCs w:val="20"/>
          <w:color w:val="auto"/>
        </w:rPr>
      </w:pPr>
      <w:r>
        <w:rPr>
          <w:rFonts w:ascii="Arial" w:cs="Arial" w:eastAsia="Arial" w:hAnsi="Arial"/>
          <w:sz w:val="17"/>
          <w:szCs w:val="17"/>
          <w:color w:val="auto"/>
        </w:rPr>
        <w:t>The Group acquired a land use right at total cost of RMB13,655 for approximately 33,599 square meters of land in Wuhan, Hubei on October 28, 2020, for the development of office space.</w:t>
      </w:r>
    </w:p>
    <w:p>
      <w:pPr>
        <w:spacing w:after="0" w:line="168" w:lineRule="exact"/>
        <w:rPr>
          <w:sz w:val="20"/>
          <w:szCs w:val="20"/>
          <w:color w:val="auto"/>
        </w:rPr>
      </w:pPr>
    </w:p>
    <w:p>
      <w:pPr>
        <w:ind w:left="820"/>
        <w:spacing w:after="0"/>
        <w:rPr>
          <w:sz w:val="20"/>
          <w:szCs w:val="20"/>
          <w:color w:val="auto"/>
        </w:rPr>
      </w:pPr>
      <w:r>
        <w:rPr>
          <w:rFonts w:ascii="Arial" w:cs="Arial" w:eastAsia="Arial" w:hAnsi="Arial"/>
          <w:sz w:val="15"/>
          <w:szCs w:val="15"/>
          <w:color w:val="auto"/>
        </w:rPr>
        <w:t>According to land use right policy in the PRC, the Group has a 50-year use right over the land in Wuhan, which is used as the basis for amortization.</w:t>
      </w:r>
    </w:p>
    <w:p>
      <w:pPr>
        <w:spacing w:after="0" w:line="264" w:lineRule="exact"/>
        <w:rPr>
          <w:sz w:val="20"/>
          <w:szCs w:val="20"/>
          <w:color w:val="auto"/>
        </w:rPr>
      </w:pPr>
    </w:p>
    <w:p>
      <w:pPr>
        <w:ind w:left="820"/>
        <w:spacing w:after="0" w:line="264" w:lineRule="auto"/>
        <w:rPr>
          <w:sz w:val="20"/>
          <w:szCs w:val="20"/>
          <w:color w:val="auto"/>
        </w:rPr>
      </w:pPr>
      <w:r>
        <w:rPr>
          <w:rFonts w:ascii="Arial" w:cs="Arial" w:eastAsia="Arial" w:hAnsi="Arial"/>
          <w:sz w:val="17"/>
          <w:szCs w:val="17"/>
          <w:color w:val="auto"/>
        </w:rPr>
        <w:t>The Group recorded amortization expenses of nil, nil and RMB91 for the years ended December 31, 2018, 2019 and 2020, respectively. Future amortization expense is RMB273 per year for each of the next five years through December 31, 2025 and thereafter.</w:t>
      </w:r>
    </w:p>
    <w:p>
      <w:pPr>
        <w:spacing w:after="0" w:line="164" w:lineRule="exact"/>
        <w:rPr>
          <w:sz w:val="20"/>
          <w:szCs w:val="20"/>
          <w:color w:val="auto"/>
        </w:rPr>
      </w:pPr>
    </w:p>
    <w:p>
      <w:pPr>
        <w:ind w:left="800" w:hanging="780"/>
        <w:spacing w:after="0"/>
        <w:tabs>
          <w:tab w:leader="none" w:pos="80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LONG-TERM INVESTMENTS</w:t>
      </w:r>
    </w:p>
    <w:p>
      <w:pPr>
        <w:spacing w:after="0" w:line="232" w:lineRule="exact"/>
        <w:rPr>
          <w:rFonts w:ascii="Arial" w:cs="Arial" w:eastAsia="Arial" w:hAnsi="Arial"/>
          <w:sz w:val="17"/>
          <w:szCs w:val="17"/>
          <w:b w:val="1"/>
          <w:bCs w:val="1"/>
          <w:color w:val="auto"/>
        </w:rPr>
      </w:pPr>
    </w:p>
    <w:p>
      <w:pPr>
        <w:ind w:left="820" w:right="80"/>
        <w:spacing w:after="0" w:line="295" w:lineRule="auto"/>
        <w:rPr>
          <w:rFonts w:ascii="Arial" w:cs="Arial" w:eastAsia="Arial" w:hAnsi="Arial"/>
          <w:sz w:val="17"/>
          <w:szCs w:val="17"/>
          <w:b w:val="1"/>
          <w:bCs w:val="1"/>
          <w:color w:val="auto"/>
        </w:rPr>
      </w:pPr>
      <w:r>
        <w:rPr>
          <w:rFonts w:ascii="Arial" w:cs="Arial" w:eastAsia="Arial" w:hAnsi="Arial"/>
          <w:sz w:val="15"/>
          <w:szCs w:val="15"/>
          <w:color w:val="181717"/>
        </w:rPr>
        <w:t>The Group made investments in three limited partnerships and a private company, and accounts for these investments under the equity method because the Group has the ability to exercise significant influence but does not have control over the investees. The Group reviewed the investments for impairment whenever an event or circumstance indicates that an other-than-temporary impairment has occurred. The Group recorded its shares of gain at RMB1,710, loss at RMB136 and gain at RMB1,349 in these investments for the years ended December 31, 2018, 2019 and 2020, respectively. The Group recorded nil, nil, and RMB882 impairment loss for its long-term investments for the years ended December 31, 2018, 2019, and 2020, respectively. The long-term investment committed but not yet paid amounted to RMB9,840 as of December 31, 2020.</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181717"/>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36" w:name="page137"/>
    <w:bookmarkEnd w:id="136"/>
    <w:p>
      <w:pPr>
        <w:jc w:val="center"/>
        <w:ind w:right="-13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gridSpan w:val="2"/>
          </w:tcPr>
          <w:p>
            <w:pPr>
              <w:ind w:left="20"/>
              <w:spacing w:after="0"/>
              <w:rPr>
                <w:sz w:val="20"/>
                <w:szCs w:val="20"/>
                <w:color w:val="auto"/>
              </w:rPr>
            </w:pPr>
            <w:r>
              <w:rPr>
                <w:rFonts w:ascii="Arial" w:cs="Arial" w:eastAsia="Arial" w:hAnsi="Arial"/>
                <w:sz w:val="17"/>
                <w:szCs w:val="17"/>
                <w:b w:val="1"/>
                <w:bCs w:val="1"/>
                <w:color w:val="auto"/>
              </w:rPr>
              <w:t>10.</w:t>
            </w:r>
          </w:p>
        </w:tc>
        <w:tc>
          <w:tcPr>
            <w:tcW w:w="7500" w:type="dxa"/>
            <w:vAlign w:val="bottom"/>
            <w:gridSpan w:val="2"/>
          </w:tcPr>
          <w:p>
            <w:pPr>
              <w:ind w:left="180"/>
              <w:spacing w:after="0"/>
              <w:rPr>
                <w:sz w:val="20"/>
                <w:szCs w:val="20"/>
                <w:color w:val="auto"/>
              </w:rPr>
            </w:pPr>
            <w:r>
              <w:rPr>
                <w:rFonts w:ascii="Arial" w:cs="Arial" w:eastAsia="Arial" w:hAnsi="Arial"/>
                <w:sz w:val="17"/>
                <w:szCs w:val="17"/>
                <w:b w:val="1"/>
                <w:bCs w:val="1"/>
                <w:color w:val="auto"/>
              </w:rPr>
              <w:t>OTHER NON-CURRENT ASSETS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500" w:type="dxa"/>
            <w:vAlign w:val="bottom"/>
            <w:gridSpan w:val="2"/>
          </w:tcPr>
          <w:p>
            <w:pPr>
              <w:ind w:left="200"/>
              <w:spacing w:after="0"/>
              <w:rPr>
                <w:sz w:val="20"/>
                <w:szCs w:val="20"/>
                <w:color w:val="auto"/>
              </w:rPr>
            </w:pPr>
            <w:r>
              <w:rPr>
                <w:rFonts w:ascii="Arial" w:cs="Arial" w:eastAsia="Arial" w:hAnsi="Arial"/>
                <w:sz w:val="17"/>
                <w:szCs w:val="17"/>
                <w:color w:val="auto"/>
              </w:rPr>
              <w:t>Other non-current assets consisted of the following:</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As of 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900" w:type="dxa"/>
            <w:vAlign w:val="bottom"/>
          </w:tcPr>
          <w:p>
            <w:pPr>
              <w:ind w:left="540"/>
              <w:spacing w:after="0"/>
              <w:rPr>
                <w:sz w:val="20"/>
                <w:szCs w:val="20"/>
                <w:color w:val="auto"/>
              </w:rPr>
            </w:pPr>
            <w:r>
              <w:rPr>
                <w:rFonts w:ascii="Arial" w:cs="Arial" w:eastAsia="Arial" w:hAnsi="Arial"/>
                <w:sz w:val="17"/>
                <w:szCs w:val="17"/>
                <w:color w:val="auto"/>
                <w:w w:val="89"/>
              </w:rPr>
              <w:t>2019</w:t>
            </w:r>
          </w:p>
        </w:tc>
        <w:tc>
          <w:tcPr>
            <w:tcW w:w="1700" w:type="dxa"/>
            <w:vAlign w:val="bottom"/>
            <w:gridSpan w:val="3"/>
          </w:tcPr>
          <w:p>
            <w:pPr>
              <w:ind w:left="1340"/>
              <w:spacing w:after="0"/>
              <w:rPr>
                <w:sz w:val="20"/>
                <w:szCs w:val="20"/>
                <w:color w:val="auto"/>
              </w:rPr>
            </w:pPr>
            <w:r>
              <w:rPr>
                <w:rFonts w:ascii="Arial" w:cs="Arial" w:eastAsia="Arial" w:hAnsi="Arial"/>
                <w:sz w:val="17"/>
                <w:szCs w:val="17"/>
                <w:color w:val="auto"/>
                <w:w w:val="89"/>
              </w:rPr>
              <w:t>2020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900" w:type="dxa"/>
            <w:vAlign w:val="bottom"/>
            <w:tcBorders>
              <w:top w:val="single" w:sz="8" w:color="auto"/>
            </w:tcBorders>
          </w:tcPr>
          <w:p>
            <w:pPr>
              <w:ind w:left="520"/>
              <w:spacing w:after="0"/>
              <w:rPr>
                <w:sz w:val="20"/>
                <w:szCs w:val="20"/>
                <w:color w:val="auto"/>
              </w:rPr>
            </w:pPr>
            <w:r>
              <w:rPr>
                <w:rFonts w:ascii="Arial" w:cs="Arial" w:eastAsia="Arial" w:hAnsi="Arial"/>
                <w:sz w:val="17"/>
                <w:szCs w:val="17"/>
                <w:color w:val="auto"/>
                <w:w w:val="95"/>
              </w:rPr>
              <w:t>RMB</w:t>
            </w: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ind w:left="520"/>
              <w:spacing w:after="0"/>
              <w:rPr>
                <w:sz w:val="20"/>
                <w:szCs w:val="20"/>
                <w:color w:val="auto"/>
              </w:rPr>
            </w:pPr>
            <w:r>
              <w:rPr>
                <w:rFonts w:ascii="Arial" w:cs="Arial" w:eastAsia="Arial" w:hAnsi="Arial"/>
                <w:sz w:val="17"/>
                <w:szCs w:val="17"/>
                <w:color w:val="auto"/>
                <w:w w:val="95"/>
              </w:rPr>
              <w:t>RMB</w:t>
            </w: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810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 xml:space="preserve">Prepayment to acquire a building </w:t>
            </w:r>
            <w:r>
              <w:rPr>
                <w:rFonts w:ascii="Arial" w:cs="Arial" w:eastAsia="Arial" w:hAnsi="Arial"/>
                <w:sz w:val="14"/>
                <w:szCs w:val="14"/>
                <w:color w:val="auto"/>
              </w:rPr>
              <w:t>(1)</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404,725</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404,725</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rPr>
              <w:t xml:space="preserve">Employee loans </w:t>
            </w:r>
            <w:r>
              <w:rPr>
                <w:rFonts w:ascii="Arial" w:cs="Arial" w:eastAsia="Arial" w:hAnsi="Arial"/>
                <w:sz w:val="14"/>
                <w:szCs w:val="14"/>
                <w:color w:val="auto"/>
              </w:rPr>
              <w:t>(2)</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32,385</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28,902</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0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 xml:space="preserve">Rental deposits </w:t>
            </w:r>
            <w:r>
              <w:rPr>
                <w:rFonts w:ascii="Arial" w:cs="Arial" w:eastAsia="Arial" w:hAnsi="Arial"/>
                <w:sz w:val="14"/>
                <w:szCs w:val="14"/>
                <w:color w:val="auto"/>
              </w:rPr>
              <w:t>(3)</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9,326</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9,735</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Others</w:t>
            </w:r>
          </w:p>
        </w:tc>
        <w:tc>
          <w:tcPr>
            <w:tcW w:w="66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1,203</w:t>
            </w:r>
          </w:p>
        </w:tc>
        <w:tc>
          <w:tcPr>
            <w:tcW w:w="2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1,266</w:t>
            </w:r>
          </w:p>
        </w:tc>
        <w:tc>
          <w:tcPr>
            <w:tcW w:w="10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0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6600" w:type="dxa"/>
            <w:vAlign w:val="bottom"/>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447,639</w:t>
            </w:r>
          </w:p>
        </w:tc>
        <w:tc>
          <w:tcPr>
            <w:tcW w:w="260" w:type="dxa"/>
            <w:vAlign w:val="bottom"/>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444,628</w:t>
            </w:r>
          </w:p>
        </w:tc>
        <w:tc>
          <w:tcPr>
            <w:tcW w:w="100" w:type="dxa"/>
            <w:vAlign w:val="bottom"/>
            <w:shd w:val="clear" w:color="auto" w:fill="CFF0FC"/>
          </w:tcPr>
          <w:p>
            <w:pPr>
              <w:spacing w:after="0"/>
              <w:rPr>
                <w:sz w:val="17"/>
                <w:szCs w:val="17"/>
                <w:color w:val="auto"/>
              </w:rPr>
            </w:pPr>
          </w:p>
        </w:tc>
      </w:tr>
    </w:tbl>
    <w:p>
      <w:pPr>
        <w:spacing w:after="0" w:line="208" w:lineRule="exact"/>
        <w:rPr>
          <w:sz w:val="20"/>
          <w:szCs w:val="20"/>
          <w:color w:val="auto"/>
        </w:rPr>
      </w:pPr>
    </w:p>
    <w:p>
      <w:pPr>
        <w:ind w:left="1580" w:right="340" w:hanging="776"/>
        <w:spacing w:after="0" w:line="228" w:lineRule="auto"/>
        <w:tabs>
          <w:tab w:leader="none" w:pos="1580" w:val="left"/>
        </w:tabs>
        <w:numPr>
          <w:ilvl w:val="1"/>
          <w:numId w:val="75"/>
        </w:numPr>
        <w:rPr>
          <w:rFonts w:ascii="Arial" w:cs="Arial" w:eastAsia="Arial" w:hAnsi="Arial"/>
          <w:sz w:val="13"/>
          <w:szCs w:val="13"/>
          <w:color w:val="181717"/>
        </w:rPr>
      </w:pPr>
      <w:r>
        <w:rPr>
          <w:rFonts w:ascii="Arial" w:cs="Arial" w:eastAsia="Arial" w:hAnsi="Arial"/>
          <w:sz w:val="13"/>
          <w:szCs w:val="13"/>
          <w:color w:val="181717"/>
        </w:rPr>
        <w:t>The amount represented the prepayment for a building (Building D) in Wuhan and the building was not ready for intended use as of December 31, 2020. RMB200,000 of the prepayment was made through a mortgage loan provided by a PRC bank in November 2018 (Note 13).</w:t>
      </w:r>
    </w:p>
    <w:p>
      <w:pPr>
        <w:ind w:left="1580" w:hanging="776"/>
        <w:spacing w:after="0" w:line="219" w:lineRule="auto"/>
        <w:tabs>
          <w:tab w:leader="none" w:pos="1580" w:val="left"/>
        </w:tabs>
        <w:numPr>
          <w:ilvl w:val="1"/>
          <w:numId w:val="75"/>
        </w:numPr>
        <w:rPr>
          <w:rFonts w:ascii="Arial" w:cs="Arial" w:eastAsia="Arial" w:hAnsi="Arial"/>
          <w:sz w:val="13"/>
          <w:szCs w:val="13"/>
          <w:color w:val="auto"/>
        </w:rPr>
      </w:pPr>
      <w:r>
        <w:rPr>
          <w:rFonts w:ascii="Arial" w:cs="Arial" w:eastAsia="Arial" w:hAnsi="Arial"/>
          <w:sz w:val="13"/>
          <w:szCs w:val="13"/>
          <w:color w:val="auto"/>
        </w:rPr>
        <w:t>In 2019, the Group approved an employee benefit program under which eligible employees can apply for loans from the Group at prevailing interest rates. Upon maturity, the loans can be repaid by cash or the Company's ordinary shares held by those employees based on prevailing market price at the settlement date.</w:t>
      </w:r>
    </w:p>
    <w:p>
      <w:pPr>
        <w:spacing w:after="0" w:line="1" w:lineRule="exact"/>
        <w:rPr>
          <w:rFonts w:ascii="Arial" w:cs="Arial" w:eastAsia="Arial" w:hAnsi="Arial"/>
          <w:sz w:val="13"/>
          <w:szCs w:val="13"/>
          <w:color w:val="auto"/>
        </w:rPr>
      </w:pPr>
    </w:p>
    <w:p>
      <w:pPr>
        <w:ind w:left="1580" w:hanging="776"/>
        <w:spacing w:after="0"/>
        <w:tabs>
          <w:tab w:leader="none" w:pos="1580" w:val="left"/>
        </w:tabs>
        <w:numPr>
          <w:ilvl w:val="1"/>
          <w:numId w:val="75"/>
        </w:numPr>
        <w:rPr>
          <w:rFonts w:ascii="Arial" w:cs="Arial" w:eastAsia="Arial" w:hAnsi="Arial"/>
          <w:sz w:val="13"/>
          <w:szCs w:val="13"/>
          <w:color w:val="auto"/>
        </w:rPr>
      </w:pPr>
      <w:r>
        <w:rPr>
          <w:rFonts w:ascii="Arial" w:cs="Arial" w:eastAsia="Arial" w:hAnsi="Arial"/>
          <w:sz w:val="13"/>
          <w:szCs w:val="13"/>
          <w:color w:val="auto"/>
        </w:rPr>
        <w:t>The amount represented office and enrollment centers’ rental deposits under the lease contracts, which are not refundable within one year.</w:t>
      </w:r>
    </w:p>
    <w:p>
      <w:pPr>
        <w:spacing w:after="0" w:line="176" w:lineRule="exact"/>
        <w:rPr>
          <w:rFonts w:ascii="Arial" w:cs="Arial" w:eastAsia="Arial" w:hAnsi="Arial"/>
          <w:sz w:val="13"/>
          <w:szCs w:val="13"/>
          <w:color w:val="auto"/>
        </w:rPr>
      </w:pPr>
    </w:p>
    <w:p>
      <w:pPr>
        <w:ind w:left="820" w:right="5520" w:hanging="800"/>
        <w:spacing w:after="0" w:line="476" w:lineRule="auto"/>
        <w:tabs>
          <w:tab w:leader="none" w:pos="81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ACCRUED EXPENSES AND OTHER CURRENT LIABILITIES </w:t>
      </w:r>
      <w:r>
        <w:rPr>
          <w:rFonts w:ascii="Arial" w:cs="Arial" w:eastAsia="Arial" w:hAnsi="Arial"/>
          <w:sz w:val="15"/>
          <w:szCs w:val="15"/>
          <w:color w:val="auto"/>
        </w:rPr>
        <w:t>The components of accrued expenses and other liabilities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3260" w:type="dxa"/>
            <w:vAlign w:val="bottom"/>
            <w:gridSpan w:val="4"/>
          </w:tcPr>
          <w:p>
            <w:pPr>
              <w:ind w:left="880"/>
              <w:spacing w:after="0"/>
              <w:rPr>
                <w:sz w:val="20"/>
                <w:szCs w:val="20"/>
                <w:color w:val="auto"/>
              </w:rPr>
            </w:pPr>
            <w:r>
              <w:rPr>
                <w:rFonts w:ascii="Arial" w:cs="Arial" w:eastAsia="Arial" w:hAnsi="Arial"/>
                <w:sz w:val="17"/>
                <w:szCs w:val="17"/>
                <w:color w:val="auto"/>
              </w:rPr>
              <w:t>As of December 31,</w:t>
            </w:r>
          </w:p>
        </w:tc>
      </w:tr>
      <w:tr>
        <w:trPr>
          <w:trHeight w:val="204"/>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7"/>
                <w:szCs w:val="17"/>
                <w:color w:val="auto"/>
              </w:rPr>
              <w:t>2019</w:t>
            </w: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440" w:type="dxa"/>
            <w:vAlign w:val="bottom"/>
          </w:tcPr>
          <w:p>
            <w:pPr>
              <w:jc w:val="right"/>
              <w:ind w:right="457"/>
              <w:spacing w:after="0"/>
              <w:rPr>
                <w:sz w:val="20"/>
                <w:szCs w:val="20"/>
                <w:color w:val="auto"/>
              </w:rPr>
            </w:pPr>
            <w:r>
              <w:rPr>
                <w:rFonts w:ascii="Arial" w:cs="Arial" w:eastAsia="Arial" w:hAnsi="Arial"/>
                <w:sz w:val="17"/>
                <w:szCs w:val="17"/>
                <w:color w:val="auto"/>
              </w:rPr>
              <w:t>RMB</w:t>
            </w:r>
          </w:p>
        </w:tc>
        <w:tc>
          <w:tcPr>
            <w:tcW w:w="240" w:type="dxa"/>
            <w:vAlign w:val="bottom"/>
          </w:tcPr>
          <w:p>
            <w:pPr>
              <w:spacing w:after="0"/>
              <w:rPr>
                <w:sz w:val="17"/>
                <w:szCs w:val="17"/>
                <w:color w:val="auto"/>
              </w:rPr>
            </w:pPr>
          </w:p>
        </w:tc>
        <w:tc>
          <w:tcPr>
            <w:tcW w:w="1460" w:type="dxa"/>
            <w:vAlign w:val="bottom"/>
          </w:tcPr>
          <w:p>
            <w:pPr>
              <w:jc w:val="right"/>
              <w:ind w:right="477"/>
              <w:spacing w:after="0"/>
              <w:rPr>
                <w:sz w:val="20"/>
                <w:szCs w:val="20"/>
                <w:color w:val="auto"/>
              </w:rPr>
            </w:pPr>
            <w:r>
              <w:rPr>
                <w:rFonts w:ascii="Arial" w:cs="Arial" w:eastAsia="Arial" w:hAnsi="Arial"/>
                <w:sz w:val="17"/>
                <w:szCs w:val="17"/>
                <w:color w:val="auto"/>
              </w:rPr>
              <w:t>RMB</w:t>
            </w:r>
          </w:p>
        </w:tc>
        <w:tc>
          <w:tcPr>
            <w:tcW w:w="1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Refund liability </w:t>
            </w:r>
            <w:r>
              <w:rPr>
                <w:rFonts w:ascii="Arial" w:cs="Arial" w:eastAsia="Arial" w:hAnsi="Arial"/>
                <w:sz w:val="14"/>
                <w:szCs w:val="14"/>
                <w:color w:val="auto"/>
              </w:rPr>
              <w:t>(1)</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128,478</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232,859</w:t>
            </w:r>
          </w:p>
        </w:tc>
        <w:tc>
          <w:tcPr>
            <w:tcW w:w="12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7"/>
                <w:szCs w:val="17"/>
                <w:color w:val="auto"/>
              </w:rPr>
              <w:t>Salary and welfare payables</w:t>
            </w:r>
          </w:p>
        </w:tc>
        <w:tc>
          <w:tcPr>
            <w:tcW w:w="1440" w:type="dxa"/>
            <w:vAlign w:val="bottom"/>
          </w:tcPr>
          <w:p>
            <w:pPr>
              <w:jc w:val="right"/>
              <w:spacing w:after="0"/>
              <w:rPr>
                <w:sz w:val="20"/>
                <w:szCs w:val="20"/>
                <w:color w:val="auto"/>
              </w:rPr>
            </w:pPr>
            <w:r>
              <w:rPr>
                <w:rFonts w:ascii="Arial" w:cs="Arial" w:eastAsia="Arial" w:hAnsi="Arial"/>
                <w:sz w:val="17"/>
                <w:szCs w:val="17"/>
                <w:color w:val="auto"/>
              </w:rPr>
              <w:t>113,945</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171,520</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7"/>
                <w:szCs w:val="17"/>
                <w:color w:val="auto"/>
              </w:rPr>
              <w:t>Accrued marketing expenses</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51,796</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108,957</w:t>
            </w:r>
          </w:p>
        </w:tc>
        <w:tc>
          <w:tcPr>
            <w:tcW w:w="12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7"/>
                <w:szCs w:val="17"/>
                <w:color w:val="auto"/>
              </w:rPr>
              <w:t xml:space="preserve">Payables to educational institutions </w:t>
            </w:r>
            <w:r>
              <w:rPr>
                <w:rFonts w:ascii="Arial" w:cs="Arial" w:eastAsia="Arial" w:hAnsi="Arial"/>
                <w:sz w:val="14"/>
                <w:szCs w:val="14"/>
                <w:color w:val="auto"/>
              </w:rPr>
              <w:t>(2)</w:t>
            </w:r>
          </w:p>
        </w:tc>
        <w:tc>
          <w:tcPr>
            <w:tcW w:w="1440" w:type="dxa"/>
            <w:vAlign w:val="bottom"/>
          </w:tcPr>
          <w:p>
            <w:pPr>
              <w:jc w:val="right"/>
              <w:spacing w:after="0"/>
              <w:rPr>
                <w:sz w:val="20"/>
                <w:szCs w:val="20"/>
                <w:color w:val="auto"/>
              </w:rPr>
            </w:pPr>
            <w:r>
              <w:rPr>
                <w:rFonts w:ascii="Arial" w:cs="Arial" w:eastAsia="Arial" w:hAnsi="Arial"/>
                <w:sz w:val="17"/>
                <w:szCs w:val="17"/>
                <w:color w:val="auto"/>
              </w:rPr>
              <w:t>23,071</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24,452</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Advanced deposits </w:t>
            </w:r>
            <w:r>
              <w:rPr>
                <w:rFonts w:ascii="Arial" w:cs="Arial" w:eastAsia="Arial" w:hAnsi="Arial"/>
                <w:sz w:val="14"/>
                <w:szCs w:val="14"/>
                <w:color w:val="auto"/>
              </w:rPr>
              <w:t>(3)</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11,681</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20,137</w:t>
            </w:r>
          </w:p>
        </w:tc>
        <w:tc>
          <w:tcPr>
            <w:tcW w:w="12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7"/>
                <w:szCs w:val="17"/>
                <w:color w:val="auto"/>
              </w:rPr>
              <w:t>Other tax liabilities</w:t>
            </w:r>
          </w:p>
        </w:tc>
        <w:tc>
          <w:tcPr>
            <w:tcW w:w="1440" w:type="dxa"/>
            <w:vAlign w:val="bottom"/>
          </w:tcPr>
          <w:p>
            <w:pPr>
              <w:jc w:val="right"/>
              <w:spacing w:after="0"/>
              <w:rPr>
                <w:sz w:val="20"/>
                <w:szCs w:val="20"/>
                <w:color w:val="auto"/>
              </w:rPr>
            </w:pPr>
            <w:r>
              <w:rPr>
                <w:rFonts w:ascii="Arial" w:cs="Arial" w:eastAsia="Arial" w:hAnsi="Arial"/>
                <w:sz w:val="17"/>
                <w:szCs w:val="17"/>
                <w:color w:val="auto"/>
              </w:rPr>
              <w:t>15,263</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15,537</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Accrued service fees </w:t>
            </w:r>
            <w:r>
              <w:rPr>
                <w:rFonts w:ascii="Arial" w:cs="Arial" w:eastAsia="Arial" w:hAnsi="Arial"/>
                <w:sz w:val="14"/>
                <w:szCs w:val="14"/>
                <w:color w:val="auto"/>
              </w:rPr>
              <w:t>(4)</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69,932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13,020</w:t>
            </w:r>
          </w:p>
        </w:tc>
        <w:tc>
          <w:tcPr>
            <w:tcW w:w="12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7"/>
                <w:szCs w:val="17"/>
                <w:color w:val="auto"/>
              </w:rPr>
              <w:t>Payables for leasehold improvement and intangible assets</w:t>
            </w:r>
          </w:p>
        </w:tc>
        <w:tc>
          <w:tcPr>
            <w:tcW w:w="1440" w:type="dxa"/>
            <w:vAlign w:val="bottom"/>
          </w:tcPr>
          <w:p>
            <w:pPr>
              <w:jc w:val="right"/>
              <w:spacing w:after="0"/>
              <w:rPr>
                <w:sz w:val="20"/>
                <w:szCs w:val="20"/>
                <w:color w:val="auto"/>
              </w:rPr>
            </w:pPr>
            <w:r>
              <w:rPr>
                <w:rFonts w:ascii="Arial" w:cs="Arial" w:eastAsia="Arial" w:hAnsi="Arial"/>
                <w:sz w:val="17"/>
                <w:szCs w:val="17"/>
                <w:color w:val="auto"/>
              </w:rPr>
              <w:t>6,818</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7,142</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7"/>
                <w:szCs w:val="17"/>
                <w:color w:val="auto"/>
              </w:rPr>
              <w:t>American Depositary Receipt commission - within one year</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3,526</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3,304</w:t>
            </w:r>
          </w:p>
        </w:tc>
        <w:tc>
          <w:tcPr>
            <w:tcW w:w="12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payables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10,715</w:t>
            </w:r>
          </w:p>
        </w:tc>
        <w:tc>
          <w:tcPr>
            <w:tcW w:w="240" w:type="dxa"/>
            <w:vAlign w:val="bottom"/>
            <w:tcBorders>
              <w:bottom w:val="single" w:sz="8" w:color="CFF0FC"/>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10,861</w:t>
            </w:r>
          </w:p>
        </w:tc>
        <w:tc>
          <w:tcPr>
            <w:tcW w:w="12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435,225</w:t>
            </w:r>
          </w:p>
        </w:tc>
        <w:tc>
          <w:tcPr>
            <w:tcW w:w="240" w:type="dxa"/>
            <w:vAlign w:val="bottom"/>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607,789</w:t>
            </w:r>
          </w:p>
        </w:tc>
        <w:tc>
          <w:tcPr>
            <w:tcW w:w="120" w:type="dxa"/>
            <w:vAlign w:val="bottom"/>
            <w:shd w:val="clear" w:color="auto" w:fill="CFF0FC"/>
          </w:tcPr>
          <w:p>
            <w:pPr>
              <w:spacing w:after="0"/>
              <w:rPr>
                <w:sz w:val="17"/>
                <w:szCs w:val="17"/>
                <w:color w:val="auto"/>
              </w:rPr>
            </w:pPr>
          </w:p>
        </w:tc>
      </w:tr>
    </w:tbl>
    <w:p>
      <w:pPr>
        <w:spacing w:after="0" w:line="206" w:lineRule="exact"/>
        <w:rPr>
          <w:sz w:val="20"/>
          <w:szCs w:val="20"/>
          <w:color w:val="auto"/>
        </w:rPr>
      </w:pPr>
    </w:p>
    <w:p>
      <w:pPr>
        <w:ind w:left="1580" w:hanging="776"/>
        <w:spacing w:after="0"/>
        <w:tabs>
          <w:tab w:leader="none" w:pos="1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Refund liability represented the tutoring fee collected by the Group which it expects to refund back to its customer as a result of its refund policy.</w:t>
      </w:r>
    </w:p>
    <w:p>
      <w:pPr>
        <w:ind w:left="1580" w:hanging="776"/>
        <w:spacing w:after="0" w:line="219" w:lineRule="auto"/>
        <w:tabs>
          <w:tab w:leader="none" w:pos="1580" w:val="left"/>
        </w:tabs>
        <w:numPr>
          <w:ilvl w:val="0"/>
          <w:numId w:val="77"/>
        </w:numPr>
        <w:rPr>
          <w:rFonts w:ascii="Arial" w:cs="Arial" w:eastAsia="Arial" w:hAnsi="Arial"/>
          <w:sz w:val="13"/>
          <w:szCs w:val="13"/>
          <w:color w:val="181717"/>
        </w:rPr>
      </w:pPr>
      <w:r>
        <w:rPr>
          <w:rFonts w:ascii="Arial" w:cs="Arial" w:eastAsia="Arial" w:hAnsi="Arial"/>
          <w:sz w:val="13"/>
          <w:szCs w:val="13"/>
          <w:color w:val="181717"/>
        </w:rPr>
        <w:t>The balance represented tuition fees collected from the students for their registrations with educational institutions.</w:t>
      </w:r>
    </w:p>
    <w:p>
      <w:pPr>
        <w:ind w:left="1580" w:hanging="776"/>
        <w:spacing w:after="0" w:line="219" w:lineRule="auto"/>
        <w:tabs>
          <w:tab w:leader="none" w:pos="1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Advanced deposits primarily included down payments paid by prospective students before contracts signing.</w:t>
      </w:r>
    </w:p>
    <w:p>
      <w:pPr>
        <w:ind w:left="1580" w:hanging="776"/>
        <w:spacing w:after="0"/>
        <w:tabs>
          <w:tab w:leader="none" w:pos="1580" w:val="left"/>
        </w:tabs>
        <w:numPr>
          <w:ilvl w:val="0"/>
          <w:numId w:val="77"/>
        </w:numPr>
        <w:rPr>
          <w:rFonts w:ascii="Arial" w:cs="Arial" w:eastAsia="Arial" w:hAnsi="Arial"/>
          <w:sz w:val="13"/>
          <w:szCs w:val="13"/>
          <w:color w:val="auto"/>
        </w:rPr>
      </w:pPr>
      <w:r>
        <w:rPr>
          <w:rFonts w:ascii="Arial" w:cs="Arial" w:eastAsia="Arial" w:hAnsi="Arial"/>
          <w:sz w:val="13"/>
          <w:szCs w:val="13"/>
          <w:color w:val="181717"/>
        </w:rPr>
        <w:t>The balance represented accrued expenses for outsourced service providers and other professional services.</w:t>
      </w: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181717"/>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40"/>
          </w:cols>
          <w:pgMar w:left="300" w:top="127" w:right="45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hanging="780"/>
        <w:spacing w:after="0"/>
        <w:tabs>
          <w:tab w:leader="none" w:pos="80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REVENUES AND DEFERRED REVENUE</w:t>
      </w:r>
    </w:p>
    <w:p>
      <w:pPr>
        <w:spacing w:after="0" w:line="119" w:lineRule="exact"/>
        <w:rPr>
          <w:rFonts w:ascii="Arial" w:cs="Arial" w:eastAsia="Arial" w:hAnsi="Arial"/>
          <w:sz w:val="17"/>
          <w:szCs w:val="17"/>
          <w:b w:val="1"/>
          <w:bCs w:val="1"/>
          <w:color w:val="auto"/>
        </w:rPr>
      </w:pPr>
    </w:p>
    <w:p>
      <w:pPr>
        <w:ind w:left="820" w:right="2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For the years ended December 31, 2018, 2019 and 2020, all of the Group’s revenues were generated in the PRC, and the disaggregated revenues by types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7"/>
          </w:tcPr>
          <w:p>
            <w:pPr>
              <w:jc w:val="center"/>
              <w:spacing w:after="0"/>
              <w:rPr>
                <w:sz w:val="20"/>
                <w:szCs w:val="20"/>
                <w:color w:val="auto"/>
              </w:rPr>
            </w:pPr>
            <w:r>
              <w:rPr>
                <w:rFonts w:ascii="Arial" w:cs="Arial" w:eastAsia="Arial" w:hAnsi="Arial"/>
                <w:sz w:val="17"/>
                <w:szCs w:val="17"/>
                <w:color w:val="auto"/>
                <w:w w:val="85"/>
              </w:rPr>
              <w:t>Years ended December 31,</w:t>
            </w: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2018</w:t>
            </w:r>
          </w:p>
        </w:tc>
        <w:tc>
          <w:tcPr>
            <w:tcW w:w="2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center"/>
              <w:ind w:left="137"/>
              <w:spacing w:after="0"/>
              <w:rPr>
                <w:sz w:val="20"/>
                <w:szCs w:val="20"/>
                <w:color w:val="auto"/>
              </w:rPr>
            </w:pPr>
            <w:r>
              <w:rPr>
                <w:rFonts w:ascii="Arial" w:cs="Arial" w:eastAsia="Arial" w:hAnsi="Arial"/>
                <w:sz w:val="17"/>
                <w:szCs w:val="17"/>
                <w:color w:val="auto"/>
                <w:w w:val="89"/>
              </w:rPr>
              <w:t>2019</w:t>
            </w:r>
          </w:p>
        </w:tc>
        <w:tc>
          <w:tcPr>
            <w:tcW w:w="2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color w:val="auto"/>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20" w:type="dxa"/>
            <w:vAlign w:val="bottom"/>
            <w:gridSpan w:val="2"/>
          </w:tcPr>
          <w:p>
            <w:pPr>
              <w:ind w:left="420"/>
              <w:spacing w:after="0"/>
              <w:rPr>
                <w:sz w:val="20"/>
                <w:szCs w:val="20"/>
                <w:color w:val="auto"/>
              </w:rPr>
            </w:pPr>
            <w:r>
              <w:rPr>
                <w:rFonts w:ascii="Arial" w:cs="Arial" w:eastAsia="Arial" w:hAnsi="Arial"/>
                <w:sz w:val="17"/>
                <w:szCs w:val="17"/>
                <w:color w:val="auto"/>
              </w:rPr>
              <w:t>RMB</w:t>
            </w:r>
          </w:p>
        </w:tc>
        <w:tc>
          <w:tcPr>
            <w:tcW w:w="220" w:type="dxa"/>
            <w:vAlign w:val="bottom"/>
          </w:tcPr>
          <w:p>
            <w:pPr>
              <w:spacing w:after="0"/>
              <w:rPr>
                <w:sz w:val="17"/>
                <w:szCs w:val="17"/>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7"/>
                <w:szCs w:val="17"/>
                <w:color w:val="auto"/>
              </w:rPr>
              <w:t>RMB</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Arial" w:cs="Arial" w:eastAsia="Arial" w:hAnsi="Arial"/>
                <w:sz w:val="17"/>
                <w:szCs w:val="17"/>
                <w:color w:val="auto"/>
              </w:rPr>
              <w:t>RMB</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shd w:val="clear" w:color="auto" w:fill="CFF0FC"/>
          </w:tcPr>
          <w:p>
            <w:pPr>
              <w:spacing w:after="0" w:line="175" w:lineRule="exact"/>
              <w:rPr>
                <w:sz w:val="20"/>
                <w:szCs w:val="20"/>
                <w:color w:val="auto"/>
              </w:rPr>
            </w:pPr>
            <w:r>
              <w:rPr>
                <w:rFonts w:ascii="Arial" w:cs="Arial" w:eastAsia="Arial" w:hAnsi="Arial"/>
                <w:sz w:val="17"/>
                <w:szCs w:val="17"/>
                <w:color w:val="auto"/>
                <w:w w:val="86"/>
              </w:rPr>
              <w:t>Disaggregation of revenues</w:t>
            </w:r>
          </w:p>
        </w:tc>
        <w:tc>
          <w:tcPr>
            <w:tcW w:w="43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Revenue by types: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Gross revenues: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tcPr>
          <w:p>
            <w:pPr>
              <w:ind w:left="120"/>
              <w:spacing w:after="0"/>
              <w:rPr>
                <w:sz w:val="20"/>
                <w:szCs w:val="20"/>
                <w:color w:val="auto"/>
              </w:rPr>
            </w:pPr>
            <w:r>
              <w:rPr>
                <w:rFonts w:ascii="Arial" w:cs="Arial" w:eastAsia="Arial" w:hAnsi="Arial"/>
                <w:sz w:val="17"/>
                <w:szCs w:val="17"/>
                <w:color w:val="auto"/>
              </w:rPr>
              <w:t>Degree- or diploma-oriented post-secondary courses</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1,814,178</w:t>
            </w: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2,021,990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1,904,957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0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Professional certification preparation and</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professional skills courses</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161,366</w:t>
            </w:r>
          </w:p>
        </w:tc>
        <w:tc>
          <w:tcPr>
            <w:tcW w:w="220" w:type="dxa"/>
            <w:vAlign w:val="bottom"/>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155,370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268,118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4"/>
        </w:trPr>
        <w:tc>
          <w:tcPr>
            <w:tcW w:w="6220" w:type="dxa"/>
            <w:vAlign w:val="bottom"/>
            <w:gridSpan w:val="3"/>
          </w:tcPr>
          <w:p>
            <w:pPr>
              <w:spacing w:after="0"/>
              <w:rPr>
                <w:sz w:val="20"/>
                <w:szCs w:val="20"/>
                <w:color w:val="auto"/>
              </w:rPr>
            </w:pPr>
            <w:r>
              <w:rPr>
                <w:rFonts w:ascii="Arial" w:cs="Arial" w:eastAsia="Arial" w:hAnsi="Arial"/>
                <w:sz w:val="17"/>
                <w:szCs w:val="17"/>
                <w:color w:val="auto"/>
              </w:rPr>
              <w:t>Subtotal Online educational courses</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1,975,544</w:t>
            </w:r>
          </w:p>
        </w:tc>
        <w:tc>
          <w:tcPr>
            <w:tcW w:w="2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2,177,360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2,173,075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Commissions</w:t>
            </w:r>
          </w:p>
        </w:tc>
        <w:tc>
          <w:tcPr>
            <w:tcW w:w="1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6,374</w:t>
            </w:r>
          </w:p>
        </w:tc>
        <w:tc>
          <w:tcPr>
            <w:tcW w:w="22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15,381</w:t>
            </w: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19,985</w:t>
            </w: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20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Others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587</w:t>
            </w:r>
          </w:p>
        </w:tc>
        <w:tc>
          <w:tcPr>
            <w:tcW w:w="22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8,100</w:t>
            </w: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11,286</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revenues</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1,982,505</w:t>
            </w:r>
          </w:p>
        </w:tc>
        <w:tc>
          <w:tcPr>
            <w:tcW w:w="220" w:type="dxa"/>
            <w:vAlign w:val="bottom"/>
            <w:shd w:val="clear" w:color="auto" w:fill="CFF0FC"/>
          </w:tcPr>
          <w:p>
            <w:pPr>
              <w:spacing w:after="0"/>
              <w:rPr>
                <w:sz w:val="17"/>
                <w:szCs w:val="17"/>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2,200,841</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2,204,346</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6220" w:type="dxa"/>
            <w:vAlign w:val="bottom"/>
            <w:gridSpan w:val="3"/>
          </w:tcPr>
          <w:p>
            <w:pPr>
              <w:spacing w:after="0"/>
              <w:rPr>
                <w:sz w:val="20"/>
                <w:szCs w:val="20"/>
                <w:color w:val="auto"/>
              </w:rPr>
            </w:pPr>
            <w:r>
              <w:rPr>
                <w:rFonts w:ascii="Arial" w:cs="Arial" w:eastAsia="Arial" w:hAnsi="Arial"/>
                <w:sz w:val="17"/>
                <w:szCs w:val="17"/>
                <w:color w:val="auto"/>
              </w:rPr>
              <w:t>Less: sales tax and surcharges</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(8,520)</w:t>
            </w:r>
          </w:p>
        </w:tc>
        <w:tc>
          <w:tcPr>
            <w:tcW w:w="2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(6,939)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 net revenues</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1,973,985</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2,193,902</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2,203,791</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9280" w:type="dxa"/>
            <w:vAlign w:val="bottom"/>
            <w:gridSpan w:val="10"/>
          </w:tcPr>
          <w:p>
            <w:pPr>
              <w:jc w:val="right"/>
              <w:ind w:right="1180"/>
              <w:spacing w:after="0"/>
              <w:rPr>
                <w:sz w:val="20"/>
                <w:szCs w:val="20"/>
                <w:color w:val="auto"/>
              </w:rPr>
            </w:pPr>
            <w:r>
              <w:rPr>
                <w:rFonts w:ascii="Arial" w:cs="Arial" w:eastAsia="Arial" w:hAnsi="Arial"/>
                <w:sz w:val="17"/>
                <w:szCs w:val="17"/>
                <w:color w:val="auto"/>
                <w:w w:val="97"/>
              </w:rPr>
              <w:t xml:space="preserve">The movements of the deferred revenue for the years ended December 31, 2019 and 2020 were as follows </w:t>
            </w:r>
            <w:r>
              <w:rPr>
                <w:rFonts w:ascii="Arial" w:cs="Arial" w:eastAsia="Arial" w:hAnsi="Arial"/>
                <w:sz w:val="14"/>
                <w:szCs w:val="14"/>
                <w:color w:val="auto"/>
                <w:w w:val="97"/>
              </w:rPr>
              <w:t>(1)</w:t>
            </w:r>
            <w:r>
              <w:rPr>
                <w:rFonts w:ascii="Arial" w:cs="Arial" w:eastAsia="Arial" w:hAnsi="Arial"/>
                <w:sz w:val="17"/>
                <w:szCs w:val="17"/>
                <w:color w:val="auto"/>
                <w:w w:val="97"/>
              </w:rPr>
              <w:t>:</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8"/>
          </w:tcPr>
          <w:p>
            <w:pPr>
              <w:jc w:val="right"/>
              <w:ind w:right="1020"/>
              <w:spacing w:after="0"/>
              <w:rPr>
                <w:sz w:val="20"/>
                <w:szCs w:val="20"/>
                <w:color w:val="auto"/>
              </w:rPr>
            </w:pPr>
            <w:r>
              <w:rPr>
                <w:rFonts w:ascii="Arial" w:cs="Arial" w:eastAsia="Arial" w:hAnsi="Arial"/>
                <w:sz w:val="17"/>
                <w:szCs w:val="17"/>
                <w:color w:val="auto"/>
              </w:rPr>
              <w:t>As of December 31,</w:t>
            </w:r>
          </w:p>
        </w:tc>
      </w:tr>
      <w:tr>
        <w:trPr>
          <w:trHeight w:val="204"/>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7"/>
                <w:szCs w:val="17"/>
                <w:color w:val="auto"/>
              </w:rPr>
              <w:t>2019</w:t>
            </w: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7"/>
                <w:szCs w:val="17"/>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457"/>
              <w:spacing w:after="0"/>
              <w:rPr>
                <w:sz w:val="20"/>
                <w:szCs w:val="20"/>
                <w:color w:val="auto"/>
              </w:rPr>
            </w:pPr>
            <w:r>
              <w:rPr>
                <w:rFonts w:ascii="Arial" w:cs="Arial" w:eastAsia="Arial" w:hAnsi="Arial"/>
                <w:sz w:val="17"/>
                <w:szCs w:val="17"/>
                <w:color w:val="auto"/>
              </w:rPr>
              <w:t>RMB</w:t>
            </w:r>
          </w:p>
        </w:tc>
        <w:tc>
          <w:tcPr>
            <w:tcW w:w="26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Beginning balance (current and noncurrent)</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3,286,025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3,228,770</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Additions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2,236,638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2,246,023</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Deductions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(2,293,893)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(2,450,350)</w:t>
            </w:r>
          </w:p>
        </w:tc>
      </w:tr>
      <w:tr>
        <w:trPr>
          <w:trHeight w:val="244"/>
        </w:trPr>
        <w:tc>
          <w:tcPr>
            <w:tcW w:w="6220" w:type="dxa"/>
            <w:vAlign w:val="bottom"/>
            <w:gridSpan w:val="3"/>
          </w:tcPr>
          <w:p>
            <w:pPr>
              <w:spacing w:after="0"/>
              <w:rPr>
                <w:sz w:val="20"/>
                <w:szCs w:val="20"/>
                <w:color w:val="auto"/>
              </w:rPr>
            </w:pPr>
            <w:r>
              <w:rPr>
                <w:rFonts w:ascii="Arial" w:cs="Arial" w:eastAsia="Arial" w:hAnsi="Arial"/>
                <w:sz w:val="17"/>
                <w:szCs w:val="17"/>
                <w:color w:val="auto"/>
              </w:rPr>
              <w:t>Ending balance (current and noncurrent)</w:t>
            </w:r>
          </w:p>
        </w:tc>
        <w:tc>
          <w:tcPr>
            <w:tcW w:w="10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3,228,770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3,024,443</w:t>
            </w:r>
          </w:p>
        </w:tc>
        <w:tc>
          <w:tcPr>
            <w:tcW w:w="10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6200" w:type="dxa"/>
            <w:vAlign w:val="bottom"/>
            <w:tcBorders>
              <w:top w:val="single" w:sz="8" w:color="CFF0FC"/>
            </w:tcBorders>
            <w:gridSpan w:val="2"/>
            <w:shd w:val="clear" w:color="auto" w:fill="CFF0FC"/>
          </w:tcPr>
          <w:p>
            <w:pPr>
              <w:spacing w:after="0" w:line="189" w:lineRule="exact"/>
              <w:rPr>
                <w:sz w:val="20"/>
                <w:szCs w:val="20"/>
                <w:color w:val="auto"/>
              </w:rPr>
            </w:pPr>
            <w:r>
              <w:rPr>
                <w:rFonts w:ascii="Arial" w:cs="Arial" w:eastAsia="Arial" w:hAnsi="Arial"/>
                <w:sz w:val="17"/>
                <w:szCs w:val="17"/>
                <w:color w:val="auto"/>
              </w:rPr>
              <w:t>Deferred revenue, current</w:t>
            </w:r>
          </w:p>
        </w:tc>
        <w:tc>
          <w:tcPr>
            <w:tcW w:w="10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1,670,076</w:t>
            </w:r>
          </w:p>
        </w:tc>
        <w:tc>
          <w:tcPr>
            <w:tcW w:w="24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1,463,165</w:t>
            </w:r>
          </w:p>
        </w:tc>
        <w:tc>
          <w:tcPr>
            <w:tcW w:w="100" w:type="dxa"/>
            <w:vAlign w:val="bottom"/>
            <w:tcBorders>
              <w:top w:val="single" w:sz="8" w:color="CFF0FC"/>
            </w:tcBorders>
            <w:shd w:val="clear" w:color="auto" w:fill="CFF0FC"/>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Deferred revenue, non-current</w:t>
            </w:r>
          </w:p>
        </w:tc>
        <w:tc>
          <w:tcPr>
            <w:tcW w:w="1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1,558,694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1,561,278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left="1580" w:hanging="776"/>
        <w:spacing w:after="0"/>
        <w:tabs>
          <w:tab w:leader="none" w:pos="1580" w:val="left"/>
        </w:tabs>
        <w:numPr>
          <w:ilvl w:val="0"/>
          <w:numId w:val="79"/>
        </w:numPr>
        <w:rPr>
          <w:rFonts w:ascii="Arial" w:cs="Arial" w:eastAsia="Arial" w:hAnsi="Arial"/>
          <w:sz w:val="27"/>
          <w:szCs w:val="27"/>
          <w:color w:val="auto"/>
          <w:vertAlign w:val="superscript"/>
        </w:rPr>
      </w:pPr>
      <w:r>
        <w:rPr>
          <w:rFonts w:ascii="Arial" w:cs="Arial" w:eastAsia="Arial" w:hAnsi="Arial"/>
          <w:sz w:val="13"/>
          <w:szCs w:val="13"/>
          <w:color w:val="auto"/>
        </w:rPr>
        <w:t>Amounts presented are inclusive of VAT (see VAT in Note 2)</w:t>
      </w:r>
      <w:r>
        <w:rPr>
          <w:rFonts w:ascii="Arial" w:cs="Arial" w:eastAsia="Arial" w:hAnsi="Arial"/>
          <w:sz w:val="16"/>
          <w:szCs w:val="16"/>
          <w:color w:val="auto"/>
        </w:rPr>
        <w:t>.</w:t>
      </w:r>
    </w:p>
    <w:p>
      <w:pPr>
        <w:spacing w:after="0" w:line="187" w:lineRule="exact"/>
        <w:rPr>
          <w:sz w:val="20"/>
          <w:szCs w:val="20"/>
          <w:color w:val="auto"/>
        </w:rPr>
      </w:pPr>
    </w:p>
    <w:p>
      <w:pPr>
        <w:ind w:left="820" w:right="80"/>
        <w:spacing w:after="0" w:line="304" w:lineRule="auto"/>
        <w:rPr>
          <w:sz w:val="20"/>
          <w:szCs w:val="20"/>
          <w:color w:val="auto"/>
        </w:rPr>
      </w:pPr>
      <w:r>
        <w:rPr>
          <w:rFonts w:ascii="Arial" w:cs="Arial" w:eastAsia="Arial" w:hAnsi="Arial"/>
          <w:sz w:val="15"/>
          <w:szCs w:val="15"/>
          <w:color w:val="181717"/>
        </w:rPr>
        <w:t>Deferred revenue primarily consists of educational service fees received from customers for which the Group’s revenue recognition criteria have not been met. Deferred revenue balance will be recognized as revenue once the criteria for revenue recognition are met. The current portion of deferred revenue as of January 1, 2019 and January 1, 2020 were substantially all recognized as revenue during the years ended December 31, 2019 and 2020, respectively.</w:t>
      </w:r>
    </w:p>
    <w:p>
      <w:pPr>
        <w:spacing w:after="0" w:line="167" w:lineRule="exact"/>
        <w:rPr>
          <w:sz w:val="20"/>
          <w:szCs w:val="20"/>
          <w:color w:val="auto"/>
        </w:rPr>
      </w:pPr>
    </w:p>
    <w:p>
      <w:pPr>
        <w:ind w:left="820"/>
        <w:spacing w:after="0" w:line="251" w:lineRule="auto"/>
        <w:rPr>
          <w:sz w:val="20"/>
          <w:szCs w:val="20"/>
          <w:color w:val="auto"/>
        </w:rPr>
      </w:pPr>
      <w:r>
        <w:rPr>
          <w:rFonts w:ascii="Arial" w:cs="Arial" w:eastAsia="Arial" w:hAnsi="Arial"/>
          <w:sz w:val="17"/>
          <w:szCs w:val="17"/>
          <w:color w:val="181717"/>
        </w:rPr>
        <w:t>The Group’s remaining performance obligations, representing the amount of the transaction price for which service has not been provided, is substantially included in the deferred revenue account on the consolidated financial statements and the related disclosures. As of December 31, 2020, the deferred revenue balance was RMB3,024,443, of which RMB1,463,165 and RMB1,249,613 will be recognized as revenue over the next 12 and 24 months, respectively, with the remainder of RMB311,665 recognized thereafter.</w:t>
      </w:r>
    </w:p>
    <w:p>
      <w:pPr>
        <w:spacing w:after="0" w:line="175" w:lineRule="exact"/>
        <w:rPr>
          <w:sz w:val="20"/>
          <w:szCs w:val="20"/>
          <w:color w:val="auto"/>
        </w:rPr>
      </w:pPr>
    </w:p>
    <w:p>
      <w:pPr>
        <w:ind w:left="800" w:hanging="780"/>
        <w:spacing w:after="0"/>
        <w:tabs>
          <w:tab w:leader="none" w:pos="80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LONG-TERM DEBT</w:t>
      </w:r>
    </w:p>
    <w:p>
      <w:pPr>
        <w:spacing w:after="0" w:line="232" w:lineRule="exact"/>
        <w:rPr>
          <w:rFonts w:ascii="Arial" w:cs="Arial" w:eastAsia="Arial" w:hAnsi="Arial"/>
          <w:sz w:val="17"/>
          <w:szCs w:val="17"/>
          <w:b w:val="1"/>
          <w:bCs w:val="1"/>
          <w:color w:val="auto"/>
        </w:rPr>
      </w:pPr>
    </w:p>
    <w:p>
      <w:pPr>
        <w:ind w:left="800" w:right="40"/>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 xml:space="preserve">On August 29, 2018 and November 21, 2018, the Group entered into </w:t>
      </w:r>
      <w:r>
        <w:rPr>
          <w:rFonts w:ascii="Arial" w:cs="Arial" w:eastAsia="Arial" w:hAnsi="Arial"/>
          <w:sz w:val="17"/>
          <w:szCs w:val="17"/>
          <w:color w:val="181717"/>
        </w:rPr>
        <w:t>two</w:t>
      </w:r>
      <w:r>
        <w:rPr>
          <w:rFonts w:ascii="Arial" w:cs="Arial" w:eastAsia="Arial" w:hAnsi="Arial"/>
          <w:sz w:val="17"/>
          <w:szCs w:val="17"/>
          <w:color w:val="auto"/>
        </w:rPr>
        <w:t xml:space="preserve"> loan agreement</w:t>
      </w:r>
      <w:r>
        <w:rPr>
          <w:rFonts w:ascii="Arial" w:cs="Arial" w:eastAsia="Arial" w:hAnsi="Arial"/>
          <w:sz w:val="17"/>
          <w:szCs w:val="17"/>
          <w:color w:val="181717"/>
        </w:rPr>
        <w:t>s</w:t>
      </w:r>
      <w:r>
        <w:rPr>
          <w:rFonts w:ascii="Arial" w:cs="Arial" w:eastAsia="Arial" w:hAnsi="Arial"/>
          <w:sz w:val="17"/>
          <w:szCs w:val="17"/>
          <w:color w:val="auto"/>
        </w:rPr>
        <w:t xml:space="preserve"> with a PRC bank to obtain mortgaged bank loans totaling to RMB260,000 for the purchase of Building A and Building D in Wuhan. The loans are secured by pledging Building A and Building D and are repaid in equal instalment every three months with maturity term in 8 years. The annual interest rate is 1.472% on top of base rate of one-year interest rate released by the People's Bank of China. </w:t>
      </w:r>
      <w:r>
        <w:rPr>
          <w:rFonts w:ascii="Arial" w:cs="Arial" w:eastAsia="Arial" w:hAnsi="Arial"/>
          <w:sz w:val="17"/>
          <w:szCs w:val="17"/>
          <w:color w:val="181717"/>
        </w:rPr>
        <w:t>The Group repaid RMB1,875, RMB32,500 and RMB32,500 for the principals of loans during the years ended December 31,</w:t>
      </w:r>
      <w:r>
        <w:rPr>
          <w:rFonts w:ascii="Arial" w:cs="Arial" w:eastAsia="Arial" w:hAnsi="Arial"/>
          <w:sz w:val="17"/>
          <w:szCs w:val="17"/>
          <w:color w:val="auto"/>
        </w:rPr>
        <w:t xml:space="preserve"> </w:t>
      </w:r>
      <w:r>
        <w:rPr>
          <w:rFonts w:ascii="Arial" w:cs="Arial" w:eastAsia="Arial" w:hAnsi="Arial"/>
          <w:sz w:val="17"/>
          <w:szCs w:val="17"/>
          <w:color w:val="181717"/>
        </w:rPr>
        <w:t>2018, 2019 and 2020, respectively.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hanging="780"/>
        <w:spacing w:after="0"/>
        <w:tabs>
          <w:tab w:leader="none" w:pos="800" w:val="left"/>
        </w:tabs>
        <w:numPr>
          <w:ilvl w:val="0"/>
          <w:numId w:val="81"/>
        </w:numPr>
        <w:rPr>
          <w:rFonts w:ascii="Arial" w:cs="Arial" w:eastAsia="Arial" w:hAnsi="Arial"/>
          <w:sz w:val="17"/>
          <w:szCs w:val="17"/>
          <w:b w:val="1"/>
          <w:bCs w:val="1"/>
          <w:color w:val="181717"/>
        </w:rPr>
      </w:pPr>
      <w:r>
        <w:rPr>
          <w:rFonts w:ascii="Arial" w:cs="Arial" w:eastAsia="Arial" w:hAnsi="Arial"/>
          <w:sz w:val="17"/>
          <w:szCs w:val="17"/>
          <w:b w:val="1"/>
          <w:bCs w:val="1"/>
          <w:color w:val="181717"/>
        </w:rPr>
        <w:t>ORDINARY SHARES</w:t>
      </w:r>
    </w:p>
    <w:p>
      <w:pPr>
        <w:spacing w:after="0" w:line="207" w:lineRule="exact"/>
        <w:rPr>
          <w:rFonts w:ascii="Arial" w:cs="Arial" w:eastAsia="Arial" w:hAnsi="Arial"/>
          <w:sz w:val="17"/>
          <w:szCs w:val="17"/>
          <w:b w:val="1"/>
          <w:bCs w:val="1"/>
          <w:color w:val="181717"/>
        </w:rPr>
      </w:pPr>
    </w:p>
    <w:p>
      <w:pPr>
        <w:ind w:left="820" w:right="300"/>
        <w:spacing w:after="0" w:line="264" w:lineRule="auto"/>
        <w:rPr>
          <w:rFonts w:ascii="Arial" w:cs="Arial" w:eastAsia="Arial" w:hAnsi="Arial"/>
          <w:sz w:val="17"/>
          <w:szCs w:val="17"/>
          <w:b w:val="1"/>
          <w:bCs w:val="1"/>
          <w:color w:val="181717"/>
        </w:rPr>
      </w:pPr>
      <w:r>
        <w:rPr>
          <w:rFonts w:ascii="Arial" w:cs="Arial" w:eastAsia="Arial" w:hAnsi="Arial"/>
          <w:sz w:val="17"/>
          <w:szCs w:val="17"/>
          <w:color w:val="181717"/>
        </w:rPr>
        <w:t>On September 18, 2015, the Company authorized 1,000,000,000 shares of a par value of US$0.00005 (equivalent to RMB0.0003) per share and issued 1 ordinary share at par value at incorporation.</w:t>
      </w:r>
    </w:p>
    <w:p>
      <w:pPr>
        <w:spacing w:after="0" w:line="167" w:lineRule="exact"/>
        <w:rPr>
          <w:rFonts w:ascii="Arial" w:cs="Arial" w:eastAsia="Arial" w:hAnsi="Arial"/>
          <w:sz w:val="17"/>
          <w:szCs w:val="17"/>
          <w:b w:val="1"/>
          <w:bCs w:val="1"/>
          <w:color w:val="181717"/>
        </w:rPr>
      </w:pPr>
    </w:p>
    <w:p>
      <w:pPr>
        <w:ind w:left="820" w:right="20"/>
        <w:spacing w:after="0" w:line="273" w:lineRule="auto"/>
        <w:rPr>
          <w:rFonts w:ascii="Arial" w:cs="Arial" w:eastAsia="Arial" w:hAnsi="Arial"/>
          <w:sz w:val="17"/>
          <w:szCs w:val="17"/>
          <w:b w:val="1"/>
          <w:bCs w:val="1"/>
          <w:color w:val="181717"/>
        </w:rPr>
      </w:pPr>
      <w:r>
        <w:rPr>
          <w:rFonts w:ascii="Arial" w:cs="Arial" w:eastAsia="Arial" w:hAnsi="Arial"/>
          <w:sz w:val="16"/>
          <w:szCs w:val="16"/>
          <w:color w:val="181717"/>
        </w:rPr>
        <w:t>In March 2018, the Company completed its IPO and issued 16,478,275 ADSs (representing 659,131 Class A ordinary shares). The net proceeds raised from IPO were RMB1,109,517, net of issuance cost of RMB80,128. Upon the completion of IPO, the ordinary shares of the Company are classified as Class A, Class B and Class C ordinary shares. Holders of Class A, Class B and Class C ordinary shares have the same rights except for voting and conversion rights. Each Class A ordinary share is entitled to one vote and is not convertible. Each Class B ordinary share is entitled to seven votes and is solely convertible into one Class A ordinary share, at any time by the holder thereof. Each Class C ordinary share is entitled to ten votes and is solely convertible into one Class A ordinary share, at any time by the holder thereof.</w:t>
      </w:r>
    </w:p>
    <w:p>
      <w:pPr>
        <w:spacing w:after="0" w:line="164" w:lineRule="exact"/>
        <w:rPr>
          <w:rFonts w:ascii="Arial" w:cs="Arial" w:eastAsia="Arial" w:hAnsi="Arial"/>
          <w:sz w:val="17"/>
          <w:szCs w:val="17"/>
          <w:b w:val="1"/>
          <w:bCs w:val="1"/>
          <w:color w:val="181717"/>
        </w:rPr>
      </w:pPr>
    </w:p>
    <w:p>
      <w:pPr>
        <w:ind w:left="820" w:right="260"/>
        <w:spacing w:after="0" w:line="269" w:lineRule="auto"/>
        <w:rPr>
          <w:rFonts w:ascii="Arial" w:cs="Arial" w:eastAsia="Arial" w:hAnsi="Arial"/>
          <w:sz w:val="17"/>
          <w:szCs w:val="17"/>
          <w:b w:val="1"/>
          <w:bCs w:val="1"/>
          <w:color w:val="181717"/>
        </w:rPr>
      </w:pPr>
      <w:r>
        <w:rPr>
          <w:rFonts w:ascii="Arial" w:cs="Arial" w:eastAsia="Arial" w:hAnsi="Arial"/>
          <w:sz w:val="16"/>
          <w:szCs w:val="16"/>
          <w:color w:val="181717"/>
        </w:rPr>
        <w:t>Upon the completion of IPO in March 2018, Series A, Series B and Series B+ Preferred Shares outstanding then were converted into different classes of ordinary shares on a 1:1 basis. 954,274 Series A convertible redeemable preferred shares were converted into 954,274 Class A ordinary shares; 826,389 Series B convertible redeemable preferred shares were converted into 826,389 Class B ordinary shares; and 141,264 Series B+ convertible redeemable preferred shares were converted into 141,264 Class A ordinary shares. Meanwhile, 4,329,000 ordinary shares outstanding then were designated to 63,714 Class A ordinary shares and 4,265,286 Class C ordinary shares, respectively.</w:t>
      </w:r>
    </w:p>
    <w:p>
      <w:pPr>
        <w:spacing w:after="0" w:line="164" w:lineRule="exact"/>
        <w:rPr>
          <w:rFonts w:ascii="Arial" w:cs="Arial" w:eastAsia="Arial" w:hAnsi="Arial"/>
          <w:sz w:val="17"/>
          <w:szCs w:val="17"/>
          <w:b w:val="1"/>
          <w:bCs w:val="1"/>
          <w:color w:val="181717"/>
        </w:rPr>
      </w:pPr>
    </w:p>
    <w:p>
      <w:pPr>
        <w:ind w:left="800" w:right="40"/>
        <w:spacing w:after="0" w:line="254" w:lineRule="auto"/>
        <w:rPr>
          <w:rFonts w:ascii="Arial" w:cs="Arial" w:eastAsia="Arial" w:hAnsi="Arial"/>
          <w:sz w:val="17"/>
          <w:szCs w:val="17"/>
          <w:b w:val="1"/>
          <w:bCs w:val="1"/>
          <w:color w:val="181717"/>
        </w:rPr>
      </w:pPr>
      <w:r>
        <w:rPr>
          <w:rFonts w:ascii="Arial" w:cs="Arial" w:eastAsia="Arial" w:hAnsi="Arial"/>
          <w:sz w:val="17"/>
          <w:szCs w:val="17"/>
          <w:color w:val="181717"/>
        </w:rPr>
        <w:t>On August 29, 2018, the Company’s Board of Directors approved a share repurchase program under which the Company was authorized to repurchase up to US$50,000 of its Class A ordinary shares in the form of ADSs over the following 12 months. On November18, 2019, the Company’s Board of Directors approved the extension of the repurchase program to August 23, 2020. 1,127,055 ADSs, 1,297,363 ADSs and 4,097,105 ADSs (equivalent to 45,082, 51,895 and 163,884 Class A ordinary shares, respectively) were repurchased for the years ended December 31, 2018, 2019 and 2020 at a total consideration of RMB34,828, RMB30,793 and RMB26,579, respectively. The repurchased shares were presented as treasury stock on the consolidated balance sheets as of December 31, 2019 and 2020.</w:t>
      </w:r>
    </w:p>
    <w:p>
      <w:pPr>
        <w:spacing w:after="0" w:line="178" w:lineRule="exact"/>
        <w:rPr>
          <w:rFonts w:ascii="Arial" w:cs="Arial" w:eastAsia="Arial" w:hAnsi="Arial"/>
          <w:sz w:val="17"/>
          <w:szCs w:val="17"/>
          <w:b w:val="1"/>
          <w:bCs w:val="1"/>
          <w:color w:val="181717"/>
        </w:rPr>
      </w:pPr>
    </w:p>
    <w:p>
      <w:pPr>
        <w:ind w:left="800" w:right="240"/>
        <w:spacing w:after="0" w:line="264" w:lineRule="auto"/>
        <w:rPr>
          <w:rFonts w:ascii="Arial" w:cs="Arial" w:eastAsia="Arial" w:hAnsi="Arial"/>
          <w:sz w:val="17"/>
          <w:szCs w:val="17"/>
          <w:b w:val="1"/>
          <w:bCs w:val="1"/>
          <w:color w:val="181717"/>
        </w:rPr>
      </w:pPr>
      <w:r>
        <w:rPr>
          <w:rFonts w:ascii="Arial" w:cs="Arial" w:eastAsia="Arial" w:hAnsi="Arial"/>
          <w:sz w:val="17"/>
          <w:szCs w:val="17"/>
          <w:color w:val="181717"/>
        </w:rPr>
        <w:t>During the year ended December 31, 2019 and 2020, 6,600 and 148,438 Class C ordinary shares were converted into 6,600 and 148,438 Class A ordinary shares, respectively.</w:t>
      </w:r>
    </w:p>
    <w:p>
      <w:pPr>
        <w:spacing w:after="0" w:line="163" w:lineRule="exact"/>
        <w:rPr>
          <w:rFonts w:ascii="Arial" w:cs="Arial" w:eastAsia="Arial" w:hAnsi="Arial"/>
          <w:sz w:val="17"/>
          <w:szCs w:val="17"/>
          <w:b w:val="1"/>
          <w:bCs w:val="1"/>
          <w:color w:val="181717"/>
        </w:rPr>
      </w:pPr>
    </w:p>
    <w:p>
      <w:pPr>
        <w:ind w:left="800" w:hanging="780"/>
        <w:spacing w:after="0"/>
        <w:tabs>
          <w:tab w:leader="none" w:pos="800" w:val="left"/>
        </w:tabs>
        <w:numPr>
          <w:ilvl w:val="0"/>
          <w:numId w:val="81"/>
        </w:numPr>
        <w:rPr>
          <w:rFonts w:ascii="Arial" w:cs="Arial" w:eastAsia="Arial" w:hAnsi="Arial"/>
          <w:sz w:val="17"/>
          <w:szCs w:val="17"/>
          <w:b w:val="1"/>
          <w:bCs w:val="1"/>
          <w:color w:val="181717"/>
        </w:rPr>
      </w:pPr>
      <w:r>
        <w:rPr>
          <w:rFonts w:ascii="Arial" w:cs="Arial" w:eastAsia="Arial" w:hAnsi="Arial"/>
          <w:sz w:val="17"/>
          <w:szCs w:val="17"/>
          <w:b w:val="1"/>
          <w:bCs w:val="1"/>
          <w:color w:val="181717"/>
        </w:rPr>
        <w:t>FAIR VALUE MEASUREMENT</w:t>
      </w:r>
    </w:p>
    <w:p>
      <w:pPr>
        <w:spacing w:after="0" w:line="119" w:lineRule="exact"/>
        <w:rPr>
          <w:rFonts w:ascii="Arial" w:cs="Arial" w:eastAsia="Arial" w:hAnsi="Arial"/>
          <w:sz w:val="17"/>
          <w:szCs w:val="17"/>
          <w:b w:val="1"/>
          <w:bCs w:val="1"/>
          <w:color w:val="181717"/>
        </w:rPr>
      </w:pPr>
    </w:p>
    <w:p>
      <w:pPr>
        <w:ind w:left="820"/>
        <w:spacing w:after="0"/>
        <w:rPr>
          <w:rFonts w:ascii="Arial" w:cs="Arial" w:eastAsia="Arial" w:hAnsi="Arial"/>
          <w:sz w:val="17"/>
          <w:szCs w:val="17"/>
          <w:b w:val="1"/>
          <w:bCs w:val="1"/>
          <w:color w:val="181717"/>
        </w:rPr>
      </w:pPr>
      <w:r>
        <w:rPr>
          <w:rFonts w:ascii="Arial" w:cs="Arial" w:eastAsia="Arial" w:hAnsi="Arial"/>
          <w:sz w:val="17"/>
          <w:szCs w:val="17"/>
          <w:b w:val="1"/>
          <w:bCs w:val="1"/>
          <w:i w:val="1"/>
          <w:iCs w:val="1"/>
          <w:color w:val="181717"/>
        </w:rPr>
        <w:t>Measured or disclosed at fair value on a recurring basis</w:t>
      </w:r>
    </w:p>
    <w:p>
      <w:pPr>
        <w:spacing w:after="0" w:line="115" w:lineRule="exact"/>
        <w:rPr>
          <w:rFonts w:ascii="Arial" w:cs="Arial" w:eastAsia="Arial" w:hAnsi="Arial"/>
          <w:sz w:val="17"/>
          <w:szCs w:val="17"/>
          <w:b w:val="1"/>
          <w:bCs w:val="1"/>
          <w:color w:val="181717"/>
        </w:rPr>
      </w:pPr>
    </w:p>
    <w:p>
      <w:pPr>
        <w:ind w:left="820" w:right="260"/>
        <w:spacing w:after="0" w:line="264" w:lineRule="auto"/>
        <w:rPr>
          <w:rFonts w:ascii="Arial" w:cs="Arial" w:eastAsia="Arial" w:hAnsi="Arial"/>
          <w:sz w:val="17"/>
          <w:szCs w:val="17"/>
          <w:b w:val="1"/>
          <w:bCs w:val="1"/>
          <w:color w:val="181717"/>
        </w:rPr>
      </w:pPr>
      <w:r>
        <w:rPr>
          <w:rFonts w:ascii="Arial" w:cs="Arial" w:eastAsia="Arial" w:hAnsi="Arial"/>
          <w:sz w:val="17"/>
          <w:szCs w:val="17"/>
          <w:color w:val="181717"/>
        </w:rPr>
        <w:t>The Group measures variable-rate financial instruments at fair value on a recurring basis. Variable-rate financial instruments classified within Level 2 are valued using directly or indirectly observable inputs in the market place.</w:t>
      </w:r>
    </w:p>
    <w:p>
      <w:pPr>
        <w:spacing w:after="0" w:line="167" w:lineRule="exact"/>
        <w:rPr>
          <w:rFonts w:ascii="Arial" w:cs="Arial" w:eastAsia="Arial" w:hAnsi="Arial"/>
          <w:sz w:val="17"/>
          <w:szCs w:val="17"/>
          <w:b w:val="1"/>
          <w:bCs w:val="1"/>
          <w:color w:val="181717"/>
        </w:rPr>
      </w:pPr>
    </w:p>
    <w:p>
      <w:pPr>
        <w:ind w:left="820" w:right="420"/>
        <w:spacing w:after="0" w:line="264" w:lineRule="auto"/>
        <w:rPr>
          <w:rFonts w:ascii="Arial" w:cs="Arial" w:eastAsia="Arial" w:hAnsi="Arial"/>
          <w:sz w:val="17"/>
          <w:szCs w:val="17"/>
          <w:b w:val="1"/>
          <w:bCs w:val="1"/>
          <w:color w:val="181717"/>
        </w:rPr>
      </w:pPr>
      <w:r>
        <w:rPr>
          <w:rFonts w:ascii="Arial" w:cs="Arial" w:eastAsia="Arial" w:hAnsi="Arial"/>
          <w:sz w:val="17"/>
          <w:szCs w:val="17"/>
          <w:color w:val="181717"/>
        </w:rPr>
        <w:t>As of December 31, 2019 and 2020, information about inputs for the fair value measurements of the Group’s assets that are measured at fair value on a recurring basis in periods subsequent to their initial recognition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3"/>
                <w:szCs w:val="13"/>
                <w:color w:val="auto"/>
                <w:w w:val="91"/>
              </w:rPr>
              <w:t>Fair value</w:t>
            </w:r>
          </w:p>
        </w:tc>
        <w:tc>
          <w:tcPr>
            <w:tcW w:w="4380" w:type="dxa"/>
            <w:vAlign w:val="bottom"/>
            <w:gridSpan w:val="6"/>
          </w:tcPr>
          <w:p>
            <w:pPr>
              <w:jc w:val="center"/>
              <w:ind w:right="140"/>
              <w:spacing w:after="0"/>
              <w:rPr>
                <w:sz w:val="20"/>
                <w:szCs w:val="20"/>
                <w:color w:val="auto"/>
              </w:rPr>
            </w:pPr>
            <w:r>
              <w:rPr>
                <w:rFonts w:ascii="Arial" w:cs="Arial" w:eastAsia="Arial" w:hAnsi="Arial"/>
                <w:sz w:val="13"/>
                <w:szCs w:val="13"/>
                <w:color w:val="auto"/>
                <w:w w:val="92"/>
              </w:rPr>
              <w:t>Fair Value Measurement at Reporting Date Using</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500" w:type="dxa"/>
            <w:vAlign w:val="bottom"/>
            <w:tcBorders>
              <w:top w:val="single" w:sz="8" w:color="auto"/>
            </w:tcBorders>
            <w:gridSpan w:val="2"/>
          </w:tcPr>
          <w:p>
            <w:pPr>
              <w:jc w:val="center"/>
              <w:ind w:right="260"/>
              <w:spacing w:after="0" w:line="126" w:lineRule="exact"/>
              <w:rPr>
                <w:sz w:val="20"/>
                <w:szCs w:val="20"/>
                <w:color w:val="auto"/>
              </w:rPr>
            </w:pPr>
            <w:r>
              <w:rPr>
                <w:rFonts w:ascii="Arial" w:cs="Arial" w:eastAsia="Arial" w:hAnsi="Arial"/>
                <w:sz w:val="13"/>
                <w:szCs w:val="13"/>
                <w:color w:val="auto"/>
                <w:w w:val="91"/>
              </w:rPr>
              <w:t>Quoted Prices in</w:t>
            </w:r>
          </w:p>
        </w:tc>
        <w:tc>
          <w:tcPr>
            <w:tcW w:w="1480" w:type="dxa"/>
            <w:vAlign w:val="bottom"/>
            <w:tcBorders>
              <w:top w:val="single" w:sz="8" w:color="auto"/>
            </w:tcBorders>
            <w:gridSpan w:val="2"/>
          </w:tcPr>
          <w:p>
            <w:pPr>
              <w:jc w:val="center"/>
              <w:ind w:right="260"/>
              <w:spacing w:after="0" w:line="126" w:lineRule="exact"/>
              <w:rPr>
                <w:sz w:val="20"/>
                <w:szCs w:val="20"/>
                <w:color w:val="auto"/>
              </w:rPr>
            </w:pPr>
            <w:r>
              <w:rPr>
                <w:rFonts w:ascii="Arial" w:cs="Arial" w:eastAsia="Arial" w:hAnsi="Arial"/>
                <w:sz w:val="13"/>
                <w:szCs w:val="13"/>
                <w:color w:val="auto"/>
                <w:w w:val="93"/>
              </w:rPr>
              <w:t>Significant Other</w:t>
            </w:r>
          </w:p>
        </w:tc>
        <w:tc>
          <w:tcPr>
            <w:tcW w:w="12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96"/>
              </w:rPr>
              <w:t>Significant</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jc w:val="center"/>
              <w:ind w:right="260"/>
              <w:spacing w:after="0" w:line="137" w:lineRule="exact"/>
              <w:rPr>
                <w:sz w:val="20"/>
                <w:szCs w:val="20"/>
                <w:color w:val="auto"/>
              </w:rPr>
            </w:pPr>
            <w:r>
              <w:rPr>
                <w:rFonts w:ascii="Arial" w:cs="Arial" w:eastAsia="Arial" w:hAnsi="Arial"/>
                <w:sz w:val="13"/>
                <w:szCs w:val="13"/>
                <w:color w:val="auto"/>
                <w:w w:val="84"/>
              </w:rPr>
              <w:t>as of</w:t>
            </w:r>
          </w:p>
        </w:tc>
        <w:tc>
          <w:tcPr>
            <w:tcW w:w="1500" w:type="dxa"/>
            <w:vAlign w:val="bottom"/>
            <w:gridSpan w:val="2"/>
          </w:tcPr>
          <w:p>
            <w:pPr>
              <w:jc w:val="center"/>
              <w:ind w:right="260"/>
              <w:spacing w:after="0" w:line="137" w:lineRule="exact"/>
              <w:rPr>
                <w:sz w:val="20"/>
                <w:szCs w:val="20"/>
                <w:color w:val="auto"/>
              </w:rPr>
            </w:pPr>
            <w:r>
              <w:rPr>
                <w:rFonts w:ascii="Arial" w:cs="Arial" w:eastAsia="Arial" w:hAnsi="Arial"/>
                <w:sz w:val="13"/>
                <w:szCs w:val="13"/>
                <w:color w:val="auto"/>
                <w:w w:val="96"/>
              </w:rPr>
              <w:t>Active Market</w:t>
            </w:r>
          </w:p>
        </w:tc>
        <w:tc>
          <w:tcPr>
            <w:tcW w:w="1480" w:type="dxa"/>
            <w:vAlign w:val="bottom"/>
            <w:gridSpan w:val="2"/>
          </w:tcPr>
          <w:p>
            <w:pPr>
              <w:jc w:val="center"/>
              <w:ind w:right="260"/>
              <w:spacing w:after="0" w:line="137" w:lineRule="exact"/>
              <w:rPr>
                <w:sz w:val="20"/>
                <w:szCs w:val="20"/>
                <w:color w:val="auto"/>
              </w:rPr>
            </w:pPr>
            <w:r>
              <w:rPr>
                <w:rFonts w:ascii="Arial" w:cs="Arial" w:eastAsia="Arial" w:hAnsi="Arial"/>
                <w:sz w:val="13"/>
                <w:szCs w:val="13"/>
                <w:color w:val="auto"/>
                <w:w w:val="93"/>
              </w:rPr>
              <w:t>Observable</w:t>
            </w:r>
          </w:p>
        </w:tc>
        <w:tc>
          <w:tcPr>
            <w:tcW w:w="1400" w:type="dxa"/>
            <w:vAlign w:val="bottom"/>
            <w:gridSpan w:val="2"/>
          </w:tcPr>
          <w:p>
            <w:pPr>
              <w:jc w:val="center"/>
              <w:ind w:right="140"/>
              <w:spacing w:after="0" w:line="137" w:lineRule="exact"/>
              <w:rPr>
                <w:sz w:val="20"/>
                <w:szCs w:val="20"/>
                <w:color w:val="auto"/>
              </w:rPr>
            </w:pPr>
            <w:r>
              <w:rPr>
                <w:rFonts w:ascii="Arial" w:cs="Arial" w:eastAsia="Arial" w:hAnsi="Arial"/>
                <w:sz w:val="13"/>
                <w:szCs w:val="13"/>
                <w:color w:val="auto"/>
                <w:w w:val="92"/>
              </w:rPr>
              <w:t>Unobservable</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jc w:val="center"/>
              <w:ind w:right="260"/>
              <w:spacing w:after="0" w:line="137" w:lineRule="exact"/>
              <w:rPr>
                <w:sz w:val="20"/>
                <w:szCs w:val="20"/>
                <w:color w:val="auto"/>
              </w:rPr>
            </w:pPr>
            <w:r>
              <w:rPr>
                <w:rFonts w:ascii="Arial" w:cs="Arial" w:eastAsia="Arial" w:hAnsi="Arial"/>
                <w:sz w:val="13"/>
                <w:szCs w:val="13"/>
                <w:color w:val="auto"/>
                <w:w w:val="93"/>
              </w:rPr>
              <w:t>December 31,</w:t>
            </w:r>
          </w:p>
        </w:tc>
        <w:tc>
          <w:tcPr>
            <w:tcW w:w="1500" w:type="dxa"/>
            <w:vAlign w:val="bottom"/>
            <w:gridSpan w:val="2"/>
          </w:tcPr>
          <w:p>
            <w:pPr>
              <w:jc w:val="center"/>
              <w:ind w:right="280"/>
              <w:spacing w:after="0" w:line="137" w:lineRule="exact"/>
              <w:rPr>
                <w:sz w:val="20"/>
                <w:szCs w:val="20"/>
                <w:color w:val="auto"/>
              </w:rPr>
            </w:pPr>
            <w:r>
              <w:rPr>
                <w:rFonts w:ascii="Arial" w:cs="Arial" w:eastAsia="Arial" w:hAnsi="Arial"/>
                <w:sz w:val="13"/>
                <w:szCs w:val="13"/>
                <w:color w:val="auto"/>
                <w:w w:val="98"/>
              </w:rPr>
              <w:t>for Identical</w:t>
            </w:r>
          </w:p>
        </w:tc>
        <w:tc>
          <w:tcPr>
            <w:tcW w:w="1480" w:type="dxa"/>
            <w:vAlign w:val="bottom"/>
            <w:gridSpan w:val="2"/>
          </w:tcPr>
          <w:p>
            <w:pPr>
              <w:jc w:val="center"/>
              <w:ind w:right="260"/>
              <w:spacing w:after="0" w:line="137" w:lineRule="exact"/>
              <w:rPr>
                <w:sz w:val="20"/>
                <w:szCs w:val="20"/>
                <w:color w:val="auto"/>
              </w:rPr>
            </w:pPr>
            <w:r>
              <w:rPr>
                <w:rFonts w:ascii="Arial" w:cs="Arial" w:eastAsia="Arial" w:hAnsi="Arial"/>
                <w:sz w:val="13"/>
                <w:szCs w:val="13"/>
                <w:color w:val="auto"/>
                <w:w w:val="95"/>
              </w:rPr>
              <w:t>Inputs</w:t>
            </w:r>
          </w:p>
        </w:tc>
        <w:tc>
          <w:tcPr>
            <w:tcW w:w="1400" w:type="dxa"/>
            <w:vAlign w:val="bottom"/>
            <w:gridSpan w:val="2"/>
          </w:tcPr>
          <w:p>
            <w:pPr>
              <w:jc w:val="center"/>
              <w:ind w:right="140"/>
              <w:spacing w:after="0" w:line="137" w:lineRule="exact"/>
              <w:rPr>
                <w:sz w:val="20"/>
                <w:szCs w:val="20"/>
                <w:color w:val="auto"/>
              </w:rPr>
            </w:pPr>
            <w:r>
              <w:rPr>
                <w:rFonts w:ascii="Arial" w:cs="Arial" w:eastAsia="Arial" w:hAnsi="Arial"/>
                <w:sz w:val="13"/>
                <w:szCs w:val="13"/>
                <w:color w:val="auto"/>
                <w:w w:val="95"/>
              </w:rPr>
              <w:t>Inputs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gridSpan w:val="3"/>
          </w:tcPr>
          <w:p>
            <w:pPr>
              <w:spacing w:after="0"/>
              <w:rPr>
                <w:sz w:val="20"/>
                <w:szCs w:val="20"/>
                <w:color w:val="auto"/>
              </w:rPr>
            </w:pPr>
            <w:r>
              <w:rPr>
                <w:rFonts w:ascii="Arial" w:cs="Arial" w:eastAsia="Arial" w:hAnsi="Arial"/>
                <w:sz w:val="13"/>
                <w:szCs w:val="13"/>
                <w:color w:val="auto"/>
              </w:rPr>
              <w:t>Description</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2019</w:t>
            </w:r>
          </w:p>
        </w:tc>
        <w:tc>
          <w:tcPr>
            <w:tcW w:w="24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color w:val="auto"/>
                <w:w w:val="94"/>
              </w:rPr>
              <w:t>Assets (Level 1)</w:t>
            </w: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(Level 2)</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(Level 3)</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w w:val="96"/>
              </w:rPr>
              <w:t>RMB</w:t>
            </w:r>
          </w:p>
        </w:tc>
        <w:tc>
          <w:tcPr>
            <w:tcW w:w="24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RMB</w:t>
            </w:r>
          </w:p>
        </w:tc>
        <w:tc>
          <w:tcPr>
            <w:tcW w:w="24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RMB</w:t>
            </w:r>
          </w:p>
        </w:tc>
        <w:tc>
          <w:tcPr>
            <w:tcW w:w="22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RMB</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Short-term investments</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gridSpan w:val="2"/>
          </w:tcPr>
          <w:p>
            <w:pPr>
              <w:ind w:left="220"/>
              <w:spacing w:after="0"/>
              <w:rPr>
                <w:sz w:val="20"/>
                <w:szCs w:val="20"/>
                <w:color w:val="auto"/>
              </w:rPr>
            </w:pPr>
            <w:r>
              <w:rPr>
                <w:rFonts w:ascii="Arial" w:cs="Arial" w:eastAsia="Arial" w:hAnsi="Arial"/>
                <w:sz w:val="17"/>
                <w:szCs w:val="17"/>
                <w:color w:val="auto"/>
              </w:rPr>
              <w:t>Variable-rate financial instruments</w:t>
            </w:r>
          </w:p>
        </w:tc>
        <w:tc>
          <w:tcPr>
            <w:tcW w:w="1260" w:type="dxa"/>
            <w:vAlign w:val="bottom"/>
          </w:tcPr>
          <w:p>
            <w:pPr>
              <w:jc w:val="right"/>
              <w:spacing w:after="0"/>
              <w:rPr>
                <w:sz w:val="20"/>
                <w:szCs w:val="20"/>
                <w:color w:val="auto"/>
              </w:rPr>
            </w:pPr>
            <w:r>
              <w:rPr>
                <w:rFonts w:ascii="Arial" w:cs="Arial" w:eastAsia="Arial" w:hAnsi="Arial"/>
                <w:sz w:val="17"/>
                <w:szCs w:val="17"/>
                <w:color w:val="auto"/>
              </w:rPr>
              <w:t>207,636</w:t>
            </w:r>
          </w:p>
        </w:tc>
        <w:tc>
          <w:tcPr>
            <w:tcW w:w="240" w:type="dxa"/>
            <w:vAlign w:val="bottom"/>
          </w:tcPr>
          <w:p>
            <w:pPr>
              <w:spacing w:after="0"/>
              <w:rPr>
                <w:sz w:val="18"/>
                <w:szCs w:val="18"/>
                <w:color w:val="auto"/>
              </w:rPr>
            </w:pPr>
          </w:p>
        </w:tc>
        <w:tc>
          <w:tcPr>
            <w:tcW w:w="150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207,636</w:t>
            </w:r>
          </w:p>
        </w:tc>
        <w:tc>
          <w:tcPr>
            <w:tcW w:w="220" w:type="dxa"/>
            <w:vAlign w:val="bottom"/>
          </w:tcPr>
          <w:p>
            <w:pPr>
              <w:spacing w:after="0"/>
              <w:rPr>
                <w:sz w:val="18"/>
                <w:szCs w:val="18"/>
                <w:color w:val="auto"/>
              </w:rPr>
            </w:pPr>
          </w:p>
        </w:tc>
        <w:tc>
          <w:tcPr>
            <w:tcW w:w="140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207,636</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Arial" w:cs="Arial" w:eastAsia="Arial" w:hAnsi="Arial"/>
                <w:sz w:val="17"/>
                <w:szCs w:val="17"/>
                <w:color w:val="auto"/>
                <w:w w:val="93"/>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207,636</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Arial" w:cs="Arial" w:eastAsia="Arial" w:hAnsi="Arial"/>
                <w:sz w:val="17"/>
                <w:szCs w:val="17"/>
                <w:color w:val="auto"/>
                <w:w w:val="93"/>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ind w:left="880"/>
              <w:spacing w:after="0"/>
              <w:rPr>
                <w:sz w:val="20"/>
                <w:szCs w:val="20"/>
                <w:color w:val="auto"/>
              </w:rPr>
            </w:pPr>
            <w:r>
              <w:rPr>
                <w:rFonts w:ascii="Arial" w:cs="Arial" w:eastAsia="Arial" w:hAnsi="Arial"/>
                <w:sz w:val="17"/>
                <w:szCs w:val="17"/>
                <w:color w:val="181717"/>
              </w:rPr>
              <w:t>F-25</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-27940</wp:posOffset>
            </wp:positionV>
            <wp:extent cx="3302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3302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hanging="780"/>
        <w:spacing w:after="0"/>
        <w:tabs>
          <w:tab w:leader="none" w:pos="800" w:val="left"/>
        </w:tabs>
        <w:numPr>
          <w:ilvl w:val="0"/>
          <w:numId w:val="82"/>
        </w:numPr>
        <w:rPr>
          <w:rFonts w:ascii="Arial" w:cs="Arial" w:eastAsia="Arial" w:hAnsi="Arial"/>
          <w:sz w:val="17"/>
          <w:szCs w:val="17"/>
          <w:b w:val="1"/>
          <w:bCs w:val="1"/>
          <w:color w:val="181717"/>
        </w:rPr>
      </w:pPr>
      <w:r>
        <w:rPr>
          <w:rFonts w:ascii="Arial" w:cs="Arial" w:eastAsia="Arial" w:hAnsi="Arial"/>
          <w:sz w:val="17"/>
          <w:szCs w:val="17"/>
          <w:b w:val="1"/>
          <w:bCs w:val="1"/>
          <w:color w:val="181717"/>
        </w:rPr>
        <w:t xml:space="preserve">FAIR VALUE MEASUREMENT </w:t>
      </w:r>
      <w:r>
        <w:rPr>
          <w:rFonts w:ascii="Arial" w:cs="Arial" w:eastAsia="Arial" w:hAnsi="Arial"/>
          <w:sz w:val="17"/>
          <w:szCs w:val="17"/>
          <w:color w:val="181717"/>
        </w:rPr>
        <w:t>- continued</w:t>
      </w:r>
    </w:p>
    <w:p>
      <w:pPr>
        <w:spacing w:after="0" w:line="119" w:lineRule="exact"/>
        <w:rPr>
          <w:rFonts w:ascii="Arial" w:cs="Arial" w:eastAsia="Arial" w:hAnsi="Arial"/>
          <w:sz w:val="17"/>
          <w:szCs w:val="17"/>
          <w:b w:val="1"/>
          <w:bCs w:val="1"/>
          <w:color w:val="181717"/>
        </w:rPr>
      </w:pPr>
    </w:p>
    <w:p>
      <w:pPr>
        <w:ind w:left="820"/>
        <w:spacing w:after="0"/>
        <w:rPr>
          <w:rFonts w:ascii="Arial" w:cs="Arial" w:eastAsia="Arial" w:hAnsi="Arial"/>
          <w:sz w:val="17"/>
          <w:szCs w:val="17"/>
          <w:b w:val="1"/>
          <w:bCs w:val="1"/>
          <w:color w:val="181717"/>
        </w:rPr>
      </w:pPr>
      <w:r>
        <w:rPr>
          <w:rFonts w:ascii="Arial" w:cs="Arial" w:eastAsia="Arial" w:hAnsi="Arial"/>
          <w:sz w:val="17"/>
          <w:szCs w:val="17"/>
          <w:b w:val="1"/>
          <w:bCs w:val="1"/>
          <w:i w:val="1"/>
          <w:iCs w:val="1"/>
          <w:color w:val="181717"/>
        </w:rPr>
        <w:t>Measured or disclosed at fair value on a recurring basis-continued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3"/>
                <w:szCs w:val="13"/>
                <w:color w:val="auto"/>
                <w:w w:val="91"/>
              </w:rPr>
              <w:t>Fair value</w:t>
            </w:r>
          </w:p>
        </w:tc>
        <w:tc>
          <w:tcPr>
            <w:tcW w:w="4380" w:type="dxa"/>
            <w:vAlign w:val="bottom"/>
            <w:gridSpan w:val="6"/>
          </w:tcPr>
          <w:p>
            <w:pPr>
              <w:jc w:val="center"/>
              <w:ind w:right="140"/>
              <w:spacing w:after="0"/>
              <w:rPr>
                <w:sz w:val="20"/>
                <w:szCs w:val="20"/>
                <w:color w:val="auto"/>
              </w:rPr>
            </w:pPr>
            <w:r>
              <w:rPr>
                <w:rFonts w:ascii="Arial" w:cs="Arial" w:eastAsia="Arial" w:hAnsi="Arial"/>
                <w:sz w:val="13"/>
                <w:szCs w:val="13"/>
                <w:color w:val="auto"/>
                <w:w w:val="92"/>
              </w:rPr>
              <w:t>Fair Value Measurement at Reporting Date Using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500" w:type="dxa"/>
            <w:vAlign w:val="bottom"/>
            <w:tcBorders>
              <w:top w:val="single" w:sz="8" w:color="auto"/>
            </w:tcBorders>
            <w:gridSpan w:val="2"/>
          </w:tcPr>
          <w:p>
            <w:pPr>
              <w:jc w:val="center"/>
              <w:ind w:right="260"/>
              <w:spacing w:after="0" w:line="126" w:lineRule="exact"/>
              <w:rPr>
                <w:sz w:val="20"/>
                <w:szCs w:val="20"/>
                <w:color w:val="auto"/>
              </w:rPr>
            </w:pPr>
            <w:r>
              <w:rPr>
                <w:rFonts w:ascii="Arial" w:cs="Arial" w:eastAsia="Arial" w:hAnsi="Arial"/>
                <w:sz w:val="13"/>
                <w:szCs w:val="13"/>
                <w:color w:val="auto"/>
                <w:w w:val="91"/>
              </w:rPr>
              <w:t>Quoted Prices in</w:t>
            </w:r>
          </w:p>
        </w:tc>
        <w:tc>
          <w:tcPr>
            <w:tcW w:w="1480" w:type="dxa"/>
            <w:vAlign w:val="bottom"/>
            <w:tcBorders>
              <w:top w:val="single" w:sz="8" w:color="auto"/>
            </w:tcBorders>
            <w:gridSpan w:val="2"/>
          </w:tcPr>
          <w:p>
            <w:pPr>
              <w:jc w:val="center"/>
              <w:ind w:right="260"/>
              <w:spacing w:after="0" w:line="126" w:lineRule="exact"/>
              <w:rPr>
                <w:sz w:val="20"/>
                <w:szCs w:val="20"/>
                <w:color w:val="auto"/>
              </w:rPr>
            </w:pPr>
            <w:r>
              <w:rPr>
                <w:rFonts w:ascii="Arial" w:cs="Arial" w:eastAsia="Arial" w:hAnsi="Arial"/>
                <w:sz w:val="13"/>
                <w:szCs w:val="13"/>
                <w:color w:val="auto"/>
                <w:w w:val="93"/>
              </w:rPr>
              <w:t>Significant Other</w:t>
            </w:r>
          </w:p>
        </w:tc>
        <w:tc>
          <w:tcPr>
            <w:tcW w:w="12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96"/>
              </w:rPr>
              <w:t>Significant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jc w:val="center"/>
              <w:ind w:right="260"/>
              <w:spacing w:after="0" w:line="137" w:lineRule="exact"/>
              <w:rPr>
                <w:sz w:val="20"/>
                <w:szCs w:val="20"/>
                <w:color w:val="auto"/>
              </w:rPr>
            </w:pPr>
            <w:r>
              <w:rPr>
                <w:rFonts w:ascii="Arial" w:cs="Arial" w:eastAsia="Arial" w:hAnsi="Arial"/>
                <w:sz w:val="13"/>
                <w:szCs w:val="13"/>
                <w:color w:val="auto"/>
                <w:w w:val="84"/>
              </w:rPr>
              <w:t>as of</w:t>
            </w:r>
          </w:p>
        </w:tc>
        <w:tc>
          <w:tcPr>
            <w:tcW w:w="1500" w:type="dxa"/>
            <w:vAlign w:val="bottom"/>
            <w:gridSpan w:val="2"/>
          </w:tcPr>
          <w:p>
            <w:pPr>
              <w:jc w:val="center"/>
              <w:ind w:right="260"/>
              <w:spacing w:after="0" w:line="137" w:lineRule="exact"/>
              <w:rPr>
                <w:sz w:val="20"/>
                <w:szCs w:val="20"/>
                <w:color w:val="auto"/>
              </w:rPr>
            </w:pPr>
            <w:r>
              <w:rPr>
                <w:rFonts w:ascii="Arial" w:cs="Arial" w:eastAsia="Arial" w:hAnsi="Arial"/>
                <w:sz w:val="13"/>
                <w:szCs w:val="13"/>
                <w:color w:val="auto"/>
                <w:w w:val="96"/>
              </w:rPr>
              <w:t>Active Market</w:t>
            </w:r>
          </w:p>
        </w:tc>
        <w:tc>
          <w:tcPr>
            <w:tcW w:w="1480" w:type="dxa"/>
            <w:vAlign w:val="bottom"/>
            <w:gridSpan w:val="2"/>
          </w:tcPr>
          <w:p>
            <w:pPr>
              <w:jc w:val="center"/>
              <w:ind w:right="260"/>
              <w:spacing w:after="0" w:line="137" w:lineRule="exact"/>
              <w:rPr>
                <w:sz w:val="20"/>
                <w:szCs w:val="20"/>
                <w:color w:val="auto"/>
              </w:rPr>
            </w:pPr>
            <w:r>
              <w:rPr>
                <w:rFonts w:ascii="Arial" w:cs="Arial" w:eastAsia="Arial" w:hAnsi="Arial"/>
                <w:sz w:val="13"/>
                <w:szCs w:val="13"/>
                <w:color w:val="auto"/>
                <w:w w:val="93"/>
              </w:rPr>
              <w:t>Observable</w:t>
            </w:r>
          </w:p>
        </w:tc>
        <w:tc>
          <w:tcPr>
            <w:tcW w:w="1400" w:type="dxa"/>
            <w:vAlign w:val="bottom"/>
            <w:gridSpan w:val="2"/>
          </w:tcPr>
          <w:p>
            <w:pPr>
              <w:jc w:val="center"/>
              <w:ind w:right="140"/>
              <w:spacing w:after="0" w:line="137" w:lineRule="exact"/>
              <w:rPr>
                <w:sz w:val="20"/>
                <w:szCs w:val="20"/>
                <w:color w:val="auto"/>
              </w:rPr>
            </w:pPr>
            <w:r>
              <w:rPr>
                <w:rFonts w:ascii="Arial" w:cs="Arial" w:eastAsia="Arial" w:hAnsi="Arial"/>
                <w:sz w:val="13"/>
                <w:szCs w:val="13"/>
                <w:color w:val="auto"/>
                <w:w w:val="92"/>
              </w:rPr>
              <w:t>Unobservable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jc w:val="center"/>
              <w:ind w:right="260"/>
              <w:spacing w:after="0" w:line="137" w:lineRule="exact"/>
              <w:rPr>
                <w:sz w:val="20"/>
                <w:szCs w:val="20"/>
                <w:color w:val="auto"/>
              </w:rPr>
            </w:pPr>
            <w:r>
              <w:rPr>
                <w:rFonts w:ascii="Arial" w:cs="Arial" w:eastAsia="Arial" w:hAnsi="Arial"/>
                <w:sz w:val="13"/>
                <w:szCs w:val="13"/>
                <w:color w:val="auto"/>
                <w:w w:val="93"/>
              </w:rPr>
              <w:t>December 31,</w:t>
            </w:r>
          </w:p>
        </w:tc>
        <w:tc>
          <w:tcPr>
            <w:tcW w:w="1500" w:type="dxa"/>
            <w:vAlign w:val="bottom"/>
            <w:gridSpan w:val="2"/>
          </w:tcPr>
          <w:p>
            <w:pPr>
              <w:jc w:val="center"/>
              <w:ind w:right="280"/>
              <w:spacing w:after="0" w:line="137" w:lineRule="exact"/>
              <w:rPr>
                <w:sz w:val="20"/>
                <w:szCs w:val="20"/>
                <w:color w:val="auto"/>
              </w:rPr>
            </w:pPr>
            <w:r>
              <w:rPr>
                <w:rFonts w:ascii="Arial" w:cs="Arial" w:eastAsia="Arial" w:hAnsi="Arial"/>
                <w:sz w:val="13"/>
                <w:szCs w:val="13"/>
                <w:color w:val="auto"/>
                <w:w w:val="98"/>
              </w:rPr>
              <w:t>for Identical</w:t>
            </w:r>
          </w:p>
        </w:tc>
        <w:tc>
          <w:tcPr>
            <w:tcW w:w="1480" w:type="dxa"/>
            <w:vAlign w:val="bottom"/>
            <w:gridSpan w:val="2"/>
          </w:tcPr>
          <w:p>
            <w:pPr>
              <w:jc w:val="center"/>
              <w:ind w:right="260"/>
              <w:spacing w:after="0" w:line="137" w:lineRule="exact"/>
              <w:rPr>
                <w:sz w:val="20"/>
                <w:szCs w:val="20"/>
                <w:color w:val="auto"/>
              </w:rPr>
            </w:pPr>
            <w:r>
              <w:rPr>
                <w:rFonts w:ascii="Arial" w:cs="Arial" w:eastAsia="Arial" w:hAnsi="Arial"/>
                <w:sz w:val="13"/>
                <w:szCs w:val="13"/>
                <w:color w:val="auto"/>
                <w:w w:val="95"/>
              </w:rPr>
              <w:t>Inputs</w:t>
            </w:r>
          </w:p>
        </w:tc>
        <w:tc>
          <w:tcPr>
            <w:tcW w:w="1400" w:type="dxa"/>
            <w:vAlign w:val="bottom"/>
            <w:gridSpan w:val="2"/>
          </w:tcPr>
          <w:p>
            <w:pPr>
              <w:jc w:val="center"/>
              <w:ind w:right="140"/>
              <w:spacing w:after="0" w:line="137" w:lineRule="exact"/>
              <w:rPr>
                <w:sz w:val="20"/>
                <w:szCs w:val="20"/>
                <w:color w:val="auto"/>
              </w:rPr>
            </w:pPr>
            <w:r>
              <w:rPr>
                <w:rFonts w:ascii="Arial" w:cs="Arial" w:eastAsia="Arial" w:hAnsi="Arial"/>
                <w:sz w:val="13"/>
                <w:szCs w:val="13"/>
                <w:color w:val="auto"/>
                <w:w w:val="95"/>
              </w:rPr>
              <w:t>Inputs</w:t>
            </w:r>
          </w:p>
        </w:tc>
        <w:tc>
          <w:tcPr>
            <w:tcW w:w="0" w:type="dxa"/>
            <w:vAlign w:val="bottom"/>
          </w:tcPr>
          <w:p>
            <w:pPr>
              <w:spacing w:after="0"/>
              <w:rPr>
                <w:sz w:val="1"/>
                <w:szCs w:val="1"/>
                <w:color w:val="auto"/>
              </w:rPr>
            </w:pPr>
          </w:p>
        </w:tc>
      </w:tr>
      <w:tr>
        <w:trPr>
          <w:trHeight w:val="153"/>
        </w:trPr>
        <w:tc>
          <w:tcPr>
            <w:tcW w:w="4600" w:type="dxa"/>
            <w:vAlign w:val="bottom"/>
            <w:gridSpan w:val="3"/>
          </w:tcPr>
          <w:p>
            <w:pPr>
              <w:spacing w:after="0"/>
              <w:rPr>
                <w:sz w:val="20"/>
                <w:szCs w:val="20"/>
                <w:color w:val="auto"/>
              </w:rPr>
            </w:pPr>
            <w:r>
              <w:rPr>
                <w:rFonts w:ascii="Arial" w:cs="Arial" w:eastAsia="Arial" w:hAnsi="Arial"/>
                <w:sz w:val="13"/>
                <w:szCs w:val="13"/>
                <w:color w:val="auto"/>
              </w:rPr>
              <w:t>Description</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2020</w:t>
            </w:r>
          </w:p>
        </w:tc>
        <w:tc>
          <w:tcPr>
            <w:tcW w:w="24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color w:val="auto"/>
                <w:w w:val="94"/>
              </w:rPr>
              <w:t>Assets (Level 1)</w:t>
            </w: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(Level 2)</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w w:val="96"/>
              </w:rPr>
              <w:t>RMB</w:t>
            </w:r>
          </w:p>
        </w:tc>
        <w:tc>
          <w:tcPr>
            <w:tcW w:w="24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RMB</w:t>
            </w:r>
          </w:p>
        </w:tc>
        <w:tc>
          <w:tcPr>
            <w:tcW w:w="24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RMB</w:t>
            </w:r>
          </w:p>
        </w:tc>
        <w:tc>
          <w:tcPr>
            <w:tcW w:w="22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Short-term investments</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gridSpan w:val="2"/>
          </w:tcPr>
          <w:p>
            <w:pPr>
              <w:ind w:left="220"/>
              <w:spacing w:after="0"/>
              <w:rPr>
                <w:sz w:val="20"/>
                <w:szCs w:val="20"/>
                <w:color w:val="auto"/>
              </w:rPr>
            </w:pPr>
            <w:r>
              <w:rPr>
                <w:rFonts w:ascii="Arial" w:cs="Arial" w:eastAsia="Arial" w:hAnsi="Arial"/>
                <w:sz w:val="17"/>
                <w:szCs w:val="17"/>
                <w:color w:val="auto"/>
              </w:rPr>
              <w:t>Variable-rate financial instruments</w:t>
            </w:r>
          </w:p>
        </w:tc>
        <w:tc>
          <w:tcPr>
            <w:tcW w:w="1260" w:type="dxa"/>
            <w:vAlign w:val="bottom"/>
          </w:tcPr>
          <w:p>
            <w:pPr>
              <w:jc w:val="right"/>
              <w:spacing w:after="0"/>
              <w:rPr>
                <w:sz w:val="20"/>
                <w:szCs w:val="20"/>
                <w:color w:val="auto"/>
              </w:rPr>
            </w:pPr>
            <w:r>
              <w:rPr>
                <w:rFonts w:ascii="Arial" w:cs="Arial" w:eastAsia="Arial" w:hAnsi="Arial"/>
                <w:sz w:val="17"/>
                <w:szCs w:val="17"/>
                <w:color w:val="auto"/>
              </w:rPr>
              <w:t>187,191</w:t>
            </w:r>
          </w:p>
        </w:tc>
        <w:tc>
          <w:tcPr>
            <w:tcW w:w="240" w:type="dxa"/>
            <w:vAlign w:val="bottom"/>
          </w:tcPr>
          <w:p>
            <w:pPr>
              <w:spacing w:after="0"/>
              <w:rPr>
                <w:sz w:val="18"/>
                <w:szCs w:val="18"/>
                <w:color w:val="auto"/>
              </w:rPr>
            </w:pPr>
          </w:p>
        </w:tc>
        <w:tc>
          <w:tcPr>
            <w:tcW w:w="150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187,191</w:t>
            </w:r>
          </w:p>
        </w:tc>
        <w:tc>
          <w:tcPr>
            <w:tcW w:w="220" w:type="dxa"/>
            <w:vAlign w:val="bottom"/>
          </w:tcPr>
          <w:p>
            <w:pPr>
              <w:spacing w:after="0"/>
              <w:rPr>
                <w:sz w:val="18"/>
                <w:szCs w:val="18"/>
                <w:color w:val="auto"/>
              </w:rPr>
            </w:pPr>
          </w:p>
        </w:tc>
        <w:tc>
          <w:tcPr>
            <w:tcW w:w="140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187,191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Arial" w:cs="Arial" w:eastAsia="Arial" w:hAnsi="Arial"/>
                <w:sz w:val="17"/>
                <w:szCs w:val="17"/>
                <w:color w:val="auto"/>
                <w:w w:val="93"/>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187,191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Arial" w:cs="Arial" w:eastAsia="Arial" w:hAnsi="Arial"/>
                <w:sz w:val="17"/>
                <w:szCs w:val="17"/>
                <w:color w:val="auto"/>
                <w:w w:val="93"/>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820"/>
        <w:spacing w:after="0"/>
        <w:rPr>
          <w:sz w:val="20"/>
          <w:szCs w:val="20"/>
          <w:color w:val="auto"/>
        </w:rPr>
      </w:pPr>
      <w:r>
        <w:rPr>
          <w:rFonts w:ascii="Arial" w:cs="Arial" w:eastAsia="Arial" w:hAnsi="Arial"/>
          <w:sz w:val="17"/>
          <w:szCs w:val="17"/>
          <w:b w:val="1"/>
          <w:bCs w:val="1"/>
          <w:i w:val="1"/>
          <w:iCs w:val="1"/>
          <w:color w:val="181717"/>
        </w:rPr>
        <w:t>Measured or disclosed at fair value on a non-recurring basis</w:t>
      </w:r>
    </w:p>
    <w:p>
      <w:pPr>
        <w:spacing w:after="0" w:line="116" w:lineRule="exact"/>
        <w:rPr>
          <w:sz w:val="20"/>
          <w:szCs w:val="20"/>
          <w:color w:val="auto"/>
        </w:rPr>
      </w:pPr>
    </w:p>
    <w:p>
      <w:pPr>
        <w:ind w:left="820" w:right="340"/>
        <w:spacing w:after="0" w:line="264" w:lineRule="auto"/>
        <w:rPr>
          <w:sz w:val="20"/>
          <w:szCs w:val="20"/>
          <w:color w:val="auto"/>
        </w:rPr>
      </w:pPr>
      <w:r>
        <w:rPr>
          <w:rFonts w:ascii="Arial" w:cs="Arial" w:eastAsia="Arial" w:hAnsi="Arial"/>
          <w:sz w:val="17"/>
          <w:szCs w:val="17"/>
          <w:color w:val="181717"/>
        </w:rPr>
        <w:t>The Group measures long-term investments at fair value on a nonrecurring basis whenever events or changes in circumstances indicate that the carrying value may no longer be recoverable. Refer to Note 9 for impairment on long-term investments.</w:t>
      </w:r>
    </w:p>
    <w:p>
      <w:pPr>
        <w:spacing w:after="0" w:line="164" w:lineRule="exact"/>
        <w:rPr>
          <w:sz w:val="20"/>
          <w:szCs w:val="20"/>
          <w:color w:val="auto"/>
        </w:rPr>
      </w:pPr>
    </w:p>
    <w:p>
      <w:pPr>
        <w:ind w:left="820" w:right="8400" w:hanging="800"/>
        <w:spacing w:after="0" w:line="447" w:lineRule="auto"/>
        <w:tabs>
          <w:tab w:leader="none" w:pos="81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INCENTIVE PLAN </w:t>
      </w:r>
      <w:r>
        <w:rPr>
          <w:rFonts w:ascii="Arial" w:cs="Arial" w:eastAsia="Arial" w:hAnsi="Arial"/>
          <w:sz w:val="16"/>
          <w:szCs w:val="16"/>
          <w:u w:val="single" w:color="auto"/>
          <w:color w:val="auto"/>
        </w:rPr>
        <w:t>2017 Share Incentive Plan</w:t>
      </w:r>
    </w:p>
    <w:p>
      <w:pPr>
        <w:spacing w:after="0" w:line="28" w:lineRule="exact"/>
        <w:rPr>
          <w:rFonts w:ascii="Arial" w:cs="Arial" w:eastAsia="Arial" w:hAnsi="Arial"/>
          <w:sz w:val="16"/>
          <w:szCs w:val="16"/>
          <w:b w:val="1"/>
          <w:bCs w:val="1"/>
          <w:color w:val="auto"/>
        </w:rPr>
      </w:pPr>
    </w:p>
    <w:p>
      <w:pPr>
        <w:ind w:left="820"/>
        <w:spacing w:after="0" w:line="254" w:lineRule="auto"/>
        <w:rPr>
          <w:rFonts w:ascii="Arial" w:cs="Arial" w:eastAsia="Arial" w:hAnsi="Arial"/>
          <w:sz w:val="16"/>
          <w:szCs w:val="16"/>
          <w:b w:val="1"/>
          <w:bCs w:val="1"/>
          <w:color w:val="auto"/>
        </w:rPr>
      </w:pPr>
      <w:r>
        <w:rPr>
          <w:rFonts w:ascii="Arial" w:cs="Arial" w:eastAsia="Arial" w:hAnsi="Arial"/>
          <w:sz w:val="17"/>
          <w:szCs w:val="17"/>
          <w:color w:val="auto"/>
        </w:rPr>
        <w:t xml:space="preserve">In October 2017, the shareholders of the Company approved the 2017 Share Incentive Plan (the “2017 ESOP”) under which the Company can grant a maximum of 483,846 </w:t>
      </w:r>
      <w:r>
        <w:rPr>
          <w:rFonts w:ascii="Arial" w:cs="Arial" w:eastAsia="Arial" w:hAnsi="Arial"/>
          <w:sz w:val="17"/>
          <w:szCs w:val="17"/>
          <w:color w:val="181717"/>
        </w:rPr>
        <w:t>ordinary shares. On August 24, 2018, the Company further approved an additional 345,503 ordinary shares for issuance, and therefore,</w:t>
      </w:r>
      <w:r>
        <w:rPr>
          <w:rFonts w:ascii="Arial" w:cs="Arial" w:eastAsia="Arial" w:hAnsi="Arial"/>
          <w:sz w:val="17"/>
          <w:szCs w:val="17"/>
          <w:color w:val="auto"/>
        </w:rPr>
        <w:t xml:space="preserve"> </w:t>
      </w:r>
      <w:r>
        <w:rPr>
          <w:rFonts w:ascii="Arial" w:cs="Arial" w:eastAsia="Arial" w:hAnsi="Arial"/>
          <w:sz w:val="17"/>
          <w:szCs w:val="17"/>
          <w:color w:val="181717"/>
        </w:rPr>
        <w:t>829,349 ordinary shares reserved for issuance under the 2017 ESOP.</w:t>
      </w:r>
    </w:p>
    <w:p>
      <w:pPr>
        <w:spacing w:after="0" w:line="176" w:lineRule="exact"/>
        <w:rPr>
          <w:rFonts w:ascii="Arial" w:cs="Arial" w:eastAsia="Arial" w:hAnsi="Arial"/>
          <w:sz w:val="16"/>
          <w:szCs w:val="16"/>
          <w:b w:val="1"/>
          <w:bCs w:val="1"/>
          <w:color w:val="auto"/>
        </w:rPr>
      </w:pPr>
    </w:p>
    <w:p>
      <w:pPr>
        <w:ind w:left="820"/>
        <w:spacing w:after="0"/>
        <w:rPr>
          <w:rFonts w:ascii="Arial" w:cs="Arial" w:eastAsia="Arial" w:hAnsi="Arial"/>
          <w:sz w:val="16"/>
          <w:szCs w:val="16"/>
          <w:b w:val="1"/>
          <w:bCs w:val="1"/>
          <w:color w:val="auto"/>
        </w:rPr>
      </w:pPr>
      <w:r>
        <w:rPr>
          <w:rFonts w:ascii="Arial" w:cs="Arial" w:eastAsia="Arial" w:hAnsi="Arial"/>
          <w:sz w:val="17"/>
          <w:szCs w:val="17"/>
          <w:u w:val="single" w:color="auto"/>
          <w:color w:val="181717"/>
        </w:rPr>
        <w:t>Options</w:t>
      </w:r>
    </w:p>
    <w:p>
      <w:pPr>
        <w:spacing w:after="0" w:line="240" w:lineRule="exact"/>
        <w:rPr>
          <w:rFonts w:ascii="Arial" w:cs="Arial" w:eastAsia="Arial" w:hAnsi="Arial"/>
          <w:sz w:val="16"/>
          <w:szCs w:val="16"/>
          <w:b w:val="1"/>
          <w:bCs w:val="1"/>
          <w:color w:val="auto"/>
        </w:rPr>
      </w:pPr>
    </w:p>
    <w:p>
      <w:pPr>
        <w:ind w:left="820"/>
        <w:spacing w:after="0"/>
        <w:rPr>
          <w:rFonts w:ascii="Arial" w:cs="Arial" w:eastAsia="Arial" w:hAnsi="Arial"/>
          <w:sz w:val="16"/>
          <w:szCs w:val="16"/>
          <w:b w:val="1"/>
          <w:bCs w:val="1"/>
          <w:color w:val="auto"/>
        </w:rPr>
      </w:pPr>
      <w:r>
        <w:rPr>
          <w:rFonts w:ascii="Arial" w:cs="Arial" w:eastAsia="Arial" w:hAnsi="Arial"/>
          <w:sz w:val="15"/>
          <w:szCs w:val="15"/>
          <w:color w:val="181717"/>
        </w:rPr>
        <w:t>No options were granted during the years ended December 31, 2018, 2019 and 2020. A summary of option activities during the year ended December 31,</w:t>
      </w:r>
    </w:p>
    <w:p>
      <w:pPr>
        <w:spacing w:after="0" w:line="39" w:lineRule="exact"/>
        <w:rPr>
          <w:rFonts w:ascii="Arial" w:cs="Arial" w:eastAsia="Arial" w:hAnsi="Arial"/>
          <w:sz w:val="16"/>
          <w:szCs w:val="16"/>
          <w:b w:val="1"/>
          <w:bCs w:val="1"/>
          <w:color w:val="auto"/>
        </w:rPr>
      </w:pPr>
    </w:p>
    <w:p>
      <w:pPr>
        <w:ind w:left="820"/>
        <w:spacing w:after="0"/>
        <w:rPr>
          <w:rFonts w:ascii="Arial" w:cs="Arial" w:eastAsia="Arial" w:hAnsi="Arial"/>
          <w:sz w:val="16"/>
          <w:szCs w:val="16"/>
          <w:b w:val="1"/>
          <w:bCs w:val="1"/>
          <w:color w:val="auto"/>
        </w:rPr>
      </w:pPr>
      <w:r>
        <w:rPr>
          <w:rFonts w:ascii="Arial" w:cs="Arial" w:eastAsia="Arial" w:hAnsi="Arial"/>
          <w:sz w:val="17"/>
          <w:szCs w:val="17"/>
          <w:color w:val="181717"/>
        </w:rPr>
        <w:t>2020 were presented below:</w:t>
      </w:r>
    </w:p>
    <w:p>
      <w:pPr>
        <w:spacing w:after="0" w:line="228"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Weighted-</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color w:val="auto"/>
                <w:w w:val="81"/>
              </w:rPr>
              <w:t>average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7"/>
                <w:szCs w:val="17"/>
                <w:color w:val="auto"/>
                <w:w w:val="87"/>
              </w:rPr>
              <w:t>Weighted-</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Weighted-</w:t>
            </w: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remaining</w:t>
            </w:r>
          </w:p>
        </w:tc>
        <w:tc>
          <w:tcPr>
            <w:tcW w:w="104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Aggregated</w:t>
            </w:r>
          </w:p>
        </w:tc>
        <w:tc>
          <w:tcPr>
            <w:tcW w:w="920" w:type="dxa"/>
            <w:vAlign w:val="bottom"/>
            <w:gridSpan w:val="2"/>
          </w:tcPr>
          <w:p>
            <w:pPr>
              <w:jc w:val="center"/>
              <w:ind w:right="80"/>
              <w:spacing w:after="0"/>
              <w:rPr>
                <w:sz w:val="20"/>
                <w:szCs w:val="20"/>
                <w:color w:val="auto"/>
              </w:rPr>
            </w:pPr>
            <w:r>
              <w:rPr>
                <w:rFonts w:ascii="Arial" w:cs="Arial" w:eastAsia="Arial" w:hAnsi="Arial"/>
                <w:sz w:val="17"/>
                <w:szCs w:val="17"/>
                <w:color w:val="auto"/>
                <w:w w:val="84"/>
              </w:rPr>
              <w:t>average</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Number of</w:t>
            </w:r>
          </w:p>
        </w:tc>
        <w:tc>
          <w:tcPr>
            <w:tcW w:w="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color w:val="auto"/>
                <w:w w:val="84"/>
              </w:rPr>
              <w:t>average</w:t>
            </w: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contractual</w:t>
            </w:r>
          </w:p>
        </w:tc>
        <w:tc>
          <w:tcPr>
            <w:tcW w:w="104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intrinsic</w:t>
            </w:r>
          </w:p>
        </w:tc>
        <w:tc>
          <w:tcPr>
            <w:tcW w:w="92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grant date</w:t>
            </w: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Arial" w:cs="Arial" w:eastAsia="Arial" w:hAnsi="Arial"/>
                <w:sz w:val="17"/>
                <w:szCs w:val="17"/>
                <w:color w:val="auto"/>
              </w:rPr>
              <w:t>Share options</w:t>
            </w:r>
          </w:p>
        </w:tc>
        <w:tc>
          <w:tcPr>
            <w:tcW w:w="1000" w:type="dxa"/>
            <w:vAlign w:val="bottom"/>
            <w:gridSpan w:val="2"/>
          </w:tcPr>
          <w:p>
            <w:pPr>
              <w:jc w:val="center"/>
              <w:ind w:right="140"/>
              <w:spacing w:after="0"/>
              <w:rPr>
                <w:sz w:val="20"/>
                <w:szCs w:val="20"/>
                <w:color w:val="auto"/>
              </w:rPr>
            </w:pPr>
            <w:r>
              <w:rPr>
                <w:rFonts w:ascii="Arial" w:cs="Arial" w:eastAsia="Arial" w:hAnsi="Arial"/>
                <w:sz w:val="17"/>
                <w:szCs w:val="17"/>
                <w:color w:val="auto"/>
                <w:w w:val="82"/>
              </w:rPr>
              <w:t>shares</w:t>
            </w:r>
          </w:p>
        </w:tc>
        <w:tc>
          <w:tcPr>
            <w:tcW w:w="1220" w:type="dxa"/>
            <w:vAlign w:val="bottom"/>
            <w:gridSpan w:val="3"/>
          </w:tcPr>
          <w:p>
            <w:pPr>
              <w:jc w:val="center"/>
              <w:ind w:right="140"/>
              <w:spacing w:after="0"/>
              <w:rPr>
                <w:sz w:val="20"/>
                <w:szCs w:val="20"/>
                <w:color w:val="auto"/>
              </w:rPr>
            </w:pPr>
            <w:r>
              <w:rPr>
                <w:rFonts w:ascii="Arial" w:cs="Arial" w:eastAsia="Arial" w:hAnsi="Arial"/>
                <w:sz w:val="17"/>
                <w:szCs w:val="17"/>
                <w:color w:val="auto"/>
                <w:w w:val="87"/>
              </w:rPr>
              <w:t>exercise price</w:t>
            </w: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term(years)</w:t>
            </w:r>
          </w:p>
        </w:tc>
        <w:tc>
          <w:tcPr>
            <w:tcW w:w="104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value</w:t>
            </w:r>
          </w:p>
        </w:tc>
        <w:tc>
          <w:tcPr>
            <w:tcW w:w="92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fair value</w:t>
            </w:r>
          </w:p>
        </w:tc>
        <w:tc>
          <w:tcPr>
            <w:tcW w:w="0" w:type="dxa"/>
            <w:vAlign w:val="bottom"/>
          </w:tcPr>
          <w:p>
            <w:pPr>
              <w:spacing w:after="0"/>
              <w:rPr>
                <w:sz w:val="1"/>
                <w:szCs w:val="1"/>
                <w:color w:val="auto"/>
              </w:rPr>
            </w:pPr>
          </w:p>
        </w:tc>
      </w:tr>
      <w:tr>
        <w:trPr>
          <w:trHeight w:val="204"/>
        </w:trPr>
        <w:tc>
          <w:tcPr>
            <w:tcW w:w="4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RMB</w:t>
            </w: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RMB</w:t>
            </w:r>
          </w:p>
        </w:tc>
        <w:tc>
          <w:tcPr>
            <w:tcW w:w="180" w:type="dxa"/>
            <w:vAlign w:val="bottom"/>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RMB</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Outstanding, December 31, 2019</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46,631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560.95</w:t>
            </w:r>
          </w:p>
        </w:tc>
        <w:tc>
          <w:tcPr>
            <w:tcW w:w="2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7.81</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7"/>
                <w:szCs w:val="17"/>
                <w:color w:val="auto"/>
                <w:w w:val="93"/>
              </w:rPr>
              <w:t>—</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271.90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7"/>
                <w:szCs w:val="17"/>
                <w:color w:val="auto"/>
              </w:rPr>
              <w:t>Forfeited</w:t>
            </w:r>
          </w:p>
        </w:tc>
        <w:tc>
          <w:tcPr>
            <w:tcW w:w="10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80" w:type="dxa"/>
            <w:vAlign w:val="bottom"/>
            <w:tcBorders>
              <w:bottom w:val="single" w:sz="8" w:color="CFF0FC"/>
            </w:tcBorders>
            <w:gridSpan w:val="2"/>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(7,406)</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560.95</w:t>
            </w:r>
          </w:p>
        </w:tc>
        <w:tc>
          <w:tcPr>
            <w:tcW w:w="200" w:type="dxa"/>
            <w:vAlign w:val="bottom"/>
            <w:tcBorders>
              <w:bottom w:val="single" w:sz="8" w:color="CFF0FC"/>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6"/>
                <w:szCs w:val="16"/>
                <w:color w:val="auto"/>
              </w:rPr>
            </w:pPr>
          </w:p>
        </w:tc>
        <w:tc>
          <w:tcPr>
            <w:tcW w:w="860" w:type="dxa"/>
            <w:vAlign w:val="bottom"/>
            <w:tcBorders>
              <w:top w:val="single" w:sz="8" w:color="auto"/>
              <w:bottom w:val="single" w:sz="8" w:color="auto"/>
            </w:tcBorders>
          </w:tcPr>
          <w:p>
            <w:pPr>
              <w:ind w:left="680"/>
              <w:spacing w:after="0" w:line="189" w:lineRule="exact"/>
              <w:rPr>
                <w:sz w:val="20"/>
                <w:szCs w:val="20"/>
                <w:color w:val="auto"/>
              </w:rPr>
            </w:pPr>
            <w:r>
              <w:rPr>
                <w:rFonts w:ascii="Arial" w:cs="Arial" w:eastAsia="Arial" w:hAnsi="Arial"/>
                <w:sz w:val="17"/>
                <w:szCs w:val="17"/>
                <w:color w:val="auto"/>
                <w:w w:val="93"/>
              </w:rPr>
              <w:t>—</w:t>
            </w:r>
          </w:p>
        </w:tc>
        <w:tc>
          <w:tcPr>
            <w:tcW w:w="180" w:type="dxa"/>
            <w:vAlign w:val="bottom"/>
            <w:tcBorders>
              <w:bottom w:val="single" w:sz="8" w:color="CFF0FC"/>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271.90</w:t>
            </w:r>
          </w:p>
        </w:tc>
        <w:tc>
          <w:tcPr>
            <w:tcW w:w="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Outstanding, December 31, 2020</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39,225</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560.95</w:t>
            </w:r>
          </w:p>
        </w:tc>
        <w:tc>
          <w:tcPr>
            <w:tcW w:w="2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6.81</w:t>
            </w:r>
          </w:p>
        </w:tc>
        <w:tc>
          <w:tcPr>
            <w:tcW w:w="1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7"/>
                <w:szCs w:val="17"/>
                <w:color w:val="auto"/>
                <w:w w:val="93"/>
              </w:rPr>
              <w:t>—</w:t>
            </w:r>
          </w:p>
        </w:tc>
        <w:tc>
          <w:tcPr>
            <w:tcW w:w="1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271.90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820"/>
        <w:spacing w:after="0"/>
        <w:rPr>
          <w:sz w:val="20"/>
          <w:szCs w:val="20"/>
          <w:color w:val="auto"/>
        </w:rPr>
      </w:pPr>
      <w:r>
        <w:rPr>
          <w:rFonts w:ascii="Arial" w:cs="Arial" w:eastAsia="Arial" w:hAnsi="Arial"/>
          <w:sz w:val="17"/>
          <w:szCs w:val="17"/>
          <w:u w:val="single" w:color="auto"/>
          <w:color w:val="auto"/>
        </w:rPr>
        <w:t>Non-vested Shares</w:t>
      </w:r>
    </w:p>
    <w:p>
      <w:pPr>
        <w:spacing w:after="0" w:line="228" w:lineRule="exact"/>
        <w:rPr>
          <w:sz w:val="20"/>
          <w:szCs w:val="20"/>
          <w:color w:val="auto"/>
        </w:rPr>
      </w:pPr>
    </w:p>
    <w:p>
      <w:pPr>
        <w:ind w:left="820" w:right="420"/>
        <w:spacing w:after="0" w:line="272" w:lineRule="auto"/>
        <w:rPr>
          <w:sz w:val="20"/>
          <w:szCs w:val="20"/>
          <w:color w:val="auto"/>
        </w:rPr>
      </w:pPr>
      <w:r>
        <w:rPr>
          <w:rFonts w:ascii="Arial" w:cs="Arial" w:eastAsia="Arial" w:hAnsi="Arial"/>
          <w:sz w:val="16"/>
          <w:szCs w:val="16"/>
          <w:color w:val="auto"/>
        </w:rPr>
        <w:t>On May 17, 2018, the Company’s Board of Directors approved to award certain independent directors for their services rendered for the year ended December 31, 2018. The awards were settled by issuing a variable number of the Company's shares valued at RMB1,100 and the share number is determined by dividing RMB1,100 by the average closing price during certain periods of time. The Group accounted for the awards to the independent directors as share-based compensation classified as liabilities for the year ended December 31, 2018.</w:t>
      </w:r>
    </w:p>
    <w:p>
      <w:pPr>
        <w:spacing w:after="0" w:line="162" w:lineRule="exact"/>
        <w:rPr>
          <w:sz w:val="20"/>
          <w:szCs w:val="20"/>
          <w:color w:val="auto"/>
        </w:rPr>
      </w:pPr>
    </w:p>
    <w:p>
      <w:pPr>
        <w:ind w:left="820" w:right="120"/>
        <w:spacing w:after="0" w:line="264" w:lineRule="auto"/>
        <w:rPr>
          <w:sz w:val="20"/>
          <w:szCs w:val="20"/>
          <w:color w:val="auto"/>
        </w:rPr>
      </w:pPr>
      <w:r>
        <w:rPr>
          <w:rFonts w:ascii="Arial" w:cs="Arial" w:eastAsia="Arial" w:hAnsi="Arial"/>
          <w:sz w:val="17"/>
          <w:szCs w:val="17"/>
          <w:color w:val="auto"/>
        </w:rPr>
        <w:t xml:space="preserve">On August 1, 2020, the Company granted 80,000 nonvested shares to two employees which were vested </w:t>
      </w:r>
      <w:r>
        <w:rPr>
          <w:rFonts w:ascii="Arial" w:cs="Arial" w:eastAsia="Arial" w:hAnsi="Arial"/>
          <w:sz w:val="17"/>
          <w:szCs w:val="17"/>
          <w:color w:val="181717"/>
        </w:rPr>
        <w:t>immediately</w:t>
      </w:r>
      <w:r>
        <w:rPr>
          <w:rFonts w:ascii="Arial" w:cs="Arial" w:eastAsia="Arial" w:hAnsi="Arial"/>
          <w:sz w:val="17"/>
          <w:szCs w:val="17"/>
          <w:color w:val="auto"/>
        </w:rPr>
        <w:t xml:space="preserve"> and a compensation expense of RMB 27,898 was recorded for the year ended December 31, 2020.</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hanging="780"/>
        <w:spacing w:after="0"/>
        <w:tabs>
          <w:tab w:leader="none" w:pos="80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INCENTIVE PLAN </w:t>
      </w:r>
      <w:r>
        <w:rPr>
          <w:rFonts w:ascii="Arial" w:cs="Arial" w:eastAsia="Arial" w:hAnsi="Arial"/>
          <w:sz w:val="17"/>
          <w:szCs w:val="17"/>
          <w:color w:val="auto"/>
        </w:rPr>
        <w:t>- continued</w:t>
      </w:r>
    </w:p>
    <w:p>
      <w:pPr>
        <w:spacing w:after="0" w:line="207" w:lineRule="exact"/>
        <w:rPr>
          <w:rFonts w:ascii="Arial" w:cs="Arial" w:eastAsia="Arial" w:hAnsi="Arial"/>
          <w:sz w:val="17"/>
          <w:szCs w:val="17"/>
          <w:b w:val="1"/>
          <w:bCs w:val="1"/>
          <w:color w:val="auto"/>
        </w:rPr>
      </w:pPr>
    </w:p>
    <w:p>
      <w:pPr>
        <w:ind w:left="820" w:right="3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Total share-based compensation expense of share-based awards granted to employees, certain directors and management recognized for the years ended December 31, 2018, 2019 and 2020 were as follows:</w:t>
      </w:r>
    </w:p>
    <w:p>
      <w:pPr>
        <w:spacing w:after="0" w:line="230" w:lineRule="exact"/>
        <w:rPr>
          <w:sz w:val="20"/>
          <w:szCs w:val="20"/>
          <w:color w:val="auto"/>
        </w:rPr>
      </w:pPr>
    </w:p>
    <w:tbl>
      <w:tblPr>
        <w:tblLayout w:type="fixed"/>
        <w:tblInd w:w="80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900" w:type="dxa"/>
            <w:vAlign w:val="bottom"/>
            <w:tcBorders>
              <w:bottom w:val="single" w:sz="8" w:color="auto"/>
            </w:tcBorders>
            <w:gridSpan w:val="5"/>
          </w:tcPr>
          <w:p>
            <w:pPr>
              <w:jc w:val="center"/>
              <w:ind w:left="797"/>
              <w:spacing w:after="0"/>
              <w:rPr>
                <w:sz w:val="20"/>
                <w:szCs w:val="20"/>
                <w:color w:val="auto"/>
              </w:rPr>
            </w:pPr>
            <w:r>
              <w:rPr>
                <w:rFonts w:ascii="Arial" w:cs="Arial" w:eastAsia="Arial" w:hAnsi="Arial"/>
                <w:sz w:val="17"/>
                <w:szCs w:val="17"/>
                <w:color w:val="auto"/>
                <w:w w:val="85"/>
              </w:rPr>
              <w:t>Years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5780" w:type="dxa"/>
            <w:vAlign w:val="bottom"/>
          </w:tcPr>
          <w:p>
            <w:pPr>
              <w:spacing w:after="0"/>
              <w:rPr>
                <w:sz w:val="17"/>
                <w:szCs w:val="17"/>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2019</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7"/>
                <w:szCs w:val="17"/>
                <w:color w:val="auto"/>
              </w:rPr>
            </w:pPr>
          </w:p>
        </w:tc>
      </w:tr>
      <w:tr>
        <w:trPr>
          <w:trHeight w:val="204"/>
        </w:trPr>
        <w:tc>
          <w:tcPr>
            <w:tcW w:w="5780" w:type="dxa"/>
            <w:vAlign w:val="bottom"/>
          </w:tcPr>
          <w:p>
            <w:pPr>
              <w:spacing w:after="0"/>
              <w:rPr>
                <w:sz w:val="17"/>
                <w:szCs w:val="17"/>
                <w:color w:val="auto"/>
              </w:rPr>
            </w:pPr>
          </w:p>
        </w:tc>
        <w:tc>
          <w:tcPr>
            <w:tcW w:w="1140" w:type="dxa"/>
            <w:vAlign w:val="bottom"/>
          </w:tcPr>
          <w:p>
            <w:pPr>
              <w:jc w:val="right"/>
              <w:ind w:right="317"/>
              <w:spacing w:after="0"/>
              <w:rPr>
                <w:sz w:val="20"/>
                <w:szCs w:val="20"/>
                <w:color w:val="auto"/>
              </w:rPr>
            </w:pPr>
            <w:r>
              <w:rPr>
                <w:rFonts w:ascii="Arial" w:cs="Arial" w:eastAsia="Arial" w:hAnsi="Arial"/>
                <w:sz w:val="17"/>
                <w:szCs w:val="17"/>
                <w:color w:val="auto"/>
              </w:rPr>
              <w:t>RMB</w:t>
            </w:r>
          </w:p>
        </w:tc>
        <w:tc>
          <w:tcPr>
            <w:tcW w:w="2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RMB</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17"/>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r>
      <w:tr>
        <w:trPr>
          <w:trHeight w:val="212"/>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FF0FC"/>
          </w:tcPr>
          <w:p>
            <w:pPr>
              <w:spacing w:after="0"/>
              <w:rPr>
                <w:sz w:val="18"/>
                <w:szCs w:val="18"/>
                <w:color w:val="auto"/>
              </w:rPr>
            </w:pPr>
          </w:p>
        </w:tc>
      </w:tr>
      <w:tr>
        <w:trPr>
          <w:trHeight w:val="212"/>
        </w:trPr>
        <w:tc>
          <w:tcPr>
            <w:tcW w:w="5780" w:type="dxa"/>
            <w:vAlign w:val="bottom"/>
          </w:tcPr>
          <w:p>
            <w:pPr>
              <w:spacing w:after="0"/>
              <w:rPr>
                <w:sz w:val="20"/>
                <w:szCs w:val="20"/>
                <w:color w:val="auto"/>
              </w:rPr>
            </w:pPr>
            <w:r>
              <w:rPr>
                <w:rFonts w:ascii="Arial" w:cs="Arial" w:eastAsia="Arial" w:hAnsi="Arial"/>
                <w:sz w:val="17"/>
                <w:szCs w:val="17"/>
                <w:color w:val="auto"/>
              </w:rPr>
              <w:t>Sales and marketing expenses</w:t>
            </w:r>
          </w:p>
        </w:tc>
        <w:tc>
          <w:tcPr>
            <w:tcW w:w="1140" w:type="dxa"/>
            <w:vAlign w:val="bottom"/>
          </w:tcPr>
          <w:p>
            <w:pPr>
              <w:jc w:val="right"/>
              <w:spacing w:after="0"/>
              <w:rPr>
                <w:sz w:val="20"/>
                <w:szCs w:val="20"/>
                <w:color w:val="auto"/>
              </w:rPr>
            </w:pPr>
            <w:r>
              <w:rPr>
                <w:rFonts w:ascii="Arial" w:cs="Arial" w:eastAsia="Arial" w:hAnsi="Arial"/>
                <w:sz w:val="17"/>
                <w:szCs w:val="17"/>
                <w:color w:val="auto"/>
              </w:rPr>
              <w:t>773</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14,278</w:t>
            </w:r>
          </w:p>
        </w:tc>
        <w:tc>
          <w:tcPr>
            <w:tcW w:w="100" w:type="dxa"/>
            <w:vAlign w:val="bottom"/>
          </w:tcPr>
          <w:p>
            <w:pPr>
              <w:spacing w:after="0"/>
              <w:rPr>
                <w:sz w:val="18"/>
                <w:szCs w:val="18"/>
                <w:color w:val="auto"/>
              </w:rPr>
            </w:pPr>
          </w:p>
        </w:tc>
      </w:tr>
      <w:tr>
        <w:trPr>
          <w:trHeight w:val="212"/>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 expenses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2,764</w:t>
            </w:r>
          </w:p>
        </w:tc>
        <w:tc>
          <w:tcPr>
            <w:tcW w:w="20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1,979</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15,324</w:t>
            </w:r>
          </w:p>
        </w:tc>
        <w:tc>
          <w:tcPr>
            <w:tcW w:w="100" w:type="dxa"/>
            <w:vAlign w:val="bottom"/>
            <w:shd w:val="clear" w:color="auto" w:fill="CFF0FC"/>
          </w:tcPr>
          <w:p>
            <w:pPr>
              <w:spacing w:after="0"/>
              <w:rPr>
                <w:sz w:val="18"/>
                <w:szCs w:val="18"/>
                <w:color w:val="auto"/>
              </w:rPr>
            </w:pPr>
          </w:p>
        </w:tc>
      </w:tr>
      <w:tr>
        <w:trPr>
          <w:trHeight w:val="204"/>
        </w:trPr>
        <w:tc>
          <w:tcPr>
            <w:tcW w:w="57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3,851</w:t>
            </w: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29,748</w:t>
            </w:r>
          </w:p>
        </w:tc>
        <w:tc>
          <w:tcPr>
            <w:tcW w:w="100" w:type="dxa"/>
            <w:vAlign w:val="bottom"/>
          </w:tcPr>
          <w:p>
            <w:pPr>
              <w:spacing w:after="0"/>
              <w:rPr>
                <w:sz w:val="17"/>
                <w:szCs w:val="17"/>
                <w:color w:val="auto"/>
              </w:rPr>
            </w:pPr>
          </w:p>
        </w:tc>
      </w:tr>
    </w:tbl>
    <w:p>
      <w:pPr>
        <w:spacing w:after="0" w:line="212" w:lineRule="exact"/>
        <w:rPr>
          <w:sz w:val="20"/>
          <w:szCs w:val="20"/>
          <w:color w:val="auto"/>
        </w:rPr>
      </w:pPr>
    </w:p>
    <w:p>
      <w:pPr>
        <w:ind w:left="820" w:right="620"/>
        <w:spacing w:after="0" w:line="264" w:lineRule="auto"/>
        <w:rPr>
          <w:sz w:val="20"/>
          <w:szCs w:val="20"/>
          <w:color w:val="auto"/>
        </w:rPr>
      </w:pPr>
      <w:r>
        <w:rPr>
          <w:rFonts w:ascii="Arial" w:cs="Arial" w:eastAsia="Arial" w:hAnsi="Arial"/>
          <w:sz w:val="17"/>
          <w:szCs w:val="17"/>
          <w:color w:val="auto"/>
        </w:rPr>
        <w:t>As of December 31, 2020, the unrecognized share-based compensation expenses related to share options were RMB3,264, which are expected to be recognized over a weighted average period of 1.2 years.</w:t>
      </w:r>
    </w:p>
    <w:p>
      <w:pPr>
        <w:spacing w:after="0" w:line="164" w:lineRule="exact"/>
        <w:rPr>
          <w:sz w:val="20"/>
          <w:szCs w:val="20"/>
          <w:color w:val="auto"/>
        </w:rPr>
      </w:pPr>
    </w:p>
    <w:p>
      <w:pPr>
        <w:ind w:left="820" w:right="9300" w:hanging="800"/>
        <w:spacing w:after="0" w:line="643" w:lineRule="auto"/>
        <w:tabs>
          <w:tab w:leader="none" w:pos="810" w:val="left"/>
        </w:tabs>
        <w:numPr>
          <w:ilvl w:val="0"/>
          <w:numId w:val="85"/>
        </w:numPr>
        <w:rPr>
          <w:rFonts w:ascii="Arial" w:cs="Arial" w:eastAsia="Arial" w:hAnsi="Arial"/>
          <w:sz w:val="13"/>
          <w:szCs w:val="13"/>
          <w:b w:val="1"/>
          <w:bCs w:val="1"/>
          <w:color w:val="181717"/>
        </w:rPr>
      </w:pPr>
      <w:r>
        <w:rPr>
          <w:rFonts w:ascii="Arial" w:cs="Arial" w:eastAsia="Arial" w:hAnsi="Arial"/>
          <w:sz w:val="13"/>
          <w:szCs w:val="13"/>
          <w:b w:val="1"/>
          <w:bCs w:val="1"/>
          <w:color w:val="181717"/>
        </w:rPr>
        <w:t xml:space="preserve">LEASES </w:t>
      </w:r>
      <w:r>
        <w:rPr>
          <w:rFonts w:ascii="Arial" w:cs="Arial" w:eastAsia="Arial" w:hAnsi="Arial"/>
          <w:sz w:val="13"/>
          <w:szCs w:val="13"/>
          <w:b w:val="1"/>
          <w:bCs w:val="1"/>
          <w:i w:val="1"/>
          <w:iCs w:val="1"/>
          <w:color w:val="181717"/>
        </w:rPr>
        <w:t>Operating leases</w:t>
      </w:r>
    </w:p>
    <w:p>
      <w:pPr>
        <w:ind w:left="820"/>
        <w:spacing w:after="0" w:line="272" w:lineRule="auto"/>
        <w:rPr>
          <w:rFonts w:ascii="Arial" w:cs="Arial" w:eastAsia="Arial" w:hAnsi="Arial"/>
          <w:sz w:val="13"/>
          <w:szCs w:val="13"/>
          <w:b w:val="1"/>
          <w:bCs w:val="1"/>
          <w:color w:val="181717"/>
        </w:rPr>
      </w:pPr>
      <w:r>
        <w:rPr>
          <w:rFonts w:ascii="Arial" w:cs="Arial" w:eastAsia="Arial" w:hAnsi="Arial"/>
          <w:sz w:val="16"/>
          <w:szCs w:val="16"/>
          <w:color w:val="181717"/>
        </w:rPr>
        <w:t>The Group's leases consist of operating leases for administrative office spaces and enrollment centers in different cities in the PRC. For leases with terms greater than 12 months, the Group records the related asset and lease liability at the present value of lease payments over the term. As of December 31, 2020, the Group did not have additional operating leases that have not yet commenced. As of December 31, 2020, the Group had no long-term leases that were classified as a financing lease. Short-term lease cost for the year ended December 31, 2020 was immaterial.</w:t>
      </w:r>
    </w:p>
    <w:p>
      <w:pPr>
        <w:spacing w:after="0" w:line="162" w:lineRule="exact"/>
        <w:rPr>
          <w:rFonts w:ascii="Arial" w:cs="Arial" w:eastAsia="Arial" w:hAnsi="Arial"/>
          <w:sz w:val="13"/>
          <w:szCs w:val="13"/>
          <w:b w:val="1"/>
          <w:bCs w:val="1"/>
          <w:color w:val="181717"/>
        </w:rPr>
      </w:pPr>
    </w:p>
    <w:p>
      <w:pPr>
        <w:ind w:left="820"/>
        <w:spacing w:after="0"/>
        <w:rPr>
          <w:rFonts w:ascii="Arial" w:cs="Arial" w:eastAsia="Arial" w:hAnsi="Arial"/>
          <w:sz w:val="13"/>
          <w:szCs w:val="13"/>
          <w:b w:val="1"/>
          <w:bCs w:val="1"/>
          <w:color w:val="181717"/>
        </w:rPr>
      </w:pPr>
      <w:r>
        <w:rPr>
          <w:rFonts w:ascii="Arial" w:cs="Arial" w:eastAsia="Arial" w:hAnsi="Arial"/>
          <w:sz w:val="16"/>
          <w:szCs w:val="16"/>
          <w:color w:val="181717"/>
        </w:rPr>
        <w:t>For the years ended December 31, 2019 and 2020, no variable lease cost was recognized in the consolidated financial statements of the Group.</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7"/>
                <w:szCs w:val="17"/>
                <w:color w:val="auto"/>
                <w:w w:val="84"/>
              </w:rPr>
              <w:t>Year ended</w:t>
            </w:r>
          </w:p>
        </w:tc>
        <w:tc>
          <w:tcPr>
            <w:tcW w:w="1580" w:type="dxa"/>
            <w:vAlign w:val="bottom"/>
            <w:gridSpan w:val="2"/>
          </w:tcPr>
          <w:p>
            <w:pPr>
              <w:jc w:val="center"/>
              <w:ind w:right="40"/>
              <w:spacing w:after="0"/>
              <w:rPr>
                <w:sz w:val="20"/>
                <w:szCs w:val="20"/>
                <w:color w:val="auto"/>
              </w:rPr>
            </w:pPr>
            <w:r>
              <w:rPr>
                <w:rFonts w:ascii="Arial" w:cs="Arial" w:eastAsia="Arial" w:hAnsi="Arial"/>
                <w:sz w:val="17"/>
                <w:szCs w:val="17"/>
                <w:color w:val="auto"/>
                <w:w w:val="84"/>
              </w:rPr>
              <w:t>Year ended</w:t>
            </w:r>
          </w:p>
        </w:tc>
        <w:tc>
          <w:tcPr>
            <w:tcW w:w="7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7"/>
                <w:szCs w:val="17"/>
                <w:color w:val="auto"/>
                <w:w w:val="88"/>
              </w:rPr>
              <w:t>December 31,</w:t>
            </w:r>
          </w:p>
        </w:tc>
        <w:tc>
          <w:tcPr>
            <w:tcW w:w="1580" w:type="dxa"/>
            <w:vAlign w:val="bottom"/>
            <w:gridSpan w:val="2"/>
          </w:tcPr>
          <w:p>
            <w:pPr>
              <w:jc w:val="center"/>
              <w:ind w:right="40"/>
              <w:spacing w:after="0"/>
              <w:rPr>
                <w:sz w:val="20"/>
                <w:szCs w:val="20"/>
                <w:color w:val="auto"/>
              </w:rPr>
            </w:pPr>
            <w:r>
              <w:rPr>
                <w:rFonts w:ascii="Arial" w:cs="Arial" w:eastAsia="Arial" w:hAnsi="Arial"/>
                <w:sz w:val="17"/>
                <w:szCs w:val="17"/>
                <w:color w:val="auto"/>
                <w:w w:val="88"/>
              </w:rPr>
              <w:t>December 31,</w:t>
            </w:r>
          </w:p>
        </w:tc>
        <w:tc>
          <w:tcPr>
            <w:tcW w:w="78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340" w:type="dxa"/>
            <w:vAlign w:val="bottom"/>
            <w:gridSpan w:val="2"/>
          </w:tcPr>
          <w:p>
            <w:pPr>
              <w:jc w:val="center"/>
              <w:ind w:left="1917"/>
              <w:spacing w:after="0"/>
              <w:rPr>
                <w:sz w:val="20"/>
                <w:szCs w:val="20"/>
                <w:color w:val="auto"/>
              </w:rPr>
            </w:pPr>
            <w:r>
              <w:rPr>
                <w:rFonts w:ascii="Arial" w:cs="Arial" w:eastAsia="Arial" w:hAnsi="Arial"/>
                <w:sz w:val="17"/>
                <w:szCs w:val="17"/>
                <w:color w:val="auto"/>
                <w:w w:val="89"/>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2020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7"/>
                <w:szCs w:val="17"/>
                <w:color w:val="auto"/>
              </w:rPr>
              <w:t>RMB</w:t>
            </w:r>
          </w:p>
        </w:tc>
        <w:tc>
          <w:tcPr>
            <w:tcW w:w="160" w:type="dxa"/>
            <w:vAlign w:val="bottom"/>
          </w:tcPr>
          <w:p>
            <w:pPr>
              <w:spacing w:after="0"/>
              <w:rPr>
                <w:sz w:val="17"/>
                <w:szCs w:val="17"/>
                <w:color w:val="auto"/>
              </w:rPr>
            </w:pPr>
          </w:p>
        </w:tc>
        <w:tc>
          <w:tcPr>
            <w:tcW w:w="158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7"/>
                <w:szCs w:val="17"/>
                <w:color w:val="auto"/>
              </w:rPr>
              <w:t>RMB</w:t>
            </w:r>
          </w:p>
        </w:tc>
        <w:tc>
          <w:tcPr>
            <w:tcW w:w="78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w w:val="98"/>
              </w:rPr>
              <w:t>Cash paid for amounts included in the measurement of lease liabilities:</w:t>
            </w:r>
          </w:p>
        </w:tc>
        <w:tc>
          <w:tcPr>
            <w:tcW w:w="19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3460" w:type="dxa"/>
            <w:vAlign w:val="bottom"/>
            <w:gridSpan w:val="3"/>
          </w:tcPr>
          <w:p>
            <w:pPr>
              <w:jc w:val="right"/>
              <w:ind w:right="20"/>
              <w:spacing w:after="0"/>
              <w:rPr>
                <w:sz w:val="20"/>
                <w:szCs w:val="20"/>
                <w:color w:val="auto"/>
              </w:rPr>
            </w:pPr>
            <w:r>
              <w:rPr>
                <w:rFonts w:ascii="Arial" w:cs="Arial" w:eastAsia="Arial" w:hAnsi="Arial"/>
                <w:sz w:val="17"/>
                <w:szCs w:val="17"/>
                <w:color w:val="auto"/>
              </w:rPr>
              <w:t>85,717</w:t>
            </w:r>
          </w:p>
        </w:tc>
        <w:tc>
          <w:tcPr>
            <w:tcW w:w="16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72,698</w:t>
            </w:r>
          </w:p>
        </w:tc>
        <w:tc>
          <w:tcPr>
            <w:tcW w:w="7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w w:val="89"/>
              </w:rPr>
              <w:t>Noncash changes in right-of-use assets from new lease obligations and lease</w:t>
            </w:r>
          </w:p>
        </w:tc>
        <w:tc>
          <w:tcPr>
            <w:tcW w:w="19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modification:</w:t>
            </w:r>
          </w:p>
        </w:tc>
        <w:tc>
          <w:tcPr>
            <w:tcW w:w="19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3460" w:type="dxa"/>
            <w:vAlign w:val="bottom"/>
            <w:gridSpan w:val="3"/>
          </w:tcPr>
          <w:p>
            <w:pPr>
              <w:jc w:val="right"/>
              <w:ind w:right="20"/>
              <w:spacing w:after="0"/>
              <w:rPr>
                <w:sz w:val="20"/>
                <w:szCs w:val="20"/>
                <w:color w:val="auto"/>
              </w:rPr>
            </w:pPr>
            <w:r>
              <w:rPr>
                <w:rFonts w:ascii="Arial" w:cs="Arial" w:eastAsia="Arial" w:hAnsi="Arial"/>
                <w:sz w:val="17"/>
                <w:szCs w:val="17"/>
                <w:color w:val="auto"/>
              </w:rPr>
              <w:t>126,099</w:t>
            </w:r>
          </w:p>
        </w:tc>
        <w:tc>
          <w:tcPr>
            <w:tcW w:w="16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(24,720)</w:t>
            </w: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remaining lease term</w:t>
            </w:r>
          </w:p>
        </w:tc>
        <w:tc>
          <w:tcPr>
            <w:tcW w:w="19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1900" w:type="dxa"/>
            <w:vAlign w:val="bottom"/>
          </w:tcPr>
          <w:p>
            <w:pPr>
              <w:spacing w:after="0"/>
              <w:rPr>
                <w:sz w:val="18"/>
                <w:szCs w:val="18"/>
                <w:color w:val="auto"/>
              </w:rPr>
            </w:pPr>
          </w:p>
        </w:tc>
        <w:tc>
          <w:tcPr>
            <w:tcW w:w="1720" w:type="dxa"/>
            <w:vAlign w:val="bottom"/>
            <w:gridSpan w:val="3"/>
          </w:tcPr>
          <w:p>
            <w:pPr>
              <w:ind w:left="860"/>
              <w:spacing w:after="0"/>
              <w:rPr>
                <w:sz w:val="20"/>
                <w:szCs w:val="20"/>
                <w:color w:val="auto"/>
              </w:rPr>
            </w:pPr>
            <w:r>
              <w:rPr>
                <w:rFonts w:ascii="Arial" w:cs="Arial" w:eastAsia="Arial" w:hAnsi="Arial"/>
                <w:sz w:val="17"/>
                <w:szCs w:val="17"/>
                <w:color w:val="auto"/>
              </w:rPr>
              <w:t>12.2 years</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12.0 years</w:t>
            </w: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discount rate</w:t>
            </w:r>
          </w:p>
        </w:tc>
        <w:tc>
          <w:tcPr>
            <w:tcW w:w="19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3460" w:type="dxa"/>
            <w:vAlign w:val="bottom"/>
            <w:gridSpan w:val="3"/>
          </w:tcPr>
          <w:p>
            <w:pPr>
              <w:jc w:val="right"/>
              <w:ind w:right="20"/>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7.4%</w:t>
            </w:r>
          </w:p>
        </w:tc>
        <w:tc>
          <w:tcPr>
            <w:tcW w:w="780" w:type="dxa"/>
            <w:vAlign w:val="bottom"/>
          </w:tcPr>
          <w:p>
            <w:pPr>
              <w:spacing w:after="0"/>
              <w:rPr>
                <w:sz w:val="18"/>
                <w:szCs w:val="18"/>
                <w:color w:val="auto"/>
              </w:rPr>
            </w:pPr>
          </w:p>
        </w:tc>
      </w:tr>
      <w:tr>
        <w:trPr>
          <w:trHeight w:val="424"/>
        </w:trPr>
        <w:tc>
          <w:tcPr>
            <w:tcW w:w="20" w:type="dxa"/>
            <w:vAlign w:val="bottom"/>
          </w:tcPr>
          <w:p>
            <w:pPr>
              <w:spacing w:after="0"/>
              <w:rPr>
                <w:sz w:val="24"/>
                <w:szCs w:val="24"/>
                <w:color w:val="auto"/>
              </w:rPr>
            </w:pPr>
          </w:p>
        </w:tc>
        <w:tc>
          <w:tcPr>
            <w:tcW w:w="8880" w:type="dxa"/>
            <w:vAlign w:val="bottom"/>
            <w:gridSpan w:val="5"/>
          </w:tcPr>
          <w:p>
            <w:pPr>
              <w:ind w:left="800"/>
              <w:spacing w:after="0"/>
              <w:rPr>
                <w:sz w:val="20"/>
                <w:szCs w:val="20"/>
                <w:color w:val="auto"/>
              </w:rPr>
            </w:pPr>
            <w:r>
              <w:rPr>
                <w:rFonts w:ascii="Arial" w:cs="Arial" w:eastAsia="Arial" w:hAnsi="Arial"/>
                <w:sz w:val="17"/>
                <w:szCs w:val="17"/>
                <w:color w:val="181717"/>
                <w:w w:val="90"/>
              </w:rPr>
              <w:t>The following is a maturity analysis of the annual undiscounted cash flows for lease liabilities as of December 31, 2020: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7"/>
                <w:szCs w:val="17"/>
                <w:color w:val="auto"/>
              </w:rPr>
              <w:t>RMB</w:t>
            </w:r>
          </w:p>
        </w:tc>
        <w:tc>
          <w:tcPr>
            <w:tcW w:w="7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19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29,800</w:t>
            </w: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2022</w:t>
            </w:r>
          </w:p>
        </w:tc>
        <w:tc>
          <w:tcPr>
            <w:tcW w:w="1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29,553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19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32,778</w:t>
            </w: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2024</w:t>
            </w:r>
          </w:p>
        </w:tc>
        <w:tc>
          <w:tcPr>
            <w:tcW w:w="1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37,343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19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43,538</w:t>
            </w: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2026 and thereafter</w:t>
            </w:r>
          </w:p>
        </w:tc>
        <w:tc>
          <w:tcPr>
            <w:tcW w:w="1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679,807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Total future lease payments</w:t>
            </w:r>
          </w:p>
        </w:tc>
        <w:tc>
          <w:tcPr>
            <w:tcW w:w="19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852,819</w:t>
            </w: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r>
      <w:tr>
        <w:trPr>
          <w:trHeight w:val="204"/>
        </w:trPr>
        <w:tc>
          <w:tcPr>
            <w:tcW w:w="5280" w:type="dxa"/>
            <w:vAlign w:val="bottom"/>
            <w:gridSpan w:val="2"/>
          </w:tcPr>
          <w:p>
            <w:pPr>
              <w:spacing w:after="0"/>
              <w:rPr>
                <w:sz w:val="20"/>
                <w:szCs w:val="20"/>
                <w:color w:val="auto"/>
              </w:rPr>
            </w:pPr>
            <w:r>
              <w:rPr>
                <w:rFonts w:ascii="Arial" w:cs="Arial" w:eastAsia="Arial" w:hAnsi="Arial"/>
                <w:sz w:val="17"/>
                <w:szCs w:val="17"/>
                <w:color w:val="auto"/>
              </w:rPr>
              <w:t>Less: Imputed interest</w:t>
            </w: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289,579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lease liability balance</w:t>
            </w:r>
          </w:p>
        </w:tc>
        <w:tc>
          <w:tcPr>
            <w:tcW w:w="190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563,240</w:t>
            </w:r>
          </w:p>
        </w:tc>
        <w:tc>
          <w:tcPr>
            <w:tcW w:w="100" w:type="dxa"/>
            <w:vAlign w:val="bottom"/>
            <w:tcBorders>
              <w:top w:val="single" w:sz="8" w:color="CFF0FC"/>
            </w:tcBorders>
            <w:shd w:val="clear" w:color="auto" w:fill="CFF0FC"/>
          </w:tcPr>
          <w:p>
            <w:pPr>
              <w:spacing w:after="0"/>
              <w:rPr>
                <w:sz w:val="17"/>
                <w:szCs w:val="17"/>
                <w:color w:val="auto"/>
              </w:rPr>
            </w:pPr>
          </w:p>
        </w:tc>
        <w:tc>
          <w:tcPr>
            <w:tcW w:w="780" w:type="dxa"/>
            <w:vAlign w:val="bottom"/>
          </w:tcPr>
          <w:p>
            <w:pPr>
              <w:spacing w:after="0"/>
              <w:rPr>
                <w:sz w:val="17"/>
                <w:szCs w:val="17"/>
                <w:color w:val="auto"/>
              </w:rPr>
            </w:pPr>
          </w:p>
        </w:tc>
      </w:tr>
      <w:tr>
        <w:trPr>
          <w:trHeight w:val="503"/>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620" w:type="dxa"/>
            <w:vAlign w:val="bottom"/>
            <w:gridSpan w:val="4"/>
          </w:tcPr>
          <w:p>
            <w:pPr>
              <w:ind w:left="200"/>
              <w:spacing w:after="0"/>
              <w:rPr>
                <w:sz w:val="20"/>
                <w:szCs w:val="20"/>
                <w:color w:val="auto"/>
              </w:rPr>
            </w:pPr>
            <w:r>
              <w:rPr>
                <w:rFonts w:ascii="Arial" w:cs="Arial" w:eastAsia="Arial" w:hAnsi="Arial"/>
                <w:sz w:val="17"/>
                <w:szCs w:val="17"/>
                <w:color w:val="181717"/>
              </w:rPr>
              <w:t>F-27</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52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-27940</wp:posOffset>
            </wp:positionV>
            <wp:extent cx="33020"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3302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right="8520" w:hanging="800"/>
        <w:spacing w:after="0" w:line="643" w:lineRule="auto"/>
        <w:tabs>
          <w:tab w:leader="none" w:pos="790" w:val="left"/>
        </w:tabs>
        <w:numPr>
          <w:ilvl w:val="0"/>
          <w:numId w:val="86"/>
        </w:numPr>
        <w:rPr>
          <w:rFonts w:ascii="Arial" w:cs="Arial" w:eastAsia="Arial" w:hAnsi="Arial"/>
          <w:sz w:val="13"/>
          <w:szCs w:val="13"/>
          <w:b w:val="1"/>
          <w:bCs w:val="1"/>
          <w:color w:val="181717"/>
        </w:rPr>
      </w:pPr>
      <w:r>
        <w:rPr>
          <w:rFonts w:ascii="Arial" w:cs="Arial" w:eastAsia="Arial" w:hAnsi="Arial"/>
          <w:sz w:val="13"/>
          <w:szCs w:val="13"/>
          <w:b w:val="1"/>
          <w:bCs w:val="1"/>
          <w:color w:val="181717"/>
        </w:rPr>
        <w:t xml:space="preserve">LEASES </w:t>
      </w:r>
      <w:r>
        <w:rPr>
          <w:rFonts w:ascii="Arial" w:cs="Arial" w:eastAsia="Arial" w:hAnsi="Arial"/>
          <w:sz w:val="13"/>
          <w:szCs w:val="13"/>
          <w:color w:val="181717"/>
        </w:rPr>
        <w:t>- continued</w:t>
      </w:r>
      <w:r>
        <w:rPr>
          <w:rFonts w:ascii="Arial" w:cs="Arial" w:eastAsia="Arial" w:hAnsi="Arial"/>
          <w:sz w:val="13"/>
          <w:szCs w:val="13"/>
          <w:b w:val="1"/>
          <w:bCs w:val="1"/>
          <w:color w:val="181717"/>
        </w:rPr>
        <w:t xml:space="preserve"> </w:t>
      </w:r>
      <w:r>
        <w:rPr>
          <w:rFonts w:ascii="Arial" w:cs="Arial" w:eastAsia="Arial" w:hAnsi="Arial"/>
          <w:sz w:val="13"/>
          <w:szCs w:val="13"/>
          <w:b w:val="1"/>
          <w:bCs w:val="1"/>
          <w:i w:val="1"/>
          <w:iCs w:val="1"/>
          <w:color w:val="181717"/>
        </w:rPr>
        <w:t xml:space="preserve">Operating leases </w:t>
      </w:r>
      <w:r>
        <w:rPr>
          <w:rFonts w:ascii="Arial" w:cs="Arial" w:eastAsia="Arial" w:hAnsi="Arial"/>
          <w:sz w:val="13"/>
          <w:szCs w:val="13"/>
          <w:i w:val="1"/>
          <w:iCs w:val="1"/>
          <w:color w:val="181717"/>
        </w:rPr>
        <w:t>- continued</w:t>
      </w:r>
    </w:p>
    <w:p>
      <w:pPr>
        <w:ind w:left="800"/>
        <w:spacing w:after="0" w:line="272" w:lineRule="auto"/>
        <w:rPr>
          <w:rFonts w:ascii="Arial" w:cs="Arial" w:eastAsia="Arial" w:hAnsi="Arial"/>
          <w:sz w:val="13"/>
          <w:szCs w:val="13"/>
          <w:b w:val="1"/>
          <w:bCs w:val="1"/>
          <w:color w:val="181717"/>
        </w:rPr>
      </w:pPr>
      <w:r>
        <w:rPr>
          <w:rFonts w:ascii="Arial" w:cs="Arial" w:eastAsia="Arial" w:hAnsi="Arial"/>
          <w:sz w:val="16"/>
          <w:szCs w:val="16"/>
          <w:color w:val="181717"/>
        </w:rPr>
        <w:t>Payments under operating leases are expensed on the straight-line basis over the periods of their respective leases. The terms of the leases do not contain rent escalation or contingent rents. For the years ended December 31, 2018, 2019 and 2020, the total rental expenses for all operating leases amounted to RMB107,331, RMB96,165 and RMB91,814, respectively, recorded in cost of revenues, selling expenses, research and development expenses and general and administrative expenses on the consolidated statements of operations.</w:t>
      </w:r>
    </w:p>
    <w:p>
      <w:pPr>
        <w:spacing w:after="0" w:line="158" w:lineRule="exact"/>
        <w:rPr>
          <w:rFonts w:ascii="Arial" w:cs="Arial" w:eastAsia="Arial" w:hAnsi="Arial"/>
          <w:sz w:val="13"/>
          <w:szCs w:val="13"/>
          <w:b w:val="1"/>
          <w:bCs w:val="1"/>
          <w:color w:val="181717"/>
        </w:rPr>
      </w:pPr>
    </w:p>
    <w:p>
      <w:pPr>
        <w:ind w:left="800" w:right="9180" w:hanging="800"/>
        <w:spacing w:after="0" w:line="408" w:lineRule="auto"/>
        <w:tabs>
          <w:tab w:leader="none" w:pos="790" w:val="left"/>
        </w:tabs>
        <w:numPr>
          <w:ilvl w:val="0"/>
          <w:numId w:val="86"/>
        </w:numPr>
        <w:rPr>
          <w:rFonts w:ascii="Arial" w:cs="Arial" w:eastAsia="Arial" w:hAnsi="Arial"/>
          <w:sz w:val="16"/>
          <w:szCs w:val="16"/>
          <w:b w:val="1"/>
          <w:bCs w:val="1"/>
          <w:color w:val="181717"/>
        </w:rPr>
      </w:pPr>
      <w:r>
        <w:rPr>
          <w:rFonts w:ascii="Arial" w:cs="Arial" w:eastAsia="Arial" w:hAnsi="Arial"/>
          <w:sz w:val="16"/>
          <w:szCs w:val="16"/>
          <w:b w:val="1"/>
          <w:bCs w:val="1"/>
          <w:color w:val="181717"/>
        </w:rPr>
        <w:t xml:space="preserve">INCOME TAXES </w:t>
      </w:r>
      <w:r>
        <w:rPr>
          <w:rFonts w:ascii="Arial" w:cs="Arial" w:eastAsia="Arial" w:hAnsi="Arial"/>
          <w:sz w:val="16"/>
          <w:szCs w:val="16"/>
          <w:b w:val="1"/>
          <w:bCs w:val="1"/>
          <w:i w:val="1"/>
          <w:iCs w:val="1"/>
          <w:color w:val="181717"/>
        </w:rPr>
        <w:t>Cayman Islands</w:t>
      </w:r>
    </w:p>
    <w:p>
      <w:pPr>
        <w:spacing w:after="0" w:line="1" w:lineRule="exact"/>
        <w:rPr>
          <w:rFonts w:ascii="Arial" w:cs="Arial" w:eastAsia="Arial" w:hAnsi="Arial"/>
          <w:sz w:val="16"/>
          <w:szCs w:val="16"/>
          <w:b w:val="1"/>
          <w:bCs w:val="1"/>
          <w:color w:val="181717"/>
        </w:rPr>
      </w:pPr>
    </w:p>
    <w:p>
      <w:pPr>
        <w:ind w:left="800" w:right="280"/>
        <w:spacing w:after="0" w:line="264" w:lineRule="auto"/>
        <w:rPr>
          <w:rFonts w:ascii="Arial" w:cs="Arial" w:eastAsia="Arial" w:hAnsi="Arial"/>
          <w:sz w:val="16"/>
          <w:szCs w:val="16"/>
          <w:b w:val="1"/>
          <w:bCs w:val="1"/>
          <w:color w:val="181717"/>
        </w:rPr>
      </w:pPr>
      <w:r>
        <w:rPr>
          <w:rFonts w:ascii="Arial" w:cs="Arial" w:eastAsia="Arial" w:hAnsi="Arial"/>
          <w:sz w:val="17"/>
          <w:szCs w:val="17"/>
          <w:color w:val="181717"/>
        </w:rPr>
        <w:t>Under current law of Cayman Islands, the Company is not subject to income or capital gains taxes. In addition, dividends payments are not subject to tax withholding in the Cayman Islands.</w:t>
      </w:r>
    </w:p>
    <w:p>
      <w:pPr>
        <w:spacing w:after="0" w:line="167" w:lineRule="exact"/>
        <w:rPr>
          <w:rFonts w:ascii="Arial" w:cs="Arial" w:eastAsia="Arial" w:hAnsi="Arial"/>
          <w:sz w:val="16"/>
          <w:szCs w:val="16"/>
          <w:b w:val="1"/>
          <w:bCs w:val="1"/>
          <w:color w:val="181717"/>
        </w:rPr>
      </w:pPr>
    </w:p>
    <w:p>
      <w:pPr>
        <w:ind w:left="800"/>
        <w:spacing w:after="0"/>
        <w:rPr>
          <w:rFonts w:ascii="Arial" w:cs="Arial" w:eastAsia="Arial" w:hAnsi="Arial"/>
          <w:sz w:val="16"/>
          <w:szCs w:val="16"/>
          <w:b w:val="1"/>
          <w:bCs w:val="1"/>
          <w:color w:val="181717"/>
        </w:rPr>
      </w:pPr>
      <w:r>
        <w:rPr>
          <w:rFonts w:ascii="Arial" w:cs="Arial" w:eastAsia="Arial" w:hAnsi="Arial"/>
          <w:sz w:val="17"/>
          <w:szCs w:val="17"/>
          <w:b w:val="1"/>
          <w:bCs w:val="1"/>
          <w:i w:val="1"/>
          <w:iCs w:val="1"/>
          <w:color w:val="181717"/>
        </w:rPr>
        <w:t>Hong Kong</w:t>
      </w:r>
    </w:p>
    <w:p>
      <w:pPr>
        <w:spacing w:after="0" w:line="228" w:lineRule="exact"/>
        <w:rPr>
          <w:rFonts w:ascii="Arial" w:cs="Arial" w:eastAsia="Arial" w:hAnsi="Arial"/>
          <w:sz w:val="16"/>
          <w:szCs w:val="16"/>
          <w:b w:val="1"/>
          <w:bCs w:val="1"/>
          <w:color w:val="181717"/>
        </w:rPr>
      </w:pPr>
    </w:p>
    <w:p>
      <w:pPr>
        <w:ind w:left="800"/>
        <w:spacing w:after="0" w:line="251" w:lineRule="auto"/>
        <w:rPr>
          <w:rFonts w:ascii="Arial" w:cs="Arial" w:eastAsia="Arial" w:hAnsi="Arial"/>
          <w:sz w:val="16"/>
          <w:szCs w:val="16"/>
          <w:b w:val="1"/>
          <w:bCs w:val="1"/>
          <w:color w:val="181717"/>
        </w:rPr>
      </w:pPr>
      <w:r>
        <w:rPr>
          <w:rFonts w:ascii="Arial" w:cs="Arial" w:eastAsia="Arial" w:hAnsi="Arial"/>
          <w:sz w:val="17"/>
          <w:szCs w:val="17"/>
          <w:color w:val="181717"/>
        </w:rPr>
        <w:t>The Company’s subsidiary, Sunlands HK is located in Hong Kong and is subject to a two-tiered income tax rate for taxable income earned in Hong Kong with effect from April 1, 2018. The first HK$2 million of profits earned by Sunlands HK will be taxed at 8.25%, while the remaining profits will continue to be taxed at the existing 16.5% tax rate. No provision for Hong Kong profits tax has been made in the consolidated financial statements as it has no assessable income for the years ended December 31, 2018, 2019 and 2020.</w:t>
      </w:r>
    </w:p>
    <w:p>
      <w:pPr>
        <w:spacing w:after="0" w:line="203" w:lineRule="exact"/>
        <w:rPr>
          <w:rFonts w:ascii="Arial" w:cs="Arial" w:eastAsia="Arial" w:hAnsi="Arial"/>
          <w:sz w:val="16"/>
          <w:szCs w:val="16"/>
          <w:b w:val="1"/>
          <w:bCs w:val="1"/>
          <w:color w:val="181717"/>
        </w:rPr>
      </w:pPr>
    </w:p>
    <w:p>
      <w:pPr>
        <w:ind w:left="800"/>
        <w:spacing w:after="0"/>
        <w:rPr>
          <w:rFonts w:ascii="Arial" w:cs="Arial" w:eastAsia="Arial" w:hAnsi="Arial"/>
          <w:sz w:val="16"/>
          <w:szCs w:val="16"/>
          <w:b w:val="1"/>
          <w:bCs w:val="1"/>
          <w:color w:val="181717"/>
        </w:rPr>
      </w:pPr>
      <w:r>
        <w:rPr>
          <w:rFonts w:ascii="Arial" w:cs="Arial" w:eastAsia="Arial" w:hAnsi="Arial"/>
          <w:sz w:val="17"/>
          <w:szCs w:val="17"/>
          <w:b w:val="1"/>
          <w:bCs w:val="1"/>
          <w:i w:val="1"/>
          <w:iCs w:val="1"/>
          <w:color w:val="181717"/>
        </w:rPr>
        <w:t>China</w:t>
      </w:r>
    </w:p>
    <w:p>
      <w:pPr>
        <w:spacing w:after="0" w:line="203" w:lineRule="exact"/>
        <w:rPr>
          <w:rFonts w:ascii="Arial" w:cs="Arial" w:eastAsia="Arial" w:hAnsi="Arial"/>
          <w:sz w:val="16"/>
          <w:szCs w:val="16"/>
          <w:b w:val="1"/>
          <w:bCs w:val="1"/>
          <w:color w:val="181717"/>
        </w:rPr>
      </w:pPr>
    </w:p>
    <w:p>
      <w:pPr>
        <w:ind w:left="800"/>
        <w:spacing w:after="0"/>
        <w:rPr>
          <w:rFonts w:ascii="Arial" w:cs="Arial" w:eastAsia="Arial" w:hAnsi="Arial"/>
          <w:sz w:val="16"/>
          <w:szCs w:val="16"/>
          <w:b w:val="1"/>
          <w:bCs w:val="1"/>
          <w:color w:val="181717"/>
        </w:rPr>
      </w:pPr>
      <w:r>
        <w:rPr>
          <w:rFonts w:ascii="Arial" w:cs="Arial" w:eastAsia="Arial" w:hAnsi="Arial"/>
          <w:sz w:val="16"/>
          <w:szCs w:val="16"/>
          <w:color w:val="181717"/>
        </w:rPr>
        <w:t>The Group’s subsidiaries, VIEs and VIEs’ subsidiaries incorporated in the PRC were generally subject to a corporate income tax rate of 25%.</w:t>
      </w:r>
    </w:p>
    <w:p>
      <w:pPr>
        <w:spacing w:after="0" w:line="214" w:lineRule="exact"/>
        <w:rPr>
          <w:rFonts w:ascii="Arial" w:cs="Arial" w:eastAsia="Arial" w:hAnsi="Arial"/>
          <w:sz w:val="16"/>
          <w:szCs w:val="16"/>
          <w:b w:val="1"/>
          <w:bCs w:val="1"/>
          <w:color w:val="181717"/>
        </w:rPr>
      </w:pPr>
    </w:p>
    <w:p>
      <w:pPr>
        <w:ind w:left="800" w:right="520"/>
        <w:spacing w:after="0" w:line="264" w:lineRule="auto"/>
        <w:rPr>
          <w:rFonts w:ascii="Arial" w:cs="Arial" w:eastAsia="Arial" w:hAnsi="Arial"/>
          <w:sz w:val="16"/>
          <w:szCs w:val="16"/>
          <w:b w:val="1"/>
          <w:bCs w:val="1"/>
          <w:color w:val="181717"/>
        </w:rPr>
      </w:pPr>
      <w:r>
        <w:rPr>
          <w:rFonts w:ascii="Arial" w:cs="Arial" w:eastAsia="Arial" w:hAnsi="Arial"/>
          <w:sz w:val="17"/>
          <w:szCs w:val="17"/>
          <w:color w:val="181717"/>
        </w:rPr>
        <w:t>The Enterprise Income Tax Law (the “EIT Law”) of the PRC, effective since January 1, 2008, applies a uniform 25% enterprise income tax rate to all resident enterprises in China, including foreign invested enterprises.</w:t>
      </w:r>
    </w:p>
    <w:p>
      <w:pPr>
        <w:spacing w:after="0" w:line="192" w:lineRule="exact"/>
        <w:rPr>
          <w:rFonts w:ascii="Arial" w:cs="Arial" w:eastAsia="Arial" w:hAnsi="Arial"/>
          <w:sz w:val="16"/>
          <w:szCs w:val="16"/>
          <w:b w:val="1"/>
          <w:bCs w:val="1"/>
          <w:color w:val="181717"/>
        </w:rPr>
      </w:pPr>
    </w:p>
    <w:p>
      <w:pPr>
        <w:ind w:left="800" w:right="100"/>
        <w:spacing w:after="0" w:line="270" w:lineRule="auto"/>
        <w:rPr>
          <w:rFonts w:ascii="Arial" w:cs="Arial" w:eastAsia="Arial" w:hAnsi="Arial"/>
          <w:sz w:val="16"/>
          <w:szCs w:val="16"/>
          <w:b w:val="1"/>
          <w:bCs w:val="1"/>
          <w:color w:val="181717"/>
        </w:rPr>
      </w:pPr>
      <w:r>
        <w:rPr>
          <w:rFonts w:ascii="Arial" w:cs="Arial" w:eastAsia="Arial" w:hAnsi="Arial"/>
          <w:sz w:val="17"/>
          <w:szCs w:val="17"/>
          <w:color w:val="181717"/>
        </w:rPr>
        <w:t>Beijing Sunlands was qualified as “high and new technology enterprise strongly supported by the State” (“HNTE”) and was accordingly entitled to a preferential tax rate of 15% from calendar years 2016 through 2021 and is expected to be subject to an EIT rate of 15% as long as it maintains its status as a HNTE.</w:t>
      </w:r>
    </w:p>
    <w:p>
      <w:pPr>
        <w:spacing w:after="0" w:line="125" w:lineRule="exact"/>
        <w:rPr>
          <w:rFonts w:ascii="Arial" w:cs="Arial" w:eastAsia="Arial" w:hAnsi="Arial"/>
          <w:sz w:val="16"/>
          <w:szCs w:val="16"/>
          <w:b w:val="1"/>
          <w:bCs w:val="1"/>
          <w:color w:val="181717"/>
        </w:rPr>
      </w:pPr>
    </w:p>
    <w:p>
      <w:pPr>
        <w:ind w:left="800"/>
        <w:spacing w:after="0"/>
        <w:rPr>
          <w:rFonts w:ascii="Arial" w:cs="Arial" w:eastAsia="Arial" w:hAnsi="Arial"/>
          <w:sz w:val="16"/>
          <w:szCs w:val="16"/>
          <w:b w:val="1"/>
          <w:bCs w:val="1"/>
          <w:color w:val="181717"/>
        </w:rPr>
      </w:pPr>
      <w:r>
        <w:rPr>
          <w:rFonts w:ascii="Arial" w:cs="Arial" w:eastAsia="Arial" w:hAnsi="Arial"/>
          <w:sz w:val="17"/>
          <w:szCs w:val="17"/>
          <w:color w:val="181717"/>
        </w:rPr>
        <w:t>The reconciliation of the effective tax rate and the statutory income tax rate applicable to PRC operations was as follows:</w:t>
      </w:r>
    </w:p>
    <w:p>
      <w:pPr>
        <w:spacing w:after="0" w:line="228"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2920" w:type="dxa"/>
            <w:vAlign w:val="bottom"/>
            <w:tcBorders>
              <w:bottom w:val="single" w:sz="8" w:color="auto"/>
            </w:tcBorders>
            <w:gridSpan w:val="5"/>
          </w:tcPr>
          <w:p>
            <w:pPr>
              <w:jc w:val="center"/>
              <w:ind w:left="777"/>
              <w:spacing w:after="0"/>
              <w:rPr>
                <w:sz w:val="20"/>
                <w:szCs w:val="20"/>
                <w:color w:val="auto"/>
              </w:rPr>
            </w:pPr>
            <w:r>
              <w:rPr>
                <w:rFonts w:ascii="Arial" w:cs="Arial" w:eastAsia="Arial" w:hAnsi="Arial"/>
                <w:sz w:val="17"/>
                <w:szCs w:val="17"/>
                <w:color w:val="auto"/>
                <w:w w:val="85"/>
              </w:rPr>
              <w:t>Years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5760" w:type="dxa"/>
            <w:vAlign w:val="bottom"/>
          </w:tcPr>
          <w:p>
            <w:pPr>
              <w:spacing w:after="0"/>
              <w:rPr>
                <w:sz w:val="17"/>
                <w:szCs w:val="17"/>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2019</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7"/>
                <w:szCs w:val="17"/>
                <w:color w:val="auto"/>
              </w:rPr>
            </w:pPr>
          </w:p>
        </w:tc>
      </w:tr>
      <w:tr>
        <w:trPr>
          <w:trHeight w:val="204"/>
        </w:trPr>
        <w:tc>
          <w:tcPr>
            <w:tcW w:w="5760" w:type="dxa"/>
            <w:vAlign w:val="bottom"/>
          </w:tcPr>
          <w:p>
            <w:pPr>
              <w:spacing w:after="0"/>
              <w:rPr>
                <w:sz w:val="17"/>
                <w:szCs w:val="17"/>
                <w:color w:val="auto"/>
              </w:rPr>
            </w:pPr>
          </w:p>
        </w:tc>
        <w:tc>
          <w:tcPr>
            <w:tcW w:w="1140" w:type="dxa"/>
            <w:vAlign w:val="bottom"/>
          </w:tcPr>
          <w:p>
            <w:pPr>
              <w:jc w:val="right"/>
              <w:ind w:right="317"/>
              <w:spacing w:after="0"/>
              <w:rPr>
                <w:sz w:val="20"/>
                <w:szCs w:val="20"/>
                <w:color w:val="auto"/>
              </w:rPr>
            </w:pPr>
            <w:r>
              <w:rPr>
                <w:rFonts w:ascii="Arial" w:cs="Arial" w:eastAsia="Arial" w:hAnsi="Arial"/>
                <w:sz w:val="17"/>
                <w:szCs w:val="17"/>
                <w:color w:val="auto"/>
              </w:rPr>
              <w:t>RMB</w:t>
            </w:r>
          </w:p>
        </w:tc>
        <w:tc>
          <w:tcPr>
            <w:tcW w:w="2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RMB</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7"/>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r>
      <w:tr>
        <w:trPr>
          <w:trHeight w:val="212"/>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Loss before income tax expenses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(928,660)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(392,589)</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(432,573)</w:t>
            </w:r>
          </w:p>
        </w:tc>
      </w:tr>
      <w:tr>
        <w:trPr>
          <w:trHeight w:val="199"/>
        </w:trPr>
        <w:tc>
          <w:tcPr>
            <w:tcW w:w="5760" w:type="dxa"/>
            <w:vAlign w:val="bottom"/>
          </w:tcPr>
          <w:p>
            <w:pPr>
              <w:spacing w:after="0"/>
              <w:rPr>
                <w:sz w:val="20"/>
                <w:szCs w:val="20"/>
                <w:color w:val="auto"/>
              </w:rPr>
            </w:pPr>
            <w:r>
              <w:rPr>
                <w:rFonts w:ascii="Arial" w:cs="Arial" w:eastAsia="Arial" w:hAnsi="Arial"/>
                <w:sz w:val="17"/>
                <w:szCs w:val="17"/>
                <w:color w:val="auto"/>
              </w:rPr>
              <w:t>Income tax expenses computed at</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5760" w:type="dxa"/>
            <w:vAlign w:val="bottom"/>
          </w:tcPr>
          <w:p>
            <w:pPr>
              <w:ind w:left="120"/>
              <w:spacing w:after="0"/>
              <w:rPr>
                <w:sz w:val="20"/>
                <w:szCs w:val="20"/>
                <w:color w:val="auto"/>
              </w:rPr>
            </w:pPr>
            <w:r>
              <w:rPr>
                <w:rFonts w:ascii="Arial" w:cs="Arial" w:eastAsia="Arial" w:hAnsi="Arial"/>
                <w:sz w:val="17"/>
                <w:szCs w:val="17"/>
                <w:color w:val="auto"/>
              </w:rPr>
              <w:t>applicable tax rates of 25%</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(232,165)</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(98,147)</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(108,143)</w:t>
            </w:r>
          </w:p>
        </w:tc>
      </w:tr>
      <w:tr>
        <w:trPr>
          <w:trHeight w:val="212"/>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Non-deductible and super deduction expenses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(8,013)</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(40,711)</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FF0FC"/>
          </w:tcPr>
          <w:p>
            <w:pPr>
              <w:spacing w:after="0"/>
              <w:rPr>
                <w:sz w:val="18"/>
                <w:szCs w:val="18"/>
                <w:color w:val="auto"/>
              </w:rPr>
            </w:pPr>
          </w:p>
        </w:tc>
      </w:tr>
      <w:tr>
        <w:trPr>
          <w:trHeight w:val="212"/>
        </w:trPr>
        <w:tc>
          <w:tcPr>
            <w:tcW w:w="5760" w:type="dxa"/>
            <w:vAlign w:val="bottom"/>
          </w:tcPr>
          <w:p>
            <w:pPr>
              <w:spacing w:after="0"/>
              <w:rPr>
                <w:sz w:val="20"/>
                <w:szCs w:val="20"/>
                <w:color w:val="auto"/>
              </w:rPr>
            </w:pPr>
            <w:r>
              <w:rPr>
                <w:rFonts w:ascii="Arial" w:cs="Arial" w:eastAsia="Arial" w:hAnsi="Arial"/>
                <w:sz w:val="17"/>
                <w:szCs w:val="17"/>
                <w:color w:val="auto"/>
              </w:rPr>
              <w:t>Effect of tax holidays and tax rate difference</w:t>
            </w:r>
          </w:p>
        </w:tc>
        <w:tc>
          <w:tcPr>
            <w:tcW w:w="1140" w:type="dxa"/>
            <w:vAlign w:val="bottom"/>
          </w:tcPr>
          <w:p>
            <w:pPr>
              <w:jc w:val="right"/>
              <w:spacing w:after="0"/>
              <w:rPr>
                <w:sz w:val="20"/>
                <w:szCs w:val="20"/>
                <w:color w:val="auto"/>
              </w:rPr>
            </w:pPr>
            <w:r>
              <w:rPr>
                <w:rFonts w:ascii="Arial" w:cs="Arial" w:eastAsia="Arial" w:hAnsi="Arial"/>
                <w:sz w:val="17"/>
                <w:szCs w:val="17"/>
                <w:color w:val="auto"/>
              </w:rPr>
              <w:t>64,029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22,595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52,027</w:t>
            </w:r>
          </w:p>
        </w:tc>
        <w:tc>
          <w:tcPr>
            <w:tcW w:w="100" w:type="dxa"/>
            <w:vAlign w:val="bottom"/>
          </w:tcPr>
          <w:p>
            <w:pPr>
              <w:spacing w:after="0"/>
              <w:rPr>
                <w:sz w:val="18"/>
                <w:szCs w:val="18"/>
                <w:color w:val="auto"/>
              </w:rPr>
            </w:pPr>
          </w:p>
        </w:tc>
      </w:tr>
      <w:tr>
        <w:trPr>
          <w:trHeight w:val="212"/>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Change in valuation allowance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176,149</w:t>
            </w:r>
          </w:p>
        </w:tc>
        <w:tc>
          <w:tcPr>
            <w:tcW w:w="20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118,703</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55,111</w:t>
            </w:r>
          </w:p>
        </w:tc>
        <w:tc>
          <w:tcPr>
            <w:tcW w:w="100" w:type="dxa"/>
            <w:vAlign w:val="bottom"/>
            <w:shd w:val="clear" w:color="auto" w:fill="CFF0FC"/>
          </w:tcPr>
          <w:p>
            <w:pPr>
              <w:spacing w:after="0"/>
              <w:rPr>
                <w:sz w:val="18"/>
                <w:szCs w:val="18"/>
                <w:color w:val="auto"/>
              </w:rPr>
            </w:pPr>
          </w:p>
        </w:tc>
      </w:tr>
      <w:tr>
        <w:trPr>
          <w:trHeight w:val="204"/>
        </w:trPr>
        <w:tc>
          <w:tcPr>
            <w:tcW w:w="5760" w:type="dxa"/>
            <w:vAlign w:val="bottom"/>
          </w:tcPr>
          <w:p>
            <w:pPr>
              <w:spacing w:after="0"/>
              <w:rPr>
                <w:sz w:val="20"/>
                <w:szCs w:val="20"/>
                <w:color w:val="auto"/>
              </w:rPr>
            </w:pPr>
            <w:r>
              <w:rPr>
                <w:rFonts w:ascii="Arial" w:cs="Arial" w:eastAsia="Arial" w:hAnsi="Arial"/>
                <w:sz w:val="17"/>
                <w:szCs w:val="17"/>
                <w:color w:val="auto"/>
              </w:rPr>
              <w:t>Income tax expenses/(benefit)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7"/>
                <w:szCs w:val="17"/>
                <w:color w:val="auto"/>
              </w:rPr>
            </w:pPr>
          </w:p>
        </w:tc>
      </w:tr>
    </w:tbl>
    <w:p>
      <w:pPr>
        <w:spacing w:after="0" w:line="174" w:lineRule="exact"/>
        <w:rPr>
          <w:sz w:val="20"/>
          <w:szCs w:val="20"/>
          <w:color w:val="auto"/>
        </w:rPr>
      </w:pPr>
    </w:p>
    <w:p>
      <w:pPr>
        <w:ind w:left="800" w:right="220"/>
        <w:spacing w:after="0" w:line="296" w:lineRule="auto"/>
        <w:rPr>
          <w:sz w:val="20"/>
          <w:szCs w:val="20"/>
          <w:color w:val="auto"/>
        </w:rPr>
      </w:pPr>
      <w:r>
        <w:rPr>
          <w:rFonts w:ascii="Arial" w:cs="Arial" w:eastAsia="Arial" w:hAnsi="Arial"/>
          <w:sz w:val="16"/>
          <w:szCs w:val="16"/>
          <w:color w:val="181717"/>
        </w:rPr>
        <w:t>If the tax holidays granted to Beijing Sunlands were not available, the Group’s income tax expenses would have been nil, which would have no impact on the basic and diluted net loss per ordinary share attributable to the Company, for the three years ended December 31, 2020.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920" w:right="8360" w:hanging="900"/>
        <w:spacing w:after="0" w:line="490" w:lineRule="auto"/>
        <w:tabs>
          <w:tab w:leader="none" w:pos="797" w:val="left"/>
        </w:tabs>
        <w:numPr>
          <w:ilvl w:val="0"/>
          <w:numId w:val="87"/>
        </w:numPr>
        <w:rPr>
          <w:rFonts w:ascii="Arial" w:cs="Arial" w:eastAsia="Arial" w:hAnsi="Arial"/>
          <w:sz w:val="16"/>
          <w:szCs w:val="16"/>
          <w:b w:val="1"/>
          <w:bCs w:val="1"/>
          <w:color w:val="181717"/>
        </w:rPr>
      </w:pPr>
      <w:r>
        <w:rPr>
          <w:rFonts w:ascii="Arial" w:cs="Arial" w:eastAsia="Arial" w:hAnsi="Arial"/>
          <w:sz w:val="16"/>
          <w:szCs w:val="16"/>
          <w:b w:val="1"/>
          <w:bCs w:val="1"/>
          <w:color w:val="181717"/>
        </w:rPr>
        <w:t xml:space="preserve">INCOME TAXES </w:t>
      </w:r>
      <w:r>
        <w:rPr>
          <w:rFonts w:ascii="Arial" w:cs="Arial" w:eastAsia="Arial" w:hAnsi="Arial"/>
          <w:sz w:val="16"/>
          <w:szCs w:val="16"/>
          <w:color w:val="181717"/>
        </w:rPr>
        <w:t>- continued</w:t>
      </w:r>
      <w:r>
        <w:rPr>
          <w:rFonts w:ascii="Arial" w:cs="Arial" w:eastAsia="Arial" w:hAnsi="Arial"/>
          <w:sz w:val="16"/>
          <w:szCs w:val="16"/>
          <w:b w:val="1"/>
          <w:bCs w:val="1"/>
          <w:color w:val="181717"/>
        </w:rPr>
        <w:t xml:space="preserve"> </w:t>
      </w:r>
      <w:r>
        <w:rPr>
          <w:rFonts w:ascii="Arial" w:cs="Arial" w:eastAsia="Arial" w:hAnsi="Arial"/>
          <w:sz w:val="16"/>
          <w:szCs w:val="16"/>
          <w:b w:val="1"/>
          <w:bCs w:val="1"/>
          <w:i w:val="1"/>
          <w:iCs w:val="1"/>
          <w:color w:val="181717"/>
        </w:rPr>
        <w:t xml:space="preserve">China - </w:t>
      </w:r>
      <w:r>
        <w:rPr>
          <w:rFonts w:ascii="Arial" w:cs="Arial" w:eastAsia="Arial" w:hAnsi="Arial"/>
          <w:sz w:val="16"/>
          <w:szCs w:val="16"/>
          <w:i w:val="1"/>
          <w:iCs w:val="1"/>
          <w:color w:val="181717"/>
        </w:rPr>
        <w:t>continued</w:t>
      </w:r>
    </w:p>
    <w:p>
      <w:pPr>
        <w:ind w:left="820" w:right="80"/>
        <w:spacing w:after="0" w:line="264" w:lineRule="auto"/>
        <w:rPr>
          <w:sz w:val="20"/>
          <w:szCs w:val="20"/>
          <w:color w:val="auto"/>
        </w:rPr>
      </w:pPr>
      <w:r>
        <w:rPr>
          <w:rFonts w:ascii="Arial" w:cs="Arial" w:eastAsia="Arial" w:hAnsi="Arial"/>
          <w:sz w:val="17"/>
          <w:szCs w:val="17"/>
          <w:color w:val="181717"/>
        </w:rPr>
        <w:t>Deferred taxes reflect the tax effects of temporary differences between the carrying amounts of assets and liabilities for financial reporting purposes and the amounts used for income tax purposes. The components of deferred taxes are as follows:</w:t>
      </w:r>
    </w:p>
    <w:p>
      <w:pPr>
        <w:spacing w:after="0" w:line="118" w:lineRule="exact"/>
        <w:rPr>
          <w:sz w:val="20"/>
          <w:szCs w:val="20"/>
          <w:color w:val="auto"/>
        </w:rPr>
      </w:pPr>
    </w:p>
    <w:tbl>
      <w:tblPr>
        <w:tblLayout w:type="fixed"/>
        <w:tblInd w:w="80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3000" w:type="dxa"/>
            <w:vAlign w:val="bottom"/>
            <w:gridSpan w:val="4"/>
          </w:tcPr>
          <w:p>
            <w:pPr>
              <w:jc w:val="right"/>
              <w:ind w:right="900"/>
              <w:spacing w:after="0"/>
              <w:rPr>
                <w:sz w:val="20"/>
                <w:szCs w:val="20"/>
                <w:color w:val="auto"/>
              </w:rPr>
            </w:pPr>
            <w:r>
              <w:rPr>
                <w:rFonts w:ascii="Arial" w:cs="Arial" w:eastAsia="Arial" w:hAnsi="Arial"/>
                <w:sz w:val="17"/>
                <w:szCs w:val="17"/>
                <w:color w:val="auto"/>
              </w:rPr>
              <w:t>As of December 31,</w:t>
            </w:r>
          </w:p>
        </w:tc>
      </w:tr>
      <w:tr>
        <w:trPr>
          <w:trHeight w:val="204"/>
        </w:trPr>
        <w:tc>
          <w:tcPr>
            <w:tcW w:w="66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7"/>
                <w:szCs w:val="17"/>
                <w:color w:val="auto"/>
              </w:rPr>
              <w:t>2019</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7"/>
                <w:szCs w:val="17"/>
                <w:color w:val="auto"/>
              </w:rPr>
            </w:pPr>
          </w:p>
        </w:tc>
      </w:tr>
      <w:tr>
        <w:trPr>
          <w:trHeight w:val="204"/>
        </w:trPr>
        <w:tc>
          <w:tcPr>
            <w:tcW w:w="6680" w:type="dxa"/>
            <w:vAlign w:val="bottom"/>
          </w:tcPr>
          <w:p>
            <w:pPr>
              <w:spacing w:after="0"/>
              <w:rPr>
                <w:sz w:val="17"/>
                <w:szCs w:val="17"/>
                <w:color w:val="auto"/>
              </w:rPr>
            </w:pPr>
          </w:p>
        </w:tc>
        <w:tc>
          <w:tcPr>
            <w:tcW w:w="1340" w:type="dxa"/>
            <w:vAlign w:val="bottom"/>
          </w:tcPr>
          <w:p>
            <w:pPr>
              <w:jc w:val="right"/>
              <w:ind w:right="417"/>
              <w:spacing w:after="0"/>
              <w:rPr>
                <w:sz w:val="20"/>
                <w:szCs w:val="20"/>
                <w:color w:val="auto"/>
              </w:rPr>
            </w:pPr>
            <w:r>
              <w:rPr>
                <w:rFonts w:ascii="Arial" w:cs="Arial" w:eastAsia="Arial" w:hAnsi="Arial"/>
                <w:sz w:val="17"/>
                <w:szCs w:val="17"/>
                <w:color w:val="auto"/>
              </w:rPr>
              <w:t>RMB</w:t>
            </w:r>
          </w:p>
        </w:tc>
        <w:tc>
          <w:tcPr>
            <w:tcW w:w="200" w:type="dxa"/>
            <w:vAlign w:val="bottom"/>
          </w:tcPr>
          <w:p>
            <w:pPr>
              <w:spacing w:after="0"/>
              <w:rPr>
                <w:sz w:val="17"/>
                <w:szCs w:val="17"/>
                <w:color w:val="auto"/>
              </w:rPr>
            </w:pPr>
          </w:p>
        </w:tc>
        <w:tc>
          <w:tcPr>
            <w:tcW w:w="1360" w:type="dxa"/>
            <w:vAlign w:val="bottom"/>
          </w:tcPr>
          <w:p>
            <w:pPr>
              <w:jc w:val="right"/>
              <w:ind w:right="437"/>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668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1340" w:type="dxa"/>
            <w:vAlign w:val="bottom"/>
          </w:tcPr>
          <w:p>
            <w:pPr>
              <w:jc w:val="right"/>
              <w:spacing w:after="0"/>
              <w:rPr>
                <w:sz w:val="20"/>
                <w:szCs w:val="20"/>
                <w:color w:val="auto"/>
              </w:rPr>
            </w:pPr>
            <w:r>
              <w:rPr>
                <w:rFonts w:ascii="Arial" w:cs="Arial" w:eastAsia="Arial" w:hAnsi="Arial"/>
                <w:sz w:val="17"/>
                <w:szCs w:val="17"/>
                <w:color w:val="auto"/>
              </w:rPr>
              <w:t>6,511</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3,599</w:t>
            </w:r>
          </w:p>
        </w:tc>
        <w:tc>
          <w:tcPr>
            <w:tcW w:w="100" w:type="dxa"/>
            <w:vAlign w:val="bottom"/>
          </w:tcPr>
          <w:p>
            <w:pPr>
              <w:spacing w:after="0"/>
              <w:rPr>
                <w:sz w:val="18"/>
                <w:szCs w:val="18"/>
                <w:color w:val="auto"/>
              </w:rPr>
            </w:pPr>
          </w:p>
        </w:tc>
      </w:tr>
      <w:tr>
        <w:trPr>
          <w:trHeight w:val="212"/>
        </w:trPr>
        <w:tc>
          <w:tcPr>
            <w:tcW w:w="66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Advertising expenses carry-forwards</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58,288</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38,652</w:t>
            </w:r>
          </w:p>
        </w:tc>
        <w:tc>
          <w:tcPr>
            <w:tcW w:w="100" w:type="dxa"/>
            <w:vAlign w:val="bottom"/>
            <w:shd w:val="clear" w:color="auto" w:fill="CFF0FC"/>
          </w:tcPr>
          <w:p>
            <w:pPr>
              <w:spacing w:after="0"/>
              <w:rPr>
                <w:sz w:val="18"/>
                <w:szCs w:val="18"/>
                <w:color w:val="auto"/>
              </w:rPr>
            </w:pPr>
          </w:p>
        </w:tc>
      </w:tr>
      <w:tr>
        <w:trPr>
          <w:trHeight w:val="212"/>
        </w:trPr>
        <w:tc>
          <w:tcPr>
            <w:tcW w:w="66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Net operating loss carry-forwards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525,305</w:t>
            </w:r>
          </w:p>
        </w:tc>
        <w:tc>
          <w:tcPr>
            <w:tcW w:w="20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530,466</w:t>
            </w:r>
          </w:p>
        </w:tc>
        <w:tc>
          <w:tcPr>
            <w:tcW w:w="100" w:type="dxa"/>
            <w:vAlign w:val="bottom"/>
            <w:tcBorders>
              <w:bottom w:val="single" w:sz="8" w:color="CFF0FC"/>
            </w:tcBorders>
          </w:tcPr>
          <w:p>
            <w:pPr>
              <w:spacing w:after="0"/>
              <w:rPr>
                <w:sz w:val="18"/>
                <w:szCs w:val="18"/>
                <w:color w:val="auto"/>
              </w:rPr>
            </w:pPr>
          </w:p>
        </w:tc>
      </w:tr>
      <w:tr>
        <w:trPr>
          <w:trHeight w:val="204"/>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Total deferred tax assets</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590,104</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572,717</w:t>
            </w:r>
          </w:p>
        </w:tc>
        <w:tc>
          <w:tcPr>
            <w:tcW w:w="100" w:type="dxa"/>
            <w:vAlign w:val="bottom"/>
            <w:shd w:val="clear" w:color="auto" w:fill="CFF0FC"/>
          </w:tcPr>
          <w:p>
            <w:pPr>
              <w:spacing w:after="0"/>
              <w:rPr>
                <w:sz w:val="17"/>
                <w:szCs w:val="17"/>
                <w:color w:val="auto"/>
              </w:rPr>
            </w:pPr>
          </w:p>
        </w:tc>
      </w:tr>
      <w:tr>
        <w:trPr>
          <w:trHeight w:val="212"/>
        </w:trPr>
        <w:tc>
          <w:tcPr>
            <w:tcW w:w="668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(504,591)</w:t>
            </w: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(559,702)</w:t>
            </w:r>
          </w:p>
        </w:tc>
      </w:tr>
      <w:tr>
        <w:trPr>
          <w:trHeight w:val="204"/>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Deferred tax assets, net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85,513</w:t>
            </w:r>
          </w:p>
        </w:tc>
        <w:tc>
          <w:tcPr>
            <w:tcW w:w="20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13,015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4"/>
        </w:trPr>
        <w:tc>
          <w:tcPr>
            <w:tcW w:w="668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66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costs</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(87,954)</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(15,220)</w:t>
            </w:r>
          </w:p>
        </w:tc>
      </w:tr>
      <w:tr>
        <w:trPr>
          <w:trHeight w:val="204"/>
        </w:trPr>
        <w:tc>
          <w:tcPr>
            <w:tcW w:w="668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(87,954)</w:t>
            </w:r>
          </w:p>
        </w:tc>
        <w:tc>
          <w:tcPr>
            <w:tcW w:w="2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(15,220)</w:t>
            </w:r>
          </w:p>
        </w:tc>
        <w:tc>
          <w:tcPr>
            <w:tcW w:w="100" w:type="dxa"/>
            <w:vAlign w:val="bottom"/>
          </w:tcPr>
          <w:p>
            <w:pPr>
              <w:spacing w:after="0"/>
              <w:rPr>
                <w:sz w:val="17"/>
                <w:szCs w:val="17"/>
                <w:color w:val="auto"/>
              </w:rPr>
            </w:pPr>
          </w:p>
        </w:tc>
      </w:tr>
    </w:tbl>
    <w:p>
      <w:pPr>
        <w:spacing w:after="0" w:line="100" w:lineRule="exact"/>
        <w:rPr>
          <w:sz w:val="20"/>
          <w:szCs w:val="20"/>
          <w:color w:val="auto"/>
        </w:rPr>
      </w:pPr>
    </w:p>
    <w:p>
      <w:pPr>
        <w:ind w:left="820" w:right="320"/>
        <w:spacing w:after="0" w:line="264" w:lineRule="auto"/>
        <w:rPr>
          <w:sz w:val="20"/>
          <w:szCs w:val="20"/>
          <w:color w:val="auto"/>
        </w:rPr>
      </w:pPr>
      <w:r>
        <w:rPr>
          <w:rFonts w:ascii="Arial" w:cs="Arial" w:eastAsia="Arial" w:hAnsi="Arial"/>
          <w:sz w:val="17"/>
          <w:szCs w:val="17"/>
          <w:color w:val="181717"/>
        </w:rPr>
        <w:t>As of December 31, 2020, the Company’ subsidiaries, VIEs and VIEs’ subsidiaries registered in the PRC have total net operating loss carry forwards of RMB3,305,732, which would expire on various dates through December 31, 2022 to December 31, 2030.</w:t>
      </w:r>
    </w:p>
    <w:p>
      <w:pPr>
        <w:spacing w:after="0" w:line="155" w:lineRule="exact"/>
        <w:rPr>
          <w:sz w:val="20"/>
          <w:szCs w:val="20"/>
          <w:color w:val="auto"/>
        </w:rPr>
      </w:pPr>
    </w:p>
    <w:p>
      <w:pPr>
        <w:ind w:left="820" w:right="20"/>
        <w:spacing w:after="0" w:line="267" w:lineRule="auto"/>
        <w:rPr>
          <w:sz w:val="20"/>
          <w:szCs w:val="20"/>
          <w:color w:val="auto"/>
        </w:rPr>
      </w:pPr>
      <w:r>
        <w:rPr>
          <w:rFonts w:ascii="Arial" w:cs="Arial" w:eastAsia="Arial" w:hAnsi="Arial"/>
          <w:sz w:val="16"/>
          <w:szCs w:val="16"/>
          <w:color w:val="181717"/>
        </w:rPr>
        <w:t>The authoritative guidance requires that the Group recognizes the impact of a tax position in the financial statements if that position is more likely than not of being sustained upon audit by the tax authority, based on the technical merits of the position. Under PRC laws and regulations, arrangements and transactions among related parties may be subject to examination by the PRC tax authorities. If the PRC tax authorities determine that the contractual arrangements among related companies do not represent a price under normal commercial terms, they may make adjustments to the companies’ income and expenses. A transfer pricing adjustment could result in additional tax liabilities. The Group did not have any significant unrecognized uncertain tax positions as of and for the years ended December 31, 2018, 2019 and 2020.</w:t>
      </w:r>
    </w:p>
    <w:p>
      <w:pPr>
        <w:spacing w:after="0" w:line="155" w:lineRule="exact"/>
        <w:rPr>
          <w:sz w:val="20"/>
          <w:szCs w:val="20"/>
          <w:color w:val="auto"/>
        </w:rPr>
      </w:pPr>
    </w:p>
    <w:p>
      <w:pPr>
        <w:ind w:left="820"/>
        <w:spacing w:after="0" w:line="285" w:lineRule="auto"/>
        <w:rPr>
          <w:sz w:val="20"/>
          <w:szCs w:val="20"/>
          <w:color w:val="auto"/>
        </w:rPr>
      </w:pPr>
      <w:r>
        <w:rPr>
          <w:rFonts w:ascii="Arial" w:cs="Arial" w:eastAsia="Arial" w:hAnsi="Arial"/>
          <w:sz w:val="15"/>
          <w:szCs w:val="15"/>
          <w:color w:val="181717"/>
        </w:rPr>
        <w:t>In addition, uncertainties exist with respect to how the current income tax law in the PRC applies to the Group’s overall operations, and more specifically, with regard to tax residency status. The New EIT Law includes a provision specifying that legal entities organized outside of the PRC will be considered residents for Chinese income tax purposes if the place of effective management or control is within the PRC. The implementation rules to the New EIT Law provide that non-resident legal entities will be considered PRC residents if substantial and overall management and control over the manufacturing and business operations, personnel, accounting and properties, occurs within the PRC. Despite the present uncertainties resulting from the limited PRC tax guidance on the issue, the Group does not believe that the legal entities organized outside of the PRC within the Group should be treated as residents for EIT law purposes. If the PRC tax authorities subsequently determine that the Company and its subsidiaries registered outside the PRC should be deemed resident enterprises, the Company and its subsidiaries registered outside the PRC will be subject to the PRC income taxes, at a rate of 25%.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gridSpan w:val="2"/>
          </w:tcPr>
          <w:p>
            <w:pPr>
              <w:ind w:left="20"/>
              <w:spacing w:after="0"/>
              <w:rPr>
                <w:sz w:val="20"/>
                <w:szCs w:val="20"/>
                <w:color w:val="auto"/>
              </w:rPr>
            </w:pPr>
            <w:r>
              <w:rPr>
                <w:rFonts w:ascii="Arial" w:cs="Arial" w:eastAsia="Arial" w:hAnsi="Arial"/>
                <w:sz w:val="17"/>
                <w:szCs w:val="17"/>
                <w:b w:val="1"/>
                <w:bCs w:val="1"/>
                <w:color w:val="181717"/>
              </w:rPr>
              <w:t>19.</w:t>
            </w:r>
          </w:p>
        </w:tc>
        <w:tc>
          <w:tcPr>
            <w:tcW w:w="5440" w:type="dxa"/>
            <w:vAlign w:val="bottom"/>
          </w:tcPr>
          <w:p>
            <w:pPr>
              <w:ind w:left="20"/>
              <w:spacing w:after="0"/>
              <w:rPr>
                <w:sz w:val="20"/>
                <w:szCs w:val="20"/>
                <w:color w:val="auto"/>
              </w:rPr>
            </w:pPr>
            <w:r>
              <w:rPr>
                <w:rFonts w:ascii="Arial" w:cs="Arial" w:eastAsia="Arial" w:hAnsi="Arial"/>
                <w:sz w:val="17"/>
                <w:szCs w:val="17"/>
                <w:b w:val="1"/>
                <w:bCs w:val="1"/>
                <w:color w:val="181717"/>
              </w:rPr>
              <w:t>NET LOSS PER SHARE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7"/>
                <w:szCs w:val="17"/>
                <w:color w:val="auto"/>
                <w:w w:val="87"/>
              </w:rPr>
              <w:t>As of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20" w:type="dxa"/>
            <w:vAlign w:val="bottom"/>
          </w:tcPr>
          <w:p>
            <w:pPr>
              <w:jc w:val="right"/>
              <w:ind w:right="377"/>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360" w:type="dxa"/>
            <w:vAlign w:val="bottom"/>
            <w:gridSpan w:val="2"/>
          </w:tcPr>
          <w:p>
            <w:pPr>
              <w:jc w:val="center"/>
              <w:ind w:left="17"/>
              <w:spacing w:after="0"/>
              <w:rPr>
                <w:sz w:val="20"/>
                <w:szCs w:val="20"/>
                <w:color w:val="auto"/>
              </w:rPr>
            </w:pPr>
            <w:r>
              <w:rPr>
                <w:rFonts w:ascii="Arial" w:cs="Arial" w:eastAsia="Arial" w:hAnsi="Arial"/>
                <w:sz w:val="17"/>
                <w:szCs w:val="17"/>
                <w:color w:val="auto"/>
                <w:w w:val="89"/>
              </w:rPr>
              <w:t>2019</w:t>
            </w:r>
          </w:p>
        </w:tc>
        <w:tc>
          <w:tcPr>
            <w:tcW w:w="240" w:type="dxa"/>
            <w:vAlign w:val="bottom"/>
          </w:tcPr>
          <w:p>
            <w:pPr>
              <w:spacing w:after="0"/>
              <w:rPr>
                <w:sz w:val="17"/>
                <w:szCs w:val="17"/>
                <w:color w:val="auto"/>
              </w:rPr>
            </w:pPr>
          </w:p>
        </w:tc>
        <w:tc>
          <w:tcPr>
            <w:tcW w:w="1240" w:type="dxa"/>
            <w:vAlign w:val="bottom"/>
          </w:tcPr>
          <w:p>
            <w:pPr>
              <w:jc w:val="right"/>
              <w:ind w:right="397"/>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20" w:type="dxa"/>
            <w:vAlign w:val="bottom"/>
            <w:tcBorders>
              <w:top w:val="single" w:sz="8" w:color="auto"/>
            </w:tcBorders>
          </w:tcPr>
          <w:p>
            <w:pPr>
              <w:jc w:val="right"/>
              <w:ind w:right="357"/>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RMB</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ind w:right="377"/>
              <w:spacing w:after="0"/>
              <w:rPr>
                <w:sz w:val="20"/>
                <w:szCs w:val="20"/>
                <w:color w:val="auto"/>
              </w:rPr>
            </w:pPr>
            <w:r>
              <w:rPr>
                <w:rFonts w:ascii="Arial" w:cs="Arial" w:eastAsia="Arial" w:hAnsi="Arial"/>
                <w:sz w:val="17"/>
                <w:szCs w:val="17"/>
                <w:color w:val="auto"/>
              </w:rPr>
              <w:t>RMB</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7"/>
                <w:szCs w:val="17"/>
                <w:color w:val="auto"/>
                <w:w w:val="86"/>
              </w:rPr>
              <w:t>Numerator:</w:t>
            </w:r>
          </w:p>
        </w:tc>
        <w:tc>
          <w:tcPr>
            <w:tcW w:w="54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Net loss attributable to Sunlands Technology Group used in basic</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tcPr>
          <w:p>
            <w:pPr>
              <w:ind w:left="120"/>
              <w:spacing w:after="0"/>
              <w:rPr>
                <w:sz w:val="20"/>
                <w:szCs w:val="20"/>
                <w:color w:val="auto"/>
              </w:rPr>
            </w:pPr>
            <w:r>
              <w:rPr>
                <w:rFonts w:ascii="Arial" w:cs="Arial" w:eastAsia="Arial" w:hAnsi="Arial"/>
                <w:sz w:val="17"/>
                <w:szCs w:val="17"/>
                <w:color w:val="auto"/>
              </w:rPr>
              <w:t>and diluted net loss per share: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loss attributable to ordinary shareholders</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(927,022)</w:t>
            </w:r>
          </w:p>
        </w:tc>
        <w:tc>
          <w:tcPr>
            <w:tcW w:w="160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(394,817)</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(430,542)</w:t>
            </w:r>
          </w:p>
        </w:tc>
      </w:tr>
      <w:tr>
        <w:trPr>
          <w:trHeight w:val="204"/>
        </w:trPr>
        <w:tc>
          <w:tcPr>
            <w:tcW w:w="6220" w:type="dxa"/>
            <w:vAlign w:val="bottom"/>
            <w:gridSpan w:val="3"/>
          </w:tcPr>
          <w:p>
            <w:pPr>
              <w:spacing w:after="0"/>
              <w:rPr>
                <w:sz w:val="20"/>
                <w:szCs w:val="20"/>
                <w:color w:val="auto"/>
              </w:rPr>
            </w:pPr>
            <w:r>
              <w:rPr>
                <w:rFonts w:ascii="Arial" w:cs="Arial" w:eastAsia="Arial" w:hAnsi="Arial"/>
                <w:sz w:val="17"/>
                <w:szCs w:val="17"/>
                <w:color w:val="auto"/>
              </w:rPr>
              <w:t>Denominator:</w:t>
            </w: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Weighted average ordinary shares outstanding used in computing</w:t>
            </w: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basic and diluted net loss per share</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6,294,870</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6,830,058</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6,754,134</w:t>
            </w:r>
          </w:p>
        </w:tc>
        <w:tc>
          <w:tcPr>
            <w:tcW w:w="100" w:type="dxa"/>
            <w:vAlign w:val="bottom"/>
            <w:shd w:val="clear" w:color="auto" w:fill="CFF0FC"/>
          </w:tcPr>
          <w:p>
            <w:pPr>
              <w:spacing w:after="0"/>
              <w:rPr>
                <w:sz w:val="18"/>
                <w:szCs w:val="18"/>
                <w:color w:val="auto"/>
              </w:rPr>
            </w:pPr>
          </w:p>
        </w:tc>
      </w:tr>
      <w:tr>
        <w:trPr>
          <w:trHeight w:val="204"/>
        </w:trPr>
        <w:tc>
          <w:tcPr>
            <w:tcW w:w="6220" w:type="dxa"/>
            <w:vAlign w:val="bottom"/>
            <w:gridSpan w:val="3"/>
          </w:tcPr>
          <w:p>
            <w:pPr>
              <w:spacing w:after="0"/>
              <w:rPr>
                <w:sz w:val="20"/>
                <w:szCs w:val="20"/>
                <w:color w:val="auto"/>
              </w:rPr>
            </w:pPr>
            <w:r>
              <w:rPr>
                <w:rFonts w:ascii="Arial" w:cs="Arial" w:eastAsia="Arial" w:hAnsi="Arial"/>
                <w:sz w:val="17"/>
                <w:szCs w:val="17"/>
                <w:color w:val="auto"/>
              </w:rPr>
              <w:t>Net loss per share</w:t>
            </w: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Basic and diluted</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(147.27)</w:t>
            </w:r>
          </w:p>
        </w:tc>
        <w:tc>
          <w:tcPr>
            <w:tcW w:w="160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(57.81)</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(63.74)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left="820" w:right="420"/>
        <w:spacing w:after="0" w:line="264" w:lineRule="auto"/>
        <w:rPr>
          <w:sz w:val="20"/>
          <w:szCs w:val="20"/>
          <w:color w:val="auto"/>
        </w:rPr>
      </w:pPr>
      <w:r>
        <w:rPr>
          <w:rFonts w:ascii="Arial" w:cs="Arial" w:eastAsia="Arial" w:hAnsi="Arial"/>
          <w:sz w:val="17"/>
          <w:szCs w:val="17"/>
          <w:color w:val="auto"/>
        </w:rPr>
        <w:t>Given the Company's loss making position for the years ended December 31, 2018, 2019 and 2020, the effect of potential issuances of shares for share options would be anti-dilutive:</w:t>
      </w:r>
    </w:p>
    <w:p>
      <w:pPr>
        <w:spacing w:after="0" w:line="37" w:lineRule="exact"/>
        <w:rPr>
          <w:sz w:val="20"/>
          <w:szCs w:val="20"/>
          <w:color w:val="auto"/>
        </w:rPr>
      </w:pPr>
    </w:p>
    <w:p>
      <w:pPr>
        <w:ind w:left="1580" w:hanging="776"/>
        <w:spacing w:after="0"/>
        <w:tabs>
          <w:tab w:leader="none" w:pos="15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51,831 share options were not considered in the computation of diluted net loss per share for the year ended December 31, 2018.</w:t>
      </w:r>
    </w:p>
    <w:p>
      <w:pPr>
        <w:ind w:left="1580" w:hanging="776"/>
        <w:spacing w:after="0" w:line="219" w:lineRule="auto"/>
        <w:tabs>
          <w:tab w:leader="none" w:pos="15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46,631 share options were not considered in the computation of diluted net loss per share for the year ended December 31, 2019.</w:t>
      </w:r>
    </w:p>
    <w:p>
      <w:pPr>
        <w:ind w:left="820"/>
        <w:spacing w:after="0"/>
        <w:rPr>
          <w:rFonts w:ascii="Arial" w:cs="Arial" w:eastAsia="Arial" w:hAnsi="Arial"/>
          <w:sz w:val="13"/>
          <w:szCs w:val="13"/>
          <w:color w:val="auto"/>
        </w:rPr>
      </w:pPr>
      <w:r>
        <w:rPr>
          <w:rFonts w:ascii="Arial" w:cs="Arial" w:eastAsia="Arial" w:hAnsi="Arial"/>
          <w:sz w:val="13"/>
          <w:szCs w:val="13"/>
          <w:color w:val="auto"/>
        </w:rPr>
        <w:t>(3)39,225 share options were not considered in the computation of diluted net loss per share for the year ended December 31, 2020.</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6851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right="7280" w:hanging="800"/>
        <w:spacing w:after="0" w:line="522" w:lineRule="auto"/>
        <w:tabs>
          <w:tab w:leader="none" w:pos="79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Investment commitment</w:t>
      </w:r>
    </w:p>
    <w:p>
      <w:pPr>
        <w:ind w:left="800"/>
        <w:spacing w:after="0"/>
        <w:rPr>
          <w:rFonts w:ascii="Arial" w:cs="Arial" w:eastAsia="Arial" w:hAnsi="Arial"/>
          <w:sz w:val="17"/>
          <w:szCs w:val="17"/>
          <w:b w:val="1"/>
          <w:bCs w:val="1"/>
          <w:color w:val="auto"/>
        </w:rPr>
      </w:pPr>
      <w:r>
        <w:rPr>
          <w:rFonts w:ascii="Arial" w:cs="Arial" w:eastAsia="Arial" w:hAnsi="Arial"/>
          <w:sz w:val="17"/>
          <w:szCs w:val="17"/>
          <w:color w:val="auto"/>
        </w:rPr>
        <w:t>The Group was obligated to pay RMB</w:t>
      </w:r>
      <w:r>
        <w:rPr>
          <w:rFonts w:ascii="Arial" w:cs="Arial" w:eastAsia="Arial" w:hAnsi="Arial"/>
          <w:sz w:val="17"/>
          <w:szCs w:val="17"/>
          <w:color w:val="181717"/>
        </w:rPr>
        <w:t>9,840</w:t>
      </w:r>
      <w:r>
        <w:rPr>
          <w:rFonts w:ascii="Arial" w:cs="Arial" w:eastAsia="Arial" w:hAnsi="Arial"/>
          <w:sz w:val="17"/>
          <w:szCs w:val="17"/>
          <w:color w:val="auto"/>
        </w:rPr>
        <w:t xml:space="preserve"> for the long-term investments as of December 31, 2020.</w:t>
      </w:r>
    </w:p>
    <w:p>
      <w:pPr>
        <w:spacing w:after="0" w:line="203"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Contingencies</w:t>
      </w:r>
    </w:p>
    <w:p>
      <w:pPr>
        <w:spacing w:after="0" w:line="203" w:lineRule="exact"/>
        <w:rPr>
          <w:rFonts w:ascii="Arial" w:cs="Arial" w:eastAsia="Arial" w:hAnsi="Arial"/>
          <w:sz w:val="17"/>
          <w:szCs w:val="17"/>
          <w:b w:val="1"/>
          <w:bCs w:val="1"/>
          <w:color w:val="auto"/>
        </w:rPr>
      </w:pPr>
    </w:p>
    <w:p>
      <w:pPr>
        <w:ind w:left="800" w:right="2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From time to time, the Group is subject to legal proceedings and claims incidental to the conduct of its business. The Group accrues the liability when the loss is probable and reasonably estimable.</w:t>
      </w:r>
    </w:p>
    <w:p>
      <w:pPr>
        <w:spacing w:after="0" w:line="167" w:lineRule="exact"/>
        <w:rPr>
          <w:rFonts w:ascii="Arial" w:cs="Arial" w:eastAsia="Arial" w:hAnsi="Arial"/>
          <w:sz w:val="17"/>
          <w:szCs w:val="17"/>
          <w:b w:val="1"/>
          <w:bCs w:val="1"/>
          <w:color w:val="auto"/>
        </w:rPr>
      </w:pPr>
    </w:p>
    <w:p>
      <w:pPr>
        <w:ind w:left="800" w:right="120"/>
        <w:spacing w:after="0" w:line="286" w:lineRule="auto"/>
        <w:rPr>
          <w:rFonts w:ascii="Arial" w:cs="Arial" w:eastAsia="Arial" w:hAnsi="Arial"/>
          <w:sz w:val="17"/>
          <w:szCs w:val="17"/>
          <w:b w:val="1"/>
          <w:bCs w:val="1"/>
          <w:color w:val="auto"/>
        </w:rPr>
      </w:pPr>
      <w:r>
        <w:rPr>
          <w:rFonts w:ascii="Arial" w:cs="Arial" w:eastAsia="Arial" w:hAnsi="Arial"/>
          <w:sz w:val="15"/>
          <w:szCs w:val="15"/>
          <w:color w:val="181717"/>
        </w:rPr>
        <w:t>In June 2019, the Company, and certain of its current and former directors and officers and its underwriters in the initial public offering were named as defendants in a securities class action filed in the U.S. District Court for the Eastern District of New York. Amended complaints in this class action were filed in November 2019. The action, purportedly brought on behalf of a class of persons who allegedly suffered damages as a result of their trading in the ADSs, alleges that the Company's registration statement on Form F-1 in connection with the March 2018 initial public offering contains material misstatements and omissions in violation of the U.S. federal securities laws. The Company filed a motion to dismiss the action in March 2020, which was denied by an order dated March 31, 2021. The Company believes that the allegations are without merit and intends to defend itself vigorously against those claims. It is not possible at this time to reasonably estimate possible losses, or even a range of reasonably possible losses, in connection with the litigation.</w:t>
      </w:r>
    </w:p>
    <w:p>
      <w:pPr>
        <w:spacing w:after="0" w:line="151" w:lineRule="exact"/>
        <w:rPr>
          <w:rFonts w:ascii="Arial" w:cs="Arial" w:eastAsia="Arial" w:hAnsi="Arial"/>
          <w:sz w:val="17"/>
          <w:szCs w:val="17"/>
          <w:b w:val="1"/>
          <w:bCs w:val="1"/>
          <w:color w:val="auto"/>
        </w:rPr>
      </w:pPr>
    </w:p>
    <w:p>
      <w:pPr>
        <w:ind w:left="780" w:hanging="780"/>
        <w:spacing w:after="0"/>
        <w:tabs>
          <w:tab w:leader="none" w:pos="78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207" w:lineRule="exact"/>
        <w:rPr>
          <w:rFonts w:ascii="Arial" w:cs="Arial" w:eastAsia="Arial" w:hAnsi="Arial"/>
          <w:sz w:val="17"/>
          <w:szCs w:val="17"/>
          <w:b w:val="1"/>
          <w:bCs w:val="1"/>
          <w:color w:val="auto"/>
        </w:rPr>
      </w:pPr>
    </w:p>
    <w:p>
      <w:pPr>
        <w:ind w:left="800" w:right="10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Group’s chief operating decision maker (“CODM”) has been identified as the Chief Executive Officer of the Group, who reviews financial information of operating segments when making decisions about allocating resources and assessing performance of the Group. An operating segment is a component of the Group that engages in business activities from which it may earn revenues and incur expenses, and is identified on the basis of the internal financial reports that are provided to and regularly reviewed by the Group’s CODM.</w:t>
      </w:r>
    </w:p>
    <w:p>
      <w:pPr>
        <w:spacing w:after="0" w:line="203" w:lineRule="exact"/>
        <w:rPr>
          <w:rFonts w:ascii="Arial" w:cs="Arial" w:eastAsia="Arial" w:hAnsi="Arial"/>
          <w:sz w:val="17"/>
          <w:szCs w:val="17"/>
          <w:b w:val="1"/>
          <w:bCs w:val="1"/>
          <w:color w:val="auto"/>
        </w:rPr>
      </w:pPr>
    </w:p>
    <w:p>
      <w:pPr>
        <w:ind w:left="800" w:right="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For the years ended December 31, 2018, 2019 and 2020, the Group’s CODM reviewed the financial information of the education business carried out by the Group on a consolidated basis. The Group has one operating segment, which is the provision of online education service. The Group operates solely in the PRC and all of the Group’s long-lived assets are located in the PRC.</w:t>
      </w:r>
    </w:p>
    <w:p>
      <w:pPr>
        <w:spacing w:after="0" w:line="172" w:lineRule="exact"/>
        <w:rPr>
          <w:rFonts w:ascii="Arial" w:cs="Arial" w:eastAsia="Arial" w:hAnsi="Arial"/>
          <w:sz w:val="17"/>
          <w:szCs w:val="17"/>
          <w:b w:val="1"/>
          <w:bCs w:val="1"/>
          <w:color w:val="auto"/>
        </w:rPr>
      </w:pPr>
    </w:p>
    <w:p>
      <w:pPr>
        <w:ind w:left="780" w:hanging="780"/>
        <w:spacing w:after="0"/>
        <w:tabs>
          <w:tab w:leader="none" w:pos="78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EMPLOYEE DEFINED CONTRIBUTION PLAN</w:t>
      </w:r>
    </w:p>
    <w:p>
      <w:pPr>
        <w:spacing w:after="0" w:line="232" w:lineRule="exact"/>
        <w:rPr>
          <w:rFonts w:ascii="Arial" w:cs="Arial" w:eastAsia="Arial" w:hAnsi="Arial"/>
          <w:sz w:val="17"/>
          <w:szCs w:val="17"/>
          <w:b w:val="1"/>
          <w:bCs w:val="1"/>
          <w:color w:val="auto"/>
        </w:rPr>
      </w:pPr>
    </w:p>
    <w:p>
      <w:pPr>
        <w:ind w:left="800" w:right="200"/>
        <w:spacing w:after="0" w:line="291" w:lineRule="auto"/>
        <w:rPr>
          <w:rFonts w:ascii="Arial" w:cs="Arial" w:eastAsia="Arial" w:hAnsi="Arial"/>
          <w:sz w:val="17"/>
          <w:szCs w:val="17"/>
          <w:b w:val="1"/>
          <w:bCs w:val="1"/>
          <w:color w:val="auto"/>
        </w:rPr>
      </w:pPr>
      <w:r>
        <w:rPr>
          <w:rFonts w:ascii="Arial" w:cs="Arial" w:eastAsia="Arial" w:hAnsi="Arial"/>
          <w:sz w:val="15"/>
          <w:szCs w:val="15"/>
          <w:color w:val="auto"/>
        </w:rPr>
        <w:t>Full time employees of the Group in the PRC participate in a government mandated defined contribution plan, pursuant to which certain pension benefits, medical care, employee housing fund and other welfare benefits are provided to employees. Chinese labor regulations require that the PRC subsidiaries of the Group make contributions to the government for these benefits based on certain percentages of the employees’ salaries. The Group has no legal obligation for the benefits beyond the contributions made. The total amounts for such employee benefits, which were expensed as incurred, were RMB228,376, RMB182,132 and RMB</w:t>
      </w:r>
      <w:r>
        <w:rPr>
          <w:rFonts w:ascii="Arial" w:cs="Arial" w:eastAsia="Arial" w:hAnsi="Arial"/>
          <w:sz w:val="15"/>
          <w:szCs w:val="15"/>
          <w:color w:val="181717"/>
        </w:rPr>
        <w:t>111,677</w:t>
      </w:r>
      <w:r>
        <w:rPr>
          <w:rFonts w:ascii="Arial" w:cs="Arial" w:eastAsia="Arial" w:hAnsi="Arial"/>
          <w:sz w:val="15"/>
          <w:szCs w:val="15"/>
          <w:color w:val="auto"/>
        </w:rPr>
        <w:t>, for the years ended December 31, 2018, 2019 and 2020, respectively.</w:t>
      </w:r>
    </w:p>
    <w:p>
      <w:pPr>
        <w:spacing w:after="0" w:line="146" w:lineRule="exact"/>
        <w:rPr>
          <w:rFonts w:ascii="Arial" w:cs="Arial" w:eastAsia="Arial" w:hAnsi="Arial"/>
          <w:sz w:val="17"/>
          <w:szCs w:val="17"/>
          <w:b w:val="1"/>
          <w:bCs w:val="1"/>
          <w:color w:val="auto"/>
        </w:rPr>
      </w:pPr>
    </w:p>
    <w:p>
      <w:pPr>
        <w:ind w:left="780" w:hanging="780"/>
        <w:spacing w:after="0"/>
        <w:tabs>
          <w:tab w:leader="none" w:pos="78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NET ASSETS</w:t>
      </w:r>
    </w:p>
    <w:p>
      <w:pPr>
        <w:spacing w:after="0" w:line="232" w:lineRule="exact"/>
        <w:rPr>
          <w:rFonts w:ascii="Arial" w:cs="Arial" w:eastAsia="Arial" w:hAnsi="Arial"/>
          <w:sz w:val="17"/>
          <w:szCs w:val="17"/>
          <w:b w:val="1"/>
          <w:bCs w:val="1"/>
          <w:color w:val="auto"/>
        </w:rPr>
      </w:pPr>
    </w:p>
    <w:p>
      <w:pPr>
        <w:ind w:left="800" w:right="260"/>
        <w:spacing w:after="0" w:line="304" w:lineRule="auto"/>
        <w:rPr>
          <w:rFonts w:ascii="Arial" w:cs="Arial" w:eastAsia="Arial" w:hAnsi="Arial"/>
          <w:sz w:val="17"/>
          <w:szCs w:val="17"/>
          <w:b w:val="1"/>
          <w:bCs w:val="1"/>
          <w:color w:val="auto"/>
        </w:rPr>
      </w:pPr>
      <w:r>
        <w:rPr>
          <w:rFonts w:ascii="Arial" w:cs="Arial" w:eastAsia="Arial" w:hAnsi="Arial"/>
          <w:sz w:val="15"/>
          <w:szCs w:val="15"/>
          <w:color w:val="auto"/>
        </w:rPr>
        <w:t>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spacing w:after="0" w:line="166" w:lineRule="exact"/>
        <w:rPr>
          <w:rFonts w:ascii="Arial" w:cs="Arial" w:eastAsia="Arial" w:hAnsi="Arial"/>
          <w:sz w:val="17"/>
          <w:szCs w:val="17"/>
          <w:b w:val="1"/>
          <w:bCs w:val="1"/>
          <w:color w:val="auto"/>
        </w:rPr>
      </w:pPr>
    </w:p>
    <w:p>
      <w:pPr>
        <w:ind w:left="800"/>
        <w:spacing w:after="0" w:line="283" w:lineRule="auto"/>
        <w:rPr>
          <w:rFonts w:ascii="Arial" w:cs="Arial" w:eastAsia="Arial" w:hAnsi="Arial"/>
          <w:sz w:val="17"/>
          <w:szCs w:val="17"/>
          <w:b w:val="1"/>
          <w:bCs w:val="1"/>
          <w:color w:val="auto"/>
        </w:rPr>
      </w:pPr>
      <w:r>
        <w:rPr>
          <w:rFonts w:ascii="Arial" w:cs="Arial" w:eastAsia="Arial" w:hAnsi="Arial"/>
          <w:sz w:val="15"/>
          <w:szCs w:val="15"/>
          <w:color w:val="auto"/>
        </w:rPr>
        <w:t>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which is included in retained earnings accounts in equity section of the consolidated balance sheets. A wholly-owned foreign invested enterprise is required to allocate at least 10% of its annual after-tax profit to the general reserve until such reserve reaches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 debt on its own behalf in the future, the instruments governing the debt may restrict their ability to pay dividends or make other payments to the Group. Any limitation on the ability of the PRC subsidiaries to distribute dividends or other payments to their respective shareholders could materially and adversely limit the ability to grow, make investments or acquisitions that could be beneficial to pay dividends.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181717"/>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7"/>
          <w:szCs w:val="17"/>
          <w:color w:val="181717"/>
        </w:rPr>
        <w:t>NOTES TO CONSOLIDATED FINANCIAL STATEMENTS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FOR THE YEARS ENDED DECEMBER 31, 2018, 2019 AND 2020</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81717"/>
        </w:rPr>
        <w:t>(Amounts in thousands, except for share and per share data, or otherwise noted)</w:t>
      </w:r>
    </w:p>
    <w:p>
      <w:pPr>
        <w:spacing w:after="0" w:line="187" w:lineRule="exact"/>
        <w:rPr>
          <w:sz w:val="20"/>
          <w:szCs w:val="20"/>
          <w:color w:val="auto"/>
        </w:rPr>
      </w:pPr>
    </w:p>
    <w:p>
      <w:pPr>
        <w:ind w:left="800" w:hanging="800"/>
        <w:spacing w:after="0"/>
        <w:tabs>
          <w:tab w:leader="none" w:pos="80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NET ASSETS </w:t>
      </w:r>
      <w:r>
        <w:rPr>
          <w:rFonts w:ascii="Arial" w:cs="Arial" w:eastAsia="Arial" w:hAnsi="Arial"/>
          <w:sz w:val="17"/>
          <w:szCs w:val="17"/>
          <w:color w:val="auto"/>
        </w:rPr>
        <w:t>- continued</w:t>
      </w:r>
    </w:p>
    <w:p>
      <w:pPr>
        <w:spacing w:after="0" w:line="232" w:lineRule="exact"/>
        <w:rPr>
          <w:rFonts w:ascii="Arial" w:cs="Arial" w:eastAsia="Arial" w:hAnsi="Arial"/>
          <w:sz w:val="17"/>
          <w:szCs w:val="17"/>
          <w:b w:val="1"/>
          <w:bCs w:val="1"/>
          <w:color w:val="auto"/>
        </w:rPr>
      </w:pPr>
    </w:p>
    <w:p>
      <w:pPr>
        <w:ind w:left="800" w:right="220"/>
        <w:spacing w:after="0" w:line="291" w:lineRule="auto"/>
        <w:rPr>
          <w:rFonts w:ascii="Arial" w:cs="Arial" w:eastAsia="Arial" w:hAnsi="Arial"/>
          <w:sz w:val="17"/>
          <w:szCs w:val="17"/>
          <w:b w:val="1"/>
          <w:bCs w:val="1"/>
          <w:color w:val="auto"/>
        </w:rPr>
      </w:pPr>
      <w:r>
        <w:rPr>
          <w:rFonts w:ascii="Arial" w:cs="Arial" w:eastAsia="Arial" w:hAnsi="Arial"/>
          <w:sz w:val="15"/>
          <w:szCs w:val="15"/>
          <w:color w:val="auto"/>
        </w:rPr>
        <w:t>Additionally, in accordance with the Company Law of the PRC, a domestic enterprise is required to provide statutory common reserve at least 10% of its annual after-tax profit until such reserve reaches 50% of its respective registered capital based on the enterprise’s PRC statutory accounts. The Group’s provision for the statutory common reserve is in compliance with the aforementioned requirement of the Company Law. A domestic enterprise is also required to provide for discretionary surplus reserve, at the discretion of the board of directors, from the profits determined in accordance with the enterprise’s PRC statutory accounts. The aforementioned reserves can only be used for specific purposes and are not distributable as cash dividends.</w:t>
      </w:r>
    </w:p>
    <w:p>
      <w:pPr>
        <w:spacing w:after="0" w:line="175" w:lineRule="exact"/>
        <w:rPr>
          <w:rFonts w:ascii="Arial" w:cs="Arial" w:eastAsia="Arial" w:hAnsi="Arial"/>
          <w:sz w:val="17"/>
          <w:szCs w:val="17"/>
          <w:b w:val="1"/>
          <w:bCs w:val="1"/>
          <w:color w:val="auto"/>
        </w:rPr>
      </w:pPr>
    </w:p>
    <w:p>
      <w:pPr>
        <w:ind w:left="800"/>
        <w:spacing w:after="0" w:line="272" w:lineRule="auto"/>
        <w:rPr>
          <w:rFonts w:ascii="Arial" w:cs="Arial" w:eastAsia="Arial" w:hAnsi="Arial"/>
          <w:sz w:val="17"/>
          <w:szCs w:val="17"/>
          <w:b w:val="1"/>
          <w:bCs w:val="1"/>
          <w:color w:val="auto"/>
        </w:rPr>
      </w:pPr>
      <w:r>
        <w:rPr>
          <w:rFonts w:ascii="Arial" w:cs="Arial" w:eastAsia="Arial" w:hAnsi="Arial"/>
          <w:sz w:val="16"/>
          <w:szCs w:val="16"/>
          <w:color w:val="auto"/>
        </w:rPr>
        <w:t>Because the Group’s entities in the PRC can only be paid out of distributable profits reported in accordance with PRC accounting standards, the Group’s entities in the PRC are restricted from transferring a portion of their net assets to the Company. The restricted amounts include the paid-in capital and statutory reserves of the Group’s entities in the PRC. The aggregate amount of paid-in capital and statutory reserves, which is the amount of net assets of the Group’s entities in the PRC (mainland) not available for distribution, were RMB1,535,678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81717"/>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7"/>
          <w:szCs w:val="17"/>
          <w:color w:val="181717"/>
        </w:rPr>
        <w:t>ADDITIONAL INFORMATION—FINANCIAL STATEMENT SCHEDULE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CONDENSED FINANCIAL INFORMATION OF PARENT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 except for share and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7"/>
                <w:szCs w:val="17"/>
                <w:color w:val="auto"/>
                <w:w w:val="89"/>
              </w:rPr>
              <w:t>As of December 31,</w:t>
            </w: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jc w:val="right"/>
              <w:ind w:right="417"/>
              <w:spacing w:after="0"/>
              <w:rPr>
                <w:sz w:val="20"/>
                <w:szCs w:val="20"/>
                <w:color w:val="auto"/>
              </w:rPr>
            </w:pPr>
            <w:r>
              <w:rPr>
                <w:rFonts w:ascii="Arial" w:cs="Arial" w:eastAsia="Arial" w:hAnsi="Arial"/>
                <w:sz w:val="17"/>
                <w:szCs w:val="17"/>
                <w:color w:val="auto"/>
              </w:rPr>
              <w:t>2019</w:t>
            </w:r>
          </w:p>
        </w:tc>
        <w:tc>
          <w:tcPr>
            <w:tcW w:w="14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7"/>
                <w:szCs w:val="17"/>
                <w:color w:val="auto"/>
                <w:w w:val="89"/>
              </w:rPr>
              <w:t>2020</w:t>
            </w:r>
          </w:p>
        </w:tc>
        <w:tc>
          <w:tcPr>
            <w:tcW w:w="240" w:type="dxa"/>
            <w:vAlign w:val="bottom"/>
          </w:tcPr>
          <w:p>
            <w:pPr>
              <w:spacing w:after="0"/>
              <w:rPr>
                <w:sz w:val="17"/>
                <w:szCs w:val="17"/>
                <w:color w:val="auto"/>
              </w:rPr>
            </w:pPr>
          </w:p>
        </w:tc>
        <w:tc>
          <w:tcPr>
            <w:tcW w:w="1340" w:type="dxa"/>
            <w:vAlign w:val="bottom"/>
          </w:tcPr>
          <w:p>
            <w:pPr>
              <w:jc w:val="right"/>
              <w:ind w:right="437"/>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Borders>
              <w:top w:val="single" w:sz="8" w:color="auto"/>
            </w:tcBorders>
          </w:tcPr>
          <w:p>
            <w:pPr>
              <w:jc w:val="right"/>
              <w:ind w:right="397"/>
              <w:spacing w:after="0"/>
              <w:rPr>
                <w:sz w:val="20"/>
                <w:szCs w:val="20"/>
                <w:color w:val="auto"/>
              </w:rPr>
            </w:pPr>
            <w:r>
              <w:rPr>
                <w:rFonts w:ascii="Arial" w:cs="Arial" w:eastAsia="Arial" w:hAnsi="Arial"/>
                <w:sz w:val="17"/>
                <w:szCs w:val="17"/>
                <w:color w:val="auto"/>
              </w:rPr>
              <w:t>RMB</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RMB</w:t>
            </w:r>
          </w:p>
        </w:tc>
        <w:tc>
          <w:tcPr>
            <w:tcW w:w="240" w:type="dxa"/>
            <w:vAlign w:val="bottom"/>
          </w:tcPr>
          <w:p>
            <w:pPr>
              <w:spacing w:after="0"/>
              <w:rPr>
                <w:sz w:val="17"/>
                <w:szCs w:val="17"/>
                <w:color w:val="auto"/>
              </w:rPr>
            </w:pPr>
          </w:p>
        </w:tc>
        <w:tc>
          <w:tcPr>
            <w:tcW w:w="1340" w:type="dxa"/>
            <w:vAlign w:val="bottom"/>
            <w:tcBorders>
              <w:top w:val="single" w:sz="8" w:color="auto"/>
            </w:tcBorders>
          </w:tcPr>
          <w:p>
            <w:pPr>
              <w:jc w:val="right"/>
              <w:ind w:right="457"/>
              <w:spacing w:after="0"/>
              <w:rPr>
                <w:sz w:val="20"/>
                <w:szCs w:val="20"/>
                <w:color w:val="auto"/>
              </w:rPr>
            </w:pPr>
            <w:r>
              <w:rPr>
                <w:rFonts w:ascii="Arial" w:cs="Arial" w:eastAsia="Arial" w:hAnsi="Arial"/>
                <w:sz w:val="17"/>
                <w:szCs w:val="17"/>
                <w:color w:val="auto"/>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ASSETS</w:t>
            </w:r>
          </w:p>
        </w:tc>
        <w:tc>
          <w:tcPr>
            <w:tcW w:w="15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1,125,048</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627,436</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96,159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1,244</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7,832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7"/>
                <w:szCs w:val="17"/>
                <w:color w:val="auto"/>
              </w:rPr>
              <w:t>Amounts due from subsidiaries</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1,093,781</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1,393,817</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213,612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2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2,220,073</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2,029,085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310,971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gridSpan w:val="2"/>
          </w:tcPr>
          <w:p>
            <w:pPr>
              <w:spacing w:after="0"/>
              <w:rPr>
                <w:sz w:val="20"/>
                <w:szCs w:val="20"/>
                <w:color w:val="auto"/>
              </w:rPr>
            </w:pPr>
            <w:r>
              <w:rPr>
                <w:rFonts w:ascii="Arial" w:cs="Arial" w:eastAsia="Arial" w:hAnsi="Arial"/>
                <w:sz w:val="17"/>
                <w:szCs w:val="17"/>
                <w:color w:val="auto"/>
              </w:rPr>
              <w:t>Non-current assets</w:t>
            </w:r>
          </w:p>
        </w:tc>
        <w:tc>
          <w:tcPr>
            <w:tcW w:w="15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non-current assets</w:t>
            </w:r>
          </w:p>
        </w:tc>
        <w:tc>
          <w:tcPr>
            <w:tcW w:w="2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26,849</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23,705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gridSpan w:val="2"/>
          </w:tcPr>
          <w:p>
            <w:pPr>
              <w:spacing w:after="0"/>
              <w:rPr>
                <w:sz w:val="20"/>
                <w:szCs w:val="20"/>
                <w:color w:val="auto"/>
              </w:rPr>
            </w:pPr>
            <w:r>
              <w:rPr>
                <w:rFonts w:ascii="Arial" w:cs="Arial" w:eastAsia="Arial" w:hAnsi="Arial"/>
                <w:sz w:val="17"/>
                <w:szCs w:val="17"/>
                <w:color w:val="auto"/>
              </w:rPr>
              <w:t>Total non-current assets</w:t>
            </w:r>
          </w:p>
        </w:tc>
        <w:tc>
          <w:tcPr>
            <w:tcW w:w="158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23,705</w:t>
            </w:r>
          </w:p>
        </w:tc>
        <w:tc>
          <w:tcPr>
            <w:tcW w:w="2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ASSETS</w:t>
            </w:r>
          </w:p>
        </w:tc>
        <w:tc>
          <w:tcPr>
            <w:tcW w:w="158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2,246,922</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2,052,790</w:t>
            </w: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314,604</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LIABILITIES AND SHAREHOLDERS’ DEFICIT</w:t>
            </w:r>
          </w:p>
        </w:tc>
        <w:tc>
          <w:tcPr>
            <w:tcW w:w="15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LIABILITIES</w:t>
            </w: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5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6,942</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10,822</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158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6,942</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10,822</w:t>
            </w: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1,659</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gridSpan w:val="2"/>
          </w:tcPr>
          <w:p>
            <w:pPr>
              <w:spacing w:after="0"/>
              <w:rPr>
                <w:sz w:val="20"/>
                <w:szCs w:val="20"/>
                <w:color w:val="auto"/>
              </w:rPr>
            </w:pPr>
            <w:r>
              <w:rPr>
                <w:rFonts w:ascii="Arial" w:cs="Arial" w:eastAsia="Arial" w:hAnsi="Arial"/>
                <w:sz w:val="17"/>
                <w:szCs w:val="17"/>
                <w:color w:val="auto"/>
              </w:rPr>
              <w:t>Non-current liabilities</w:t>
            </w: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7"/>
                <w:szCs w:val="17"/>
                <w:color w:val="auto"/>
                <w:w w:val="96"/>
              </w:rPr>
              <w:t>Deficits of investments in subsidiaries, VIEs and VIEs' subsidiaries</w:t>
            </w:r>
          </w:p>
        </w:tc>
        <w:tc>
          <w:tcPr>
            <w:tcW w:w="2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2,970,297</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3,249,408</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497,994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7,834</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4,029</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non-current liabilities</w:t>
            </w:r>
          </w:p>
        </w:tc>
        <w:tc>
          <w:tcPr>
            <w:tcW w:w="158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2,978,131</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3,253,437</w:t>
            </w: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498,611</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1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2,985,073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3,264,259</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500,270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8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SHAREHOLDERS’ DEFICIT</w:t>
            </w: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Class A ordinary shares (par value of US$0.00005, 796,062,195</w:t>
            </w:r>
          </w:p>
        </w:tc>
        <w:tc>
          <w:tcPr>
            <w:tcW w:w="1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shares authorized; 1,830,183 and 1,978,621 shares issued as of</w:t>
            </w:r>
          </w:p>
        </w:tc>
        <w:tc>
          <w:tcPr>
            <w:tcW w:w="1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w w:val="94"/>
              </w:rPr>
              <w:t>December 31, 2019 and December 31, 2020, respectively; 1,728,006</w:t>
            </w:r>
          </w:p>
        </w:tc>
        <w:tc>
          <w:tcPr>
            <w:tcW w:w="1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and 1,792,560 shares outstanding as of December 31, 2019</w:t>
            </w:r>
          </w:p>
        </w:tc>
        <w:tc>
          <w:tcPr>
            <w:tcW w:w="1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and 2020, respectively)</w:t>
            </w:r>
          </w:p>
        </w:tc>
        <w:tc>
          <w:tcPr>
            <w:tcW w:w="2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Class B ordinary shares (par value of US$0.00005, 826,389 shares</w:t>
            </w: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tcPr>
          <w:p>
            <w:pPr>
              <w:ind w:left="120"/>
              <w:spacing w:after="0"/>
              <w:rPr>
                <w:sz w:val="20"/>
                <w:szCs w:val="20"/>
                <w:color w:val="auto"/>
              </w:rPr>
            </w:pPr>
            <w:r>
              <w:rPr>
                <w:rFonts w:ascii="Arial" w:cs="Arial" w:eastAsia="Arial" w:hAnsi="Arial"/>
                <w:sz w:val="17"/>
                <w:szCs w:val="17"/>
                <w:color w:val="auto"/>
                <w:w w:val="93"/>
              </w:rPr>
              <w:t>authorized; 826,389 and 826,389 shares issued and outstanding as of</w:t>
            </w: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7"/>
                <w:szCs w:val="17"/>
                <w:color w:val="auto"/>
              </w:rPr>
              <w:t>December 31, 2019 and 2020, respectively)</w:t>
            </w:r>
          </w:p>
        </w:tc>
        <w:tc>
          <w:tcPr>
            <w:tcW w:w="15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Class C ordinary shares (par value of US$0.00005, 203,111,416</w:t>
            </w:r>
          </w:p>
        </w:tc>
        <w:tc>
          <w:tcPr>
            <w:tcW w:w="1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shares authorized; 4,258,686 and 4,110,248 shares issued and</w:t>
            </w:r>
          </w:p>
        </w:tc>
        <w:tc>
          <w:tcPr>
            <w:tcW w:w="1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outstanding as of December 31, 2019 and 2020,</w:t>
            </w:r>
          </w:p>
        </w:tc>
        <w:tc>
          <w:tcPr>
            <w:tcW w:w="1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respectively)</w:t>
            </w:r>
          </w:p>
        </w:tc>
        <w:tc>
          <w:tcPr>
            <w:tcW w:w="2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Treasury stock</w:t>
            </w:r>
          </w:p>
        </w:tc>
        <w:tc>
          <w:tcPr>
            <w:tcW w:w="15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paid-in capital</w:t>
            </w:r>
          </w:p>
        </w:tc>
        <w:tc>
          <w:tcPr>
            <w:tcW w:w="2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2,363,999</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2,367,168</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362,784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Accumulated other comprehensive income</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142,435</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96,490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Accumulated deficit</w:t>
            </w:r>
          </w:p>
        </w:tc>
        <w:tc>
          <w:tcPr>
            <w:tcW w:w="304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(3,244,587)</w:t>
            </w:r>
          </w:p>
        </w:tc>
        <w:tc>
          <w:tcPr>
            <w:tcW w:w="168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(3,675,129)</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(563,238)</w:t>
            </w:r>
          </w:p>
        </w:tc>
        <w:tc>
          <w:tcPr>
            <w:tcW w:w="0" w:type="dxa"/>
            <w:vAlign w:val="bottom"/>
          </w:tcPr>
          <w:p>
            <w:pPr>
              <w:spacing w:after="0"/>
              <w:rPr>
                <w:sz w:val="1"/>
                <w:szCs w:val="1"/>
                <w:color w:val="auto"/>
              </w:rPr>
            </w:pPr>
          </w:p>
        </w:tc>
      </w:tr>
      <w:tr>
        <w:trPr>
          <w:trHeight w:val="204"/>
        </w:trPr>
        <w:tc>
          <w:tcPr>
            <w:tcW w:w="5100" w:type="dxa"/>
            <w:vAlign w:val="bottom"/>
            <w:gridSpan w:val="2"/>
          </w:tcPr>
          <w:p>
            <w:pPr>
              <w:spacing w:after="0"/>
              <w:rPr>
                <w:sz w:val="20"/>
                <w:szCs w:val="20"/>
                <w:color w:val="auto"/>
              </w:rPr>
            </w:pPr>
            <w:r>
              <w:rPr>
                <w:rFonts w:ascii="Arial" w:cs="Arial" w:eastAsia="Arial" w:hAnsi="Arial"/>
                <w:sz w:val="17"/>
                <w:szCs w:val="17"/>
                <w:color w:val="auto"/>
              </w:rPr>
              <w:t>TOTAL SHAREHOLDERS’ DEFICIT</w:t>
            </w:r>
          </w:p>
        </w:tc>
        <w:tc>
          <w:tcPr>
            <w:tcW w:w="158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(738,151)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(1,211,469)</w:t>
            </w:r>
          </w:p>
        </w:tc>
        <w:tc>
          <w:tcPr>
            <w:tcW w:w="2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(185,666)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AND SHAREHOLDERS’ DEFICIT</w:t>
            </w:r>
          </w:p>
        </w:tc>
        <w:tc>
          <w:tcPr>
            <w:tcW w:w="158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2,246,922</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2,052,790</w:t>
            </w: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314,604</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040" w:type="dxa"/>
            <w:vAlign w:val="bottom"/>
            <w:gridSpan w:val="3"/>
          </w:tcPr>
          <w:p>
            <w:pPr>
              <w:jc w:val="right"/>
              <w:ind w:right="2340"/>
              <w:spacing w:after="0"/>
              <w:rPr>
                <w:sz w:val="20"/>
                <w:szCs w:val="20"/>
                <w:color w:val="auto"/>
              </w:rPr>
            </w:pPr>
            <w:r>
              <w:rPr>
                <w:rFonts w:ascii="Arial" w:cs="Arial" w:eastAsia="Arial" w:hAnsi="Arial"/>
                <w:sz w:val="17"/>
                <w:szCs w:val="17"/>
                <w:color w:val="181717"/>
              </w:rPr>
              <w:t>F-32</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-27940</wp:posOffset>
            </wp:positionV>
            <wp:extent cx="3302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3302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60"/>
          </w:cols>
          <w:pgMar w:left="300" w:top="376" w:right="3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7"/>
          <w:szCs w:val="17"/>
          <w:color w:val="181717"/>
        </w:rPr>
        <w:t>ADDITIONAL INFORMATION—FINANCIAL STATEMENT SCHEDULE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CONDENSED FINANCIAL INFORMATION OF PARENT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STATEMENTS OF OPERATIONS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7"/>
                <w:szCs w:val="17"/>
                <w:color w:val="auto"/>
              </w:rPr>
              <w:t>Years ended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7"/>
                <w:szCs w:val="17"/>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color w:val="auto"/>
              </w:rPr>
              <w:t>2019</w:t>
            </w:r>
          </w:p>
        </w:tc>
        <w:tc>
          <w:tcPr>
            <w:tcW w:w="260" w:type="dxa"/>
            <w:vAlign w:val="bottom"/>
          </w:tcPr>
          <w:p>
            <w:pPr>
              <w:spacing w:after="0"/>
              <w:rPr>
                <w:sz w:val="17"/>
                <w:szCs w:val="17"/>
                <w:color w:val="auto"/>
              </w:rPr>
            </w:pPr>
          </w:p>
        </w:tc>
        <w:tc>
          <w:tcPr>
            <w:tcW w:w="17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2020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Arial" w:cs="Arial" w:eastAsia="Arial" w:hAnsi="Arial"/>
                <w:sz w:val="17"/>
                <w:szCs w:val="17"/>
                <w:color w:val="auto"/>
              </w:rPr>
              <w:t>RMB</w:t>
            </w:r>
          </w:p>
        </w:tc>
        <w:tc>
          <w:tcPr>
            <w:tcW w:w="240" w:type="dxa"/>
            <w:vAlign w:val="bottom"/>
          </w:tcPr>
          <w:p>
            <w:pPr>
              <w:spacing w:after="0"/>
              <w:rPr>
                <w:sz w:val="17"/>
                <w:szCs w:val="17"/>
                <w:color w:val="auto"/>
              </w:rPr>
            </w:pPr>
          </w:p>
        </w:tc>
        <w:tc>
          <w:tcPr>
            <w:tcW w:w="1240" w:type="dxa"/>
            <w:vAlign w:val="bottom"/>
          </w:tcPr>
          <w:p>
            <w:pPr>
              <w:jc w:val="right"/>
              <w:ind w:right="357"/>
              <w:spacing w:after="0"/>
              <w:rPr>
                <w:sz w:val="20"/>
                <w:szCs w:val="20"/>
                <w:color w:val="auto"/>
              </w:rPr>
            </w:pPr>
            <w:r>
              <w:rPr>
                <w:rFonts w:ascii="Arial" w:cs="Arial" w:eastAsia="Arial" w:hAnsi="Arial"/>
                <w:sz w:val="17"/>
                <w:szCs w:val="17"/>
                <w:color w:val="auto"/>
              </w:rPr>
              <w:t>RMB</w:t>
            </w:r>
          </w:p>
        </w:tc>
        <w:tc>
          <w:tcPr>
            <w:tcW w:w="260" w:type="dxa"/>
            <w:vAlign w:val="bottom"/>
          </w:tcPr>
          <w:p>
            <w:pPr>
              <w:spacing w:after="0"/>
              <w:rPr>
                <w:sz w:val="17"/>
                <w:szCs w:val="17"/>
                <w:color w:val="auto"/>
              </w:rPr>
            </w:pPr>
          </w:p>
        </w:tc>
        <w:tc>
          <w:tcPr>
            <w:tcW w:w="1740" w:type="dxa"/>
            <w:vAlign w:val="bottom"/>
            <w:gridSpan w:val="3"/>
          </w:tcPr>
          <w:p>
            <w:pPr>
              <w:jc w:val="right"/>
              <w:ind w:right="940"/>
              <w:spacing w:after="0"/>
              <w:rPr>
                <w:sz w:val="20"/>
                <w:szCs w:val="20"/>
                <w:color w:val="auto"/>
              </w:rPr>
            </w:pPr>
            <w:r>
              <w:rPr>
                <w:rFonts w:ascii="Arial" w:cs="Arial" w:eastAsia="Arial" w:hAnsi="Arial"/>
                <w:sz w:val="17"/>
                <w:szCs w:val="17"/>
                <w:color w:val="auto"/>
              </w:rPr>
              <w:t>RMB</w:t>
            </w:r>
          </w:p>
        </w:tc>
        <w:tc>
          <w:tcPr>
            <w:tcW w:w="1000" w:type="dxa"/>
            <w:vAlign w:val="bottom"/>
          </w:tcPr>
          <w:p>
            <w:pPr>
              <w:jc w:val="right"/>
              <w:ind w:right="417"/>
              <w:spacing w:after="0"/>
              <w:rPr>
                <w:sz w:val="20"/>
                <w:szCs w:val="20"/>
                <w:color w:val="auto"/>
              </w:rPr>
            </w:pPr>
            <w:r>
              <w:rPr>
                <w:rFonts w:ascii="Arial" w:cs="Arial" w:eastAsia="Arial" w:hAnsi="Arial"/>
                <w:sz w:val="17"/>
                <w:szCs w:val="17"/>
                <w:color w:val="auto"/>
              </w:rPr>
              <w:t>US$</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(475)</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(317)</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(163)</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w:t>
            </w:r>
          </w:p>
        </w:tc>
      </w:tr>
      <w:tr>
        <w:trPr>
          <w:trHeight w:val="204"/>
        </w:trPr>
        <w:tc>
          <w:tcPr>
            <w:tcW w:w="544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(475)</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26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7"/>
                <w:szCs w:val="17"/>
                <w:color w:val="auto"/>
              </w:rPr>
              <w:t>Sales and marketing expenses</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(820)</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(674)</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(14,278)</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(2,188)</w:t>
            </w:r>
          </w:p>
        </w:tc>
      </w:tr>
      <w:tr>
        <w:trPr>
          <w:trHeight w:val="212"/>
        </w:trPr>
        <w:tc>
          <w:tcPr>
            <w:tcW w:w="20" w:type="dxa"/>
            <w:vAlign w:val="bottom"/>
          </w:tcPr>
          <w:p>
            <w:pPr>
              <w:spacing w:after="0"/>
              <w:rPr>
                <w:sz w:val="18"/>
                <w:szCs w:val="18"/>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 expenses</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(15,335)</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(22,850)</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(61,500)</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(9,425)</w:t>
            </w:r>
          </w:p>
        </w:tc>
      </w:tr>
      <w:tr>
        <w:trPr>
          <w:trHeight w:val="204"/>
        </w:trPr>
        <w:tc>
          <w:tcPr>
            <w:tcW w:w="5440" w:type="dxa"/>
            <w:vAlign w:val="bottom"/>
            <w:gridSpan w:val="2"/>
          </w:tcPr>
          <w:p>
            <w:pPr>
              <w:spacing w:after="0"/>
              <w:rPr>
                <w:sz w:val="20"/>
                <w:szCs w:val="20"/>
                <w:color w:val="auto"/>
              </w:rPr>
            </w:pPr>
            <w:r>
              <w:rPr>
                <w:rFonts w:ascii="Arial" w:cs="Arial" w:eastAsia="Arial" w:hAnsi="Arial"/>
                <w:sz w:val="17"/>
                <w:szCs w:val="17"/>
                <w:color w:val="auto"/>
              </w:rPr>
              <w:t>Total operating expenses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(16,155)</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(23,524)</w:t>
            </w:r>
          </w:p>
        </w:tc>
        <w:tc>
          <w:tcPr>
            <w:tcW w:w="26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(75,778)</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(11,613)</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(16,630)</w:t>
            </w: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(23,841)</w:t>
            </w:r>
          </w:p>
        </w:tc>
        <w:tc>
          <w:tcPr>
            <w:tcW w:w="26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(75,941)</w:t>
            </w: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(11,638)</w:t>
            </w:r>
          </w:p>
        </w:tc>
        <w:tc>
          <w:tcPr>
            <w:tcW w:w="100" w:type="dxa"/>
            <w:vAlign w:val="bottom"/>
            <w:tcBorders>
              <w:top w:val="single" w:sz="8" w:color="CFF0FC"/>
            </w:tcBorders>
            <w:shd w:val="clear" w:color="auto" w:fill="CFF0FC"/>
          </w:tcPr>
          <w:p>
            <w:pPr>
              <w:spacing w:after="0"/>
              <w:rPr>
                <w:sz w:val="17"/>
                <w:szCs w:val="17"/>
                <w:color w:val="auto"/>
              </w:rPr>
            </w:pPr>
          </w:p>
        </w:tc>
      </w:tr>
      <w:tr>
        <w:trPr>
          <w:trHeight w:val="204"/>
        </w:trPr>
        <w:tc>
          <w:tcPr>
            <w:tcW w:w="544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240" w:type="dxa"/>
            <w:vAlign w:val="bottom"/>
          </w:tcPr>
          <w:p>
            <w:pPr>
              <w:jc w:val="right"/>
              <w:spacing w:after="0"/>
              <w:rPr>
                <w:sz w:val="20"/>
                <w:szCs w:val="20"/>
                <w:color w:val="auto"/>
              </w:rPr>
            </w:pPr>
            <w:r>
              <w:rPr>
                <w:rFonts w:ascii="Arial" w:cs="Arial" w:eastAsia="Arial" w:hAnsi="Arial"/>
                <w:sz w:val="17"/>
                <w:szCs w:val="17"/>
                <w:color w:val="auto"/>
              </w:rPr>
              <w:t>33,525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38,331</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14,880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2,280</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Profit/(loss) before income tax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16,895</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14,490</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(61,061)</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(9,358)</w:t>
            </w:r>
          </w:p>
        </w:tc>
      </w:tr>
      <w:tr>
        <w:trPr>
          <w:trHeight w:val="204"/>
        </w:trPr>
        <w:tc>
          <w:tcPr>
            <w:tcW w:w="5440" w:type="dxa"/>
            <w:vAlign w:val="bottom"/>
            <w:gridSpan w:val="2"/>
          </w:tcPr>
          <w:p>
            <w:pPr>
              <w:spacing w:after="0"/>
              <w:rPr>
                <w:sz w:val="20"/>
                <w:szCs w:val="20"/>
                <w:color w:val="auto"/>
              </w:rPr>
            </w:pPr>
            <w:r>
              <w:rPr>
                <w:rFonts w:ascii="Arial" w:cs="Arial" w:eastAsia="Arial" w:hAnsi="Arial"/>
                <w:sz w:val="17"/>
                <w:szCs w:val="17"/>
                <w:color w:val="auto"/>
              </w:rPr>
              <w:t>Income tax expenses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Loss from investment in subsidiaries</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(943,781)</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(409,307)</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(369,481)</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(56,625)</w:t>
            </w:r>
          </w:p>
        </w:tc>
      </w:tr>
      <w:tr>
        <w:trPr>
          <w:trHeight w:val="204"/>
        </w:trPr>
        <w:tc>
          <w:tcPr>
            <w:tcW w:w="544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(926,886)</w:t>
            </w:r>
          </w:p>
        </w:tc>
        <w:tc>
          <w:tcPr>
            <w:tcW w:w="2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(394,817)</w:t>
            </w:r>
          </w:p>
        </w:tc>
        <w:tc>
          <w:tcPr>
            <w:tcW w:w="2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(430,542)</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(65,983)</w:t>
            </w:r>
          </w:p>
        </w:tc>
        <w:tc>
          <w:tcPr>
            <w:tcW w:w="100" w:type="dxa"/>
            <w:vAlign w:val="bottom"/>
          </w:tcPr>
          <w:p>
            <w:pPr>
              <w:spacing w:after="0"/>
              <w:rPr>
                <w:sz w:val="17"/>
                <w:szCs w:val="17"/>
                <w:color w:val="auto"/>
              </w:rPr>
            </w:pPr>
          </w:p>
        </w:tc>
      </w:tr>
      <w:tr>
        <w:trPr>
          <w:trHeight w:val="61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80" w:type="dxa"/>
            <w:vAlign w:val="bottom"/>
            <w:gridSpan w:val="2"/>
          </w:tcPr>
          <w:p>
            <w:pPr>
              <w:jc w:val="right"/>
              <w:ind w:right="1120"/>
              <w:spacing w:after="0"/>
              <w:rPr>
                <w:sz w:val="20"/>
                <w:szCs w:val="20"/>
                <w:color w:val="auto"/>
              </w:rPr>
            </w:pPr>
            <w:r>
              <w:rPr>
                <w:rFonts w:ascii="Arial" w:cs="Arial" w:eastAsia="Arial" w:hAnsi="Arial"/>
                <w:sz w:val="17"/>
                <w:szCs w:val="17"/>
                <w:color w:val="181717"/>
                <w:w w:val="97"/>
              </w:rPr>
              <w:t>F-33</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54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-27940</wp:posOffset>
            </wp:positionV>
            <wp:extent cx="33020"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33020"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60"/>
          </w:cols>
          <w:pgMar w:left="300" w:top="326" w:right="3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7"/>
          <w:szCs w:val="17"/>
          <w:color w:val="181717"/>
        </w:rPr>
        <w:t>ADDITIONAL INFORMATION—FINANCIAL STATEMENT SCHEDULE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CONDENSED FINANCIAL INFORMATION OF PARENT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STATEMENTS OF COMPREHENSIVE LOSS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7"/>
                <w:szCs w:val="17"/>
                <w:color w:val="auto"/>
              </w:rPr>
              <w:t>Years ended December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2019</w:t>
            </w:r>
          </w:p>
        </w:tc>
        <w:tc>
          <w:tcPr>
            <w:tcW w:w="220" w:type="dxa"/>
            <w:vAlign w:val="bottom"/>
          </w:tcPr>
          <w:p>
            <w:pPr>
              <w:spacing w:after="0"/>
              <w:rPr>
                <w:sz w:val="17"/>
                <w:szCs w:val="17"/>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2020</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jc w:val="right"/>
              <w:ind w:right="317"/>
              <w:spacing w:after="0"/>
              <w:rPr>
                <w:sz w:val="20"/>
                <w:szCs w:val="20"/>
                <w:color w:val="auto"/>
              </w:rPr>
            </w:pPr>
            <w:r>
              <w:rPr>
                <w:rFonts w:ascii="Arial" w:cs="Arial" w:eastAsia="Arial" w:hAnsi="Arial"/>
                <w:sz w:val="17"/>
                <w:szCs w:val="17"/>
                <w:color w:val="auto"/>
              </w:rPr>
              <w:t>RMB</w:t>
            </w:r>
          </w:p>
        </w:tc>
        <w:tc>
          <w:tcPr>
            <w:tcW w:w="240" w:type="dxa"/>
            <w:vAlign w:val="bottom"/>
          </w:tcPr>
          <w:p>
            <w:pPr>
              <w:spacing w:after="0"/>
              <w:rPr>
                <w:sz w:val="17"/>
                <w:szCs w:val="17"/>
                <w:color w:val="auto"/>
              </w:rPr>
            </w:pPr>
          </w:p>
        </w:tc>
        <w:tc>
          <w:tcPr>
            <w:tcW w:w="1140" w:type="dxa"/>
            <w:vAlign w:val="bottom"/>
          </w:tcPr>
          <w:p>
            <w:pPr>
              <w:jc w:val="right"/>
              <w:ind w:right="317"/>
              <w:spacing w:after="0"/>
              <w:rPr>
                <w:sz w:val="20"/>
                <w:szCs w:val="20"/>
                <w:color w:val="auto"/>
              </w:rPr>
            </w:pPr>
            <w:r>
              <w:rPr>
                <w:rFonts w:ascii="Arial" w:cs="Arial" w:eastAsia="Arial" w:hAnsi="Arial"/>
                <w:sz w:val="17"/>
                <w:szCs w:val="17"/>
                <w:color w:val="auto"/>
              </w:rPr>
              <w:t>RMB</w:t>
            </w:r>
          </w:p>
        </w:tc>
        <w:tc>
          <w:tcPr>
            <w:tcW w:w="220" w:type="dxa"/>
            <w:vAlign w:val="bottom"/>
          </w:tcPr>
          <w:p>
            <w:pPr>
              <w:spacing w:after="0"/>
              <w:rPr>
                <w:sz w:val="17"/>
                <w:szCs w:val="17"/>
                <w:color w:val="auto"/>
              </w:rPr>
            </w:pPr>
          </w:p>
        </w:tc>
        <w:tc>
          <w:tcPr>
            <w:tcW w:w="1620" w:type="dxa"/>
            <w:vAlign w:val="bottom"/>
            <w:gridSpan w:val="3"/>
          </w:tcPr>
          <w:p>
            <w:pPr>
              <w:jc w:val="right"/>
              <w:ind w:right="860"/>
              <w:spacing w:after="0"/>
              <w:rPr>
                <w:sz w:val="20"/>
                <w:szCs w:val="20"/>
                <w:color w:val="auto"/>
              </w:rPr>
            </w:pPr>
            <w:r>
              <w:rPr>
                <w:rFonts w:ascii="Arial" w:cs="Arial" w:eastAsia="Arial" w:hAnsi="Arial"/>
                <w:sz w:val="17"/>
                <w:szCs w:val="17"/>
                <w:color w:val="auto"/>
              </w:rPr>
              <w:t>RMB</w:t>
            </w:r>
          </w:p>
        </w:tc>
        <w:tc>
          <w:tcPr>
            <w:tcW w:w="920" w:type="dxa"/>
            <w:vAlign w:val="bottom"/>
          </w:tcPr>
          <w:p>
            <w:pPr>
              <w:jc w:val="right"/>
              <w:ind w:right="357"/>
              <w:spacing w:after="0"/>
              <w:rPr>
                <w:sz w:val="20"/>
                <w:szCs w:val="20"/>
                <w:color w:val="auto"/>
              </w:rPr>
            </w:pPr>
            <w:r>
              <w:rPr>
                <w:rFonts w:ascii="Arial" w:cs="Arial" w:eastAsia="Arial" w:hAnsi="Arial"/>
                <w:sz w:val="17"/>
                <w:szCs w:val="17"/>
                <w:color w:val="auto"/>
              </w:rPr>
              <w:t>US$</w:t>
            </w:r>
          </w:p>
        </w:tc>
        <w:tc>
          <w:tcPr>
            <w:tcW w:w="1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240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(926,886)</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(394,817)</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(430,542)</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(65,983)</w:t>
            </w: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Other comprehensive income/(loss), net of tax effect of nil:</w:t>
            </w: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Change in cumulative foreign currency translation adjustments</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127,586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23,608</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(45,945)</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(7,041)</w:t>
            </w:r>
          </w:p>
        </w:tc>
      </w:tr>
      <w:tr>
        <w:trPr>
          <w:trHeight w:val="204"/>
        </w:trPr>
        <w:tc>
          <w:tcPr>
            <w:tcW w:w="4840" w:type="dxa"/>
            <w:vAlign w:val="bottom"/>
            <w:gridSpan w:val="2"/>
          </w:tcPr>
          <w:p>
            <w:pPr>
              <w:spacing w:after="0"/>
              <w:rPr>
                <w:sz w:val="20"/>
                <w:szCs w:val="20"/>
                <w:color w:val="auto"/>
              </w:rPr>
            </w:pPr>
            <w:r>
              <w:rPr>
                <w:rFonts w:ascii="Arial" w:cs="Arial" w:eastAsia="Arial" w:hAnsi="Arial"/>
                <w:sz w:val="17"/>
                <w:szCs w:val="17"/>
                <w:color w:val="auto"/>
              </w:rPr>
              <w:t>Total comprehensive loss</w:t>
            </w:r>
          </w:p>
        </w:tc>
        <w:tc>
          <w:tcPr>
            <w:tcW w:w="10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(799,300)</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(371,209)</w:t>
            </w:r>
          </w:p>
        </w:tc>
        <w:tc>
          <w:tcPr>
            <w:tcW w:w="2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(476,487)</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(73,024)</w:t>
            </w:r>
          </w:p>
        </w:tc>
        <w:tc>
          <w:tcPr>
            <w:tcW w:w="120" w:type="dxa"/>
            <w:vAlign w:val="bottom"/>
          </w:tcPr>
          <w:p>
            <w:pPr>
              <w:spacing w:after="0"/>
              <w:rPr>
                <w:sz w:val="17"/>
                <w:szCs w:val="17"/>
                <w:color w:val="auto"/>
              </w:rPr>
            </w:pPr>
          </w:p>
        </w:tc>
      </w:tr>
      <w:tr>
        <w:trPr>
          <w:trHeight w:val="50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400" w:type="dxa"/>
            <w:vAlign w:val="bottom"/>
            <w:gridSpan w:val="3"/>
          </w:tcPr>
          <w:p>
            <w:pPr>
              <w:jc w:val="right"/>
              <w:ind w:right="1440"/>
              <w:spacing w:after="0"/>
              <w:rPr>
                <w:sz w:val="20"/>
                <w:szCs w:val="20"/>
                <w:color w:val="auto"/>
              </w:rPr>
            </w:pPr>
            <w:r>
              <w:rPr>
                <w:rFonts w:ascii="Arial" w:cs="Arial" w:eastAsia="Arial" w:hAnsi="Arial"/>
                <w:sz w:val="17"/>
                <w:szCs w:val="17"/>
                <w:color w:val="181717"/>
              </w:rPr>
              <w:t>F-34</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-27940</wp:posOffset>
            </wp:positionV>
            <wp:extent cx="3302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33020"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60"/>
          </w:cols>
          <w:pgMar w:left="300" w:top="326" w:right="33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0"/>
          <w:szCs w:val="10"/>
          <w:color w:val="181717"/>
        </w:rPr>
        <w:t>.</w:t>
      </w:r>
      <w:r>
        <w:rPr>
          <w:rFonts w:ascii="Arial" w:cs="Arial" w:eastAsia="Arial" w:hAnsi="Arial"/>
          <w:sz w:val="16"/>
          <w:szCs w:val="16"/>
          <w:color w:val="181717"/>
        </w:rPr>
        <w:t>ADDITIONAL INFORMATION—FINANCIAL STATEMENT SCHEDULE 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CONDENSED FINANCIAL INFORMATION OF PARENT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STATEMENTS OF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7"/>
                <w:szCs w:val="17"/>
                <w:color w:val="auto"/>
              </w:rPr>
              <w:t>Years ended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7"/>
                <w:szCs w:val="17"/>
                <w:color w:val="auto"/>
              </w:rPr>
            </w:pPr>
          </w:p>
        </w:tc>
        <w:tc>
          <w:tcPr>
            <w:tcW w:w="126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color w:val="auto"/>
              </w:rPr>
              <w:t>2019</w:t>
            </w:r>
          </w:p>
        </w:tc>
        <w:tc>
          <w:tcPr>
            <w:tcW w:w="240" w:type="dxa"/>
            <w:vAlign w:val="bottom"/>
          </w:tcPr>
          <w:p>
            <w:pPr>
              <w:spacing w:after="0"/>
              <w:rPr>
                <w:sz w:val="17"/>
                <w:szCs w:val="17"/>
                <w:color w:val="auto"/>
              </w:rPr>
            </w:pPr>
          </w:p>
        </w:tc>
        <w:tc>
          <w:tcPr>
            <w:tcW w:w="17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2020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240" w:type="dxa"/>
            <w:vAlign w:val="bottom"/>
          </w:tcPr>
          <w:p>
            <w:pPr>
              <w:jc w:val="right"/>
              <w:ind w:right="357"/>
              <w:spacing w:after="0"/>
              <w:rPr>
                <w:sz w:val="20"/>
                <w:szCs w:val="20"/>
                <w:color w:val="auto"/>
              </w:rPr>
            </w:pPr>
            <w:r>
              <w:rPr>
                <w:rFonts w:ascii="Arial" w:cs="Arial" w:eastAsia="Arial" w:hAnsi="Arial"/>
                <w:sz w:val="17"/>
                <w:szCs w:val="17"/>
                <w:color w:val="auto"/>
              </w:rPr>
              <w:t>RMB</w:t>
            </w:r>
          </w:p>
        </w:tc>
        <w:tc>
          <w:tcPr>
            <w:tcW w:w="240" w:type="dxa"/>
            <w:vAlign w:val="bottom"/>
          </w:tcPr>
          <w:p>
            <w:pPr>
              <w:spacing w:after="0"/>
              <w:rPr>
                <w:sz w:val="17"/>
                <w:szCs w:val="17"/>
                <w:color w:val="auto"/>
              </w:rPr>
            </w:pPr>
          </w:p>
        </w:tc>
        <w:tc>
          <w:tcPr>
            <w:tcW w:w="1260" w:type="dxa"/>
            <w:vAlign w:val="bottom"/>
          </w:tcPr>
          <w:p>
            <w:pPr>
              <w:jc w:val="right"/>
              <w:ind w:right="377"/>
              <w:spacing w:after="0"/>
              <w:rPr>
                <w:sz w:val="20"/>
                <w:szCs w:val="20"/>
                <w:color w:val="auto"/>
              </w:rPr>
            </w:pPr>
            <w:r>
              <w:rPr>
                <w:rFonts w:ascii="Arial" w:cs="Arial" w:eastAsia="Arial" w:hAnsi="Arial"/>
                <w:sz w:val="17"/>
                <w:szCs w:val="17"/>
                <w:color w:val="auto"/>
              </w:rPr>
              <w:t>RMB</w:t>
            </w:r>
          </w:p>
        </w:tc>
        <w:tc>
          <w:tcPr>
            <w:tcW w:w="240" w:type="dxa"/>
            <w:vAlign w:val="bottom"/>
          </w:tcPr>
          <w:p>
            <w:pPr>
              <w:spacing w:after="0"/>
              <w:rPr>
                <w:sz w:val="17"/>
                <w:szCs w:val="17"/>
                <w:color w:val="auto"/>
              </w:rPr>
            </w:pPr>
          </w:p>
        </w:tc>
        <w:tc>
          <w:tcPr>
            <w:tcW w:w="1760" w:type="dxa"/>
            <w:vAlign w:val="bottom"/>
            <w:gridSpan w:val="3"/>
          </w:tcPr>
          <w:p>
            <w:pPr>
              <w:jc w:val="right"/>
              <w:ind w:right="960"/>
              <w:spacing w:after="0"/>
              <w:rPr>
                <w:sz w:val="20"/>
                <w:szCs w:val="20"/>
                <w:color w:val="auto"/>
              </w:rPr>
            </w:pPr>
            <w:r>
              <w:rPr>
                <w:rFonts w:ascii="Arial" w:cs="Arial" w:eastAsia="Arial" w:hAnsi="Arial"/>
                <w:sz w:val="17"/>
                <w:szCs w:val="17"/>
                <w:color w:val="auto"/>
              </w:rPr>
              <w:t>RMB</w:t>
            </w:r>
          </w:p>
        </w:tc>
        <w:tc>
          <w:tcPr>
            <w:tcW w:w="1000" w:type="dxa"/>
            <w:vAlign w:val="bottom"/>
          </w:tcPr>
          <w:p>
            <w:pPr>
              <w:jc w:val="right"/>
              <w:ind w:right="417"/>
              <w:spacing w:after="0"/>
              <w:rPr>
                <w:sz w:val="20"/>
                <w:szCs w:val="20"/>
                <w:color w:val="auto"/>
              </w:rPr>
            </w:pPr>
            <w:r>
              <w:rPr>
                <w:rFonts w:ascii="Arial" w:cs="Arial" w:eastAsia="Arial" w:hAnsi="Arial"/>
                <w:sz w:val="17"/>
                <w:szCs w:val="17"/>
                <w:color w:val="auto"/>
              </w:rPr>
              <w:t>US$</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Net loss</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(926,886)</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(394,817)</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(430,542)</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(65,983)</w:t>
            </w:r>
          </w:p>
        </w:tc>
      </w:tr>
      <w:tr>
        <w:trPr>
          <w:trHeight w:val="199"/>
        </w:trPr>
        <w:tc>
          <w:tcPr>
            <w:tcW w:w="20" w:type="dxa"/>
            <w:vAlign w:val="bottom"/>
          </w:tcPr>
          <w:p>
            <w:pPr>
              <w:spacing w:after="0"/>
              <w:rPr>
                <w:sz w:val="17"/>
                <w:szCs w:val="17"/>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generated</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from operating activities: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Share-based compensation</w:t>
            </w:r>
          </w:p>
        </w:tc>
        <w:tc>
          <w:tcPr>
            <w:tcW w:w="1240" w:type="dxa"/>
            <w:vAlign w:val="bottom"/>
          </w:tcPr>
          <w:p>
            <w:pPr>
              <w:jc w:val="right"/>
              <w:spacing w:after="0"/>
              <w:rPr>
                <w:sz w:val="20"/>
                <w:szCs w:val="20"/>
                <w:color w:val="auto"/>
              </w:rPr>
            </w:pPr>
            <w:r>
              <w:rPr>
                <w:rFonts w:ascii="Arial" w:cs="Arial" w:eastAsia="Arial" w:hAnsi="Arial"/>
                <w:sz w:val="17"/>
                <w:szCs w:val="17"/>
                <w:color w:val="auto"/>
              </w:rPr>
              <w:t>3,851</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2,970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29,748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4,559</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4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Loss from investment in subsidiaries</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1,032,235</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413,496</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279,111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42,776</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Amounts due to subsidiaries</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(185,537)</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(398,587)</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(300,036)</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(45,983)</w:t>
            </w:r>
          </w:p>
        </w:tc>
      </w:tr>
      <w:tr>
        <w:trPr>
          <w:trHeight w:val="212"/>
        </w:trPr>
        <w:tc>
          <w:tcPr>
            <w:tcW w:w="20" w:type="dxa"/>
            <w:vAlign w:val="bottom"/>
          </w:tcPr>
          <w:p>
            <w:pPr>
              <w:spacing w:after="0"/>
              <w:rPr>
                <w:sz w:val="18"/>
                <w:szCs w:val="18"/>
                <w:color w:val="auto"/>
              </w:rPr>
            </w:pPr>
          </w:p>
        </w:tc>
        <w:tc>
          <w:tcPr>
            <w:tcW w:w="54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(19,276)</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18,032</w:t>
            </w: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(5,635)</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(864)</w:t>
            </w:r>
          </w:p>
        </w:tc>
      </w:tr>
      <w:tr>
        <w:trPr>
          <w:trHeight w:val="212"/>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1240" w:type="dxa"/>
            <w:vAlign w:val="bottom"/>
          </w:tcPr>
          <w:p>
            <w:pPr>
              <w:jc w:val="right"/>
              <w:spacing w:after="0"/>
              <w:rPr>
                <w:sz w:val="20"/>
                <w:szCs w:val="20"/>
                <w:color w:val="auto"/>
              </w:rPr>
            </w:pPr>
            <w:r>
              <w:rPr>
                <w:rFonts w:ascii="Arial" w:cs="Arial" w:eastAsia="Arial" w:hAnsi="Arial"/>
                <w:sz w:val="17"/>
                <w:szCs w:val="17"/>
                <w:color w:val="auto"/>
              </w:rPr>
              <w:t>11,228</w:t>
            </w: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(3,394)</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(3,805)</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(583)</w:t>
            </w:r>
          </w:p>
        </w:tc>
      </w:tr>
      <w:tr>
        <w:trPr>
          <w:trHeight w:val="212"/>
        </w:trPr>
        <w:tc>
          <w:tcPr>
            <w:tcW w:w="20" w:type="dxa"/>
            <w:vAlign w:val="bottom"/>
          </w:tcPr>
          <w:p>
            <w:pPr>
              <w:spacing w:after="0"/>
              <w:rPr>
                <w:sz w:val="18"/>
                <w:szCs w:val="18"/>
                <w:color w:val="auto"/>
              </w:rPr>
            </w:pPr>
          </w:p>
        </w:tc>
        <w:tc>
          <w:tcPr>
            <w:tcW w:w="54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4,231</w:t>
            </w:r>
          </w:p>
        </w:tc>
        <w:tc>
          <w:tcPr>
            <w:tcW w:w="240" w:type="dxa"/>
            <w:vAlign w:val="bottom"/>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1,531</w:t>
            </w:r>
          </w:p>
        </w:tc>
        <w:tc>
          <w:tcPr>
            <w:tcW w:w="240" w:type="dxa"/>
            <w:vAlign w:val="bottom"/>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3,880</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595</w:t>
            </w:r>
          </w:p>
        </w:tc>
        <w:tc>
          <w:tcPr>
            <w:tcW w:w="100" w:type="dxa"/>
            <w:vAlign w:val="bottom"/>
            <w:shd w:val="clear" w:color="auto" w:fill="CFF0FC"/>
          </w:tcPr>
          <w:p>
            <w:pPr>
              <w:spacing w:after="0"/>
              <w:rPr>
                <w:sz w:val="18"/>
                <w:szCs w:val="18"/>
                <w:color w:val="auto"/>
              </w:rPr>
            </w:pPr>
          </w:p>
        </w:tc>
      </w:tr>
      <w:tr>
        <w:trPr>
          <w:trHeight w:val="204"/>
        </w:trPr>
        <w:tc>
          <w:tcPr>
            <w:tcW w:w="5420" w:type="dxa"/>
            <w:vAlign w:val="bottom"/>
            <w:gridSpan w:val="2"/>
          </w:tcPr>
          <w:p>
            <w:pPr>
              <w:spacing w:after="0"/>
              <w:rPr>
                <w:sz w:val="20"/>
                <w:szCs w:val="20"/>
                <w:color w:val="auto"/>
              </w:rPr>
            </w:pPr>
            <w:r>
              <w:rPr>
                <w:rFonts w:ascii="Arial" w:cs="Arial" w:eastAsia="Arial" w:hAnsi="Arial"/>
                <w:sz w:val="17"/>
                <w:szCs w:val="17"/>
                <w:color w:val="auto"/>
              </w:rPr>
              <w:t>Net cash used in operating activities</w:t>
            </w:r>
          </w:p>
        </w:tc>
        <w:tc>
          <w:tcPr>
            <w:tcW w:w="1240" w:type="dxa"/>
            <w:vAlign w:val="bottom"/>
          </w:tcPr>
          <w:p>
            <w:pPr>
              <w:jc w:val="right"/>
              <w:spacing w:after="0"/>
              <w:rPr>
                <w:sz w:val="20"/>
                <w:szCs w:val="20"/>
                <w:color w:val="auto"/>
              </w:rPr>
            </w:pPr>
            <w:r>
              <w:rPr>
                <w:rFonts w:ascii="Arial" w:cs="Arial" w:eastAsia="Arial" w:hAnsi="Arial"/>
                <w:sz w:val="17"/>
                <w:szCs w:val="17"/>
                <w:color w:val="auto"/>
              </w:rPr>
              <w:t>(80,154)</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(360,769)</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(427,279)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(65,483)</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FLOWS FROM INVESTING ACTIVITIES</w:t>
            </w: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Purchase of short-term investments</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(814,539)</w:t>
            </w:r>
          </w:p>
        </w:tc>
        <w:tc>
          <w:tcPr>
            <w:tcW w:w="1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(120,107)</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(18,407)</w:t>
            </w:r>
          </w:p>
        </w:tc>
      </w:tr>
      <w:tr>
        <w:trPr>
          <w:trHeight w:val="212"/>
        </w:trPr>
        <w:tc>
          <w:tcPr>
            <w:tcW w:w="20" w:type="dxa"/>
            <w:vAlign w:val="bottom"/>
          </w:tcPr>
          <w:p>
            <w:pPr>
              <w:spacing w:after="0"/>
              <w:rPr>
                <w:sz w:val="18"/>
                <w:szCs w:val="18"/>
                <w:color w:val="auto"/>
              </w:rPr>
            </w:pPr>
          </w:p>
        </w:tc>
        <w:tc>
          <w:tcPr>
            <w:tcW w:w="54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Proceeds from maturity of short-term investments</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396,852</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436,228</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120,107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18,407</w:t>
            </w:r>
          </w:p>
        </w:tc>
        <w:tc>
          <w:tcPr>
            <w:tcW w:w="10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Loan to employees</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(26,849)</w:t>
            </w:r>
          </w:p>
        </w:tc>
        <w:tc>
          <w:tcPr>
            <w:tcW w:w="176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tcPr>
          <w:p>
            <w:pPr>
              <w:spacing w:after="0"/>
              <w:rPr>
                <w:sz w:val="18"/>
                <w:szCs w:val="18"/>
                <w:color w:val="auto"/>
              </w:rPr>
            </w:pPr>
          </w:p>
        </w:tc>
        <w:tc>
          <w:tcPr>
            <w:tcW w:w="54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Repayment of loan to employees</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FF0FC"/>
          </w:tcPr>
          <w:p>
            <w:pPr>
              <w:spacing w:after="0"/>
              <w:rPr>
                <w:sz w:val="18"/>
                <w:szCs w:val="18"/>
                <w:color w:val="auto"/>
              </w:rPr>
            </w:pPr>
          </w:p>
        </w:tc>
      </w:tr>
      <w:tr>
        <w:trPr>
          <w:trHeight w:val="204"/>
        </w:trPr>
        <w:tc>
          <w:tcPr>
            <w:tcW w:w="5420" w:type="dxa"/>
            <w:vAlign w:val="bottom"/>
            <w:gridSpan w:val="2"/>
          </w:tcPr>
          <w:p>
            <w:pPr>
              <w:spacing w:after="0"/>
              <w:rPr>
                <w:sz w:val="20"/>
                <w:szCs w:val="20"/>
                <w:color w:val="auto"/>
              </w:rPr>
            </w:pPr>
            <w:r>
              <w:rPr>
                <w:rFonts w:ascii="Arial" w:cs="Arial" w:eastAsia="Arial" w:hAnsi="Arial"/>
                <w:sz w:val="17"/>
                <w:szCs w:val="17"/>
                <w:color w:val="auto"/>
              </w:rPr>
              <w:t>Net cash (used in)/ generated from investing activities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(417,687)</w:t>
            </w:r>
          </w:p>
        </w:tc>
        <w:tc>
          <w:tcPr>
            <w:tcW w:w="24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409,379</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563</w:t>
            </w: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FLOWS FROM FINANCING ACTIVITIES</w:t>
            </w: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Amounts due from related parties</w:t>
            </w:r>
          </w:p>
        </w:tc>
        <w:tc>
          <w:tcPr>
            <w:tcW w:w="1240" w:type="dxa"/>
            <w:vAlign w:val="bottom"/>
          </w:tcPr>
          <w:p>
            <w:pPr>
              <w:jc w:val="right"/>
              <w:spacing w:after="0"/>
              <w:rPr>
                <w:sz w:val="20"/>
                <w:szCs w:val="20"/>
                <w:color w:val="auto"/>
              </w:rPr>
            </w:pPr>
            <w:r>
              <w:rPr>
                <w:rFonts w:ascii="Arial" w:cs="Arial" w:eastAsia="Arial" w:hAnsi="Arial"/>
                <w:sz w:val="17"/>
                <w:szCs w:val="17"/>
                <w:color w:val="auto"/>
              </w:rPr>
              <w:t>245,654</w:t>
            </w:r>
          </w:p>
        </w:tc>
        <w:tc>
          <w:tcPr>
            <w:tcW w:w="24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76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tcPr>
          <w:p>
            <w:pPr>
              <w:spacing w:after="0"/>
              <w:rPr>
                <w:sz w:val="18"/>
                <w:szCs w:val="18"/>
                <w:color w:val="auto"/>
              </w:rPr>
            </w:pPr>
          </w:p>
        </w:tc>
        <w:tc>
          <w:tcPr>
            <w:tcW w:w="54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Payment for share repurchase</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(33,971)</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(31,650)</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(26,579)</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(4,073)</w:t>
            </w:r>
          </w:p>
        </w:tc>
      </w:tr>
      <w:tr>
        <w:trPr>
          <w:trHeight w:val="199"/>
        </w:trPr>
        <w:tc>
          <w:tcPr>
            <w:tcW w:w="20" w:type="dxa"/>
            <w:vAlign w:val="bottom"/>
          </w:tcPr>
          <w:p>
            <w:pPr>
              <w:spacing w:after="0"/>
              <w:rPr>
                <w:sz w:val="17"/>
                <w:szCs w:val="17"/>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Proceeds from initial public offering,</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7"/>
                <w:szCs w:val="17"/>
                <w:color w:val="auto"/>
              </w:rPr>
              <w:t>net of issuance cost of 80,128</w:t>
            </w:r>
          </w:p>
        </w:tc>
        <w:tc>
          <w:tcPr>
            <w:tcW w:w="1240" w:type="dxa"/>
            <w:vAlign w:val="bottom"/>
          </w:tcPr>
          <w:p>
            <w:pPr>
              <w:jc w:val="right"/>
              <w:spacing w:after="0"/>
              <w:rPr>
                <w:sz w:val="20"/>
                <w:szCs w:val="20"/>
                <w:color w:val="auto"/>
              </w:rPr>
            </w:pPr>
            <w:r>
              <w:rPr>
                <w:rFonts w:ascii="Arial" w:cs="Arial" w:eastAsia="Arial" w:hAnsi="Arial"/>
                <w:sz w:val="17"/>
                <w:szCs w:val="17"/>
                <w:color w:val="auto"/>
              </w:rPr>
              <w:t>1,109,517</w:t>
            </w:r>
          </w:p>
        </w:tc>
        <w:tc>
          <w:tcPr>
            <w:tcW w:w="24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76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4"/>
        </w:trPr>
        <w:tc>
          <w:tcPr>
            <w:tcW w:w="20" w:type="dxa"/>
            <w:vAlign w:val="bottom"/>
          </w:tcPr>
          <w:p>
            <w:pPr>
              <w:spacing w:after="0"/>
              <w:rPr>
                <w:sz w:val="17"/>
                <w:szCs w:val="17"/>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generated from/(used in) financing activities</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1,321,200</w:t>
            </w:r>
          </w:p>
        </w:tc>
        <w:tc>
          <w:tcPr>
            <w:tcW w:w="24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(31,650)</w:t>
            </w:r>
          </w:p>
        </w:tc>
        <w:tc>
          <w:tcPr>
            <w:tcW w:w="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(26,579)</w:t>
            </w: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(4,073)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4"/>
        </w:trPr>
        <w:tc>
          <w:tcPr>
            <w:tcW w:w="5420" w:type="dxa"/>
            <w:vAlign w:val="bottom"/>
            <w:gridSpan w:val="2"/>
          </w:tcPr>
          <w:p>
            <w:pPr>
              <w:spacing w:after="0"/>
              <w:rPr>
                <w:sz w:val="20"/>
                <w:szCs w:val="20"/>
                <w:color w:val="auto"/>
              </w:rPr>
            </w:pPr>
            <w:r>
              <w:rPr>
                <w:rFonts w:ascii="Arial" w:cs="Arial" w:eastAsia="Arial" w:hAnsi="Arial"/>
                <w:sz w:val="17"/>
                <w:szCs w:val="17"/>
                <w:color w:val="auto"/>
              </w:rPr>
              <w:t>Effect of exchange rate charges</w:t>
            </w:r>
          </w:p>
        </w:tc>
        <w:tc>
          <w:tcPr>
            <w:tcW w:w="1240" w:type="dxa"/>
            <w:vAlign w:val="bottom"/>
          </w:tcPr>
          <w:p>
            <w:pPr>
              <w:jc w:val="right"/>
              <w:spacing w:after="0"/>
              <w:rPr>
                <w:sz w:val="20"/>
                <w:szCs w:val="20"/>
                <w:color w:val="auto"/>
              </w:rPr>
            </w:pPr>
            <w:r>
              <w:rPr>
                <w:rFonts w:ascii="Arial" w:cs="Arial" w:eastAsia="Arial" w:hAnsi="Arial"/>
                <w:sz w:val="17"/>
                <w:szCs w:val="17"/>
                <w:color w:val="auto"/>
              </w:rPr>
              <w:t>107,510</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21,567</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(44,317)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(6,792)</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Net increase/(decrease) in cash and cash equivalents</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930,869</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38,527</w:t>
            </w: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(497,612)</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(76,262)</w:t>
            </w:r>
          </w:p>
        </w:tc>
      </w:tr>
      <w:tr>
        <w:trPr>
          <w:trHeight w:val="212"/>
        </w:trPr>
        <w:tc>
          <w:tcPr>
            <w:tcW w:w="20" w:type="dxa"/>
            <w:vAlign w:val="bottom"/>
          </w:tcPr>
          <w:p>
            <w:pPr>
              <w:spacing w:after="0"/>
              <w:rPr>
                <w:sz w:val="18"/>
                <w:szCs w:val="18"/>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the year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155,652</w:t>
            </w:r>
          </w:p>
        </w:tc>
        <w:tc>
          <w:tcPr>
            <w:tcW w:w="24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1,086,521</w:t>
            </w:r>
          </w:p>
        </w:tc>
        <w:tc>
          <w:tcPr>
            <w:tcW w:w="24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1,125,048</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172,421</w:t>
            </w:r>
          </w:p>
        </w:tc>
        <w:tc>
          <w:tcPr>
            <w:tcW w:w="10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end of the year</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1,086,521</w:t>
            </w:r>
          </w:p>
        </w:tc>
        <w:tc>
          <w:tcPr>
            <w:tcW w:w="240" w:type="dxa"/>
            <w:vAlign w:val="bottom"/>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1,125,048</w:t>
            </w:r>
          </w:p>
        </w:tc>
        <w:tc>
          <w:tcPr>
            <w:tcW w:w="240" w:type="dxa"/>
            <w:vAlign w:val="bottom"/>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627,436</w:t>
            </w:r>
          </w:p>
        </w:tc>
        <w:tc>
          <w:tcPr>
            <w:tcW w:w="2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96,159</w:t>
            </w:r>
          </w:p>
        </w:tc>
        <w:tc>
          <w:tcPr>
            <w:tcW w:w="100" w:type="dxa"/>
            <w:vAlign w:val="bottom"/>
            <w:shd w:val="clear" w:color="auto" w:fill="CFF0FC"/>
          </w:tcPr>
          <w:p>
            <w:pPr>
              <w:spacing w:after="0"/>
              <w:rPr>
                <w:sz w:val="17"/>
                <w:szCs w:val="17"/>
                <w:color w:val="auto"/>
              </w:rPr>
            </w:pPr>
          </w:p>
        </w:tc>
      </w:tr>
      <w:tr>
        <w:trPr>
          <w:trHeight w:val="61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80" w:type="dxa"/>
            <w:vAlign w:val="bottom"/>
            <w:gridSpan w:val="2"/>
          </w:tcPr>
          <w:p>
            <w:pPr>
              <w:jc w:val="right"/>
              <w:ind w:right="1100"/>
              <w:spacing w:after="0"/>
              <w:rPr>
                <w:sz w:val="20"/>
                <w:szCs w:val="20"/>
                <w:color w:val="auto"/>
              </w:rPr>
            </w:pPr>
            <w:r>
              <w:rPr>
                <w:rFonts w:ascii="Arial" w:cs="Arial" w:eastAsia="Arial" w:hAnsi="Arial"/>
                <w:sz w:val="17"/>
                <w:szCs w:val="17"/>
                <w:color w:val="181717"/>
              </w:rPr>
              <w:t>F-35</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5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-27940</wp:posOffset>
            </wp:positionV>
            <wp:extent cx="33020"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33020"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60"/>
          </w:cols>
          <w:pgMar w:left="300" w:top="326" w:right="3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7"/>
          <w:szCs w:val="17"/>
          <w:color w:val="181717"/>
        </w:rPr>
        <w:t>ADDITIONAL INFORMATION—FINANCIAL STATEMENT SCHEDULE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CONDENSED FINANCIAL INFORMATION OF PARENT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NOTES TO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(Amounts in thousands, except for share and per share data)</w:t>
      </w:r>
    </w:p>
    <w:p>
      <w:pPr>
        <w:spacing w:after="0" w:line="187" w:lineRule="exact"/>
        <w:rPr>
          <w:sz w:val="20"/>
          <w:szCs w:val="20"/>
          <w:color w:val="auto"/>
        </w:rPr>
      </w:pPr>
    </w:p>
    <w:p>
      <w:pPr>
        <w:ind w:left="540" w:hanging="540"/>
        <w:spacing w:after="0"/>
        <w:tabs>
          <w:tab w:leader="none" w:pos="540" w:val="left"/>
        </w:tabs>
        <w:numPr>
          <w:ilvl w:val="0"/>
          <w:numId w:val="91"/>
        </w:numPr>
        <w:rPr>
          <w:rFonts w:ascii="Arial" w:cs="Arial" w:eastAsia="Arial" w:hAnsi="Arial"/>
          <w:sz w:val="17"/>
          <w:szCs w:val="17"/>
          <w:b w:val="1"/>
          <w:bCs w:val="1"/>
          <w:color w:val="181717"/>
        </w:rPr>
      </w:pPr>
      <w:r>
        <w:rPr>
          <w:rFonts w:ascii="Arial" w:cs="Arial" w:eastAsia="Arial" w:hAnsi="Arial"/>
          <w:sz w:val="17"/>
          <w:szCs w:val="17"/>
          <w:b w:val="1"/>
          <w:bCs w:val="1"/>
          <w:color w:val="181717"/>
        </w:rPr>
        <w:t>BASIS FOR PREPARATION</w:t>
      </w:r>
    </w:p>
    <w:p>
      <w:pPr>
        <w:spacing w:after="0" w:line="232" w:lineRule="exact"/>
        <w:rPr>
          <w:sz w:val="20"/>
          <w:szCs w:val="20"/>
          <w:color w:val="auto"/>
        </w:rPr>
      </w:pPr>
    </w:p>
    <w:p>
      <w:pPr>
        <w:ind w:left="460" w:right="500"/>
        <w:spacing w:after="0" w:line="296" w:lineRule="auto"/>
        <w:rPr>
          <w:sz w:val="20"/>
          <w:szCs w:val="20"/>
          <w:color w:val="auto"/>
        </w:rPr>
      </w:pPr>
      <w:r>
        <w:rPr>
          <w:rFonts w:ascii="Arial" w:cs="Arial" w:eastAsia="Arial" w:hAnsi="Arial"/>
          <w:sz w:val="16"/>
          <w:szCs w:val="16"/>
          <w:color w:val="181717"/>
        </w:rPr>
        <w:t>The condensed financial information of Sunlands Technology Group has been prepared using the same accounting policies as set out in the accompanying consolidated financial statements except that the equity method has been used to account for investments in its subsidiaries.</w:t>
      </w:r>
    </w:p>
    <w:p>
      <w:pPr>
        <w:spacing w:after="0" w:line="140" w:lineRule="exact"/>
        <w:rPr>
          <w:sz w:val="20"/>
          <w:szCs w:val="20"/>
          <w:color w:val="auto"/>
        </w:rPr>
      </w:pPr>
    </w:p>
    <w:p>
      <w:pPr>
        <w:ind w:left="540" w:hanging="540"/>
        <w:spacing w:after="0"/>
        <w:tabs>
          <w:tab w:leader="none" w:pos="540" w:val="left"/>
        </w:tabs>
        <w:numPr>
          <w:ilvl w:val="0"/>
          <w:numId w:val="92"/>
        </w:numPr>
        <w:rPr>
          <w:rFonts w:ascii="Arial" w:cs="Arial" w:eastAsia="Arial" w:hAnsi="Arial"/>
          <w:sz w:val="17"/>
          <w:szCs w:val="17"/>
          <w:b w:val="1"/>
          <w:bCs w:val="1"/>
          <w:color w:val="181717"/>
        </w:rPr>
      </w:pPr>
      <w:r>
        <w:rPr>
          <w:rFonts w:ascii="Arial" w:cs="Arial" w:eastAsia="Arial" w:hAnsi="Arial"/>
          <w:sz w:val="17"/>
          <w:szCs w:val="17"/>
          <w:b w:val="1"/>
          <w:bCs w:val="1"/>
          <w:color w:val="181717"/>
        </w:rPr>
        <w:t>INVESTMENTS IN SUBSIDIARIES AND VIES AND VIES' SUBSIDIARIES</w:t>
      </w:r>
    </w:p>
    <w:p>
      <w:pPr>
        <w:spacing w:after="0" w:line="207" w:lineRule="exact"/>
        <w:rPr>
          <w:rFonts w:ascii="Arial" w:cs="Arial" w:eastAsia="Arial" w:hAnsi="Arial"/>
          <w:sz w:val="17"/>
          <w:szCs w:val="17"/>
          <w:b w:val="1"/>
          <w:bCs w:val="1"/>
          <w:color w:val="181717"/>
        </w:rPr>
      </w:pPr>
    </w:p>
    <w:p>
      <w:pPr>
        <w:ind w:left="540"/>
        <w:spacing w:after="0" w:line="295" w:lineRule="auto"/>
        <w:rPr>
          <w:rFonts w:ascii="Arial" w:cs="Arial" w:eastAsia="Arial" w:hAnsi="Arial"/>
          <w:sz w:val="17"/>
          <w:szCs w:val="17"/>
          <w:b w:val="1"/>
          <w:bCs w:val="1"/>
          <w:color w:val="181717"/>
        </w:rPr>
      </w:pPr>
      <w:r>
        <w:rPr>
          <w:rFonts w:ascii="Arial" w:cs="Arial" w:eastAsia="Arial" w:hAnsi="Arial"/>
          <w:sz w:val="15"/>
          <w:szCs w:val="15"/>
          <w:color w:val="auto"/>
        </w:rPr>
        <w:t>The Company, its subsidiaries, the VIEs and the VIEs’ subsidiaries were included in the consolidated financial statements where the inter-company balances and transactions were eliminated upon consolidation. For purpose of the Company’s stand-alone financial statements, its investments in subsidiaries, the VIEs and the VIEs’ subsidiaries were reported using the equity method of accounting. The Company’s share of loss from its subsidiaries, the VIEs and the VIEs’ subsidiaries were reported as equity in earnings of its subsidiaries, the VIEs and the VIEs’ subsidiaries in the condensed statements of operations.</w:t>
      </w:r>
    </w:p>
    <w:p>
      <w:pPr>
        <w:spacing w:after="0" w:line="169" w:lineRule="exact"/>
        <w:rPr>
          <w:rFonts w:ascii="Arial" w:cs="Arial" w:eastAsia="Arial" w:hAnsi="Arial"/>
          <w:sz w:val="17"/>
          <w:szCs w:val="17"/>
          <w:b w:val="1"/>
          <w:bCs w:val="1"/>
          <w:color w:val="181717"/>
        </w:rPr>
      </w:pPr>
    </w:p>
    <w:p>
      <w:pPr>
        <w:ind w:left="460" w:hanging="460"/>
        <w:spacing w:after="0"/>
        <w:tabs>
          <w:tab w:leader="none" w:pos="460" w:val="left"/>
        </w:tabs>
        <w:numPr>
          <w:ilvl w:val="0"/>
          <w:numId w:val="92"/>
        </w:numPr>
        <w:rPr>
          <w:rFonts w:ascii="Arial" w:cs="Arial" w:eastAsia="Arial" w:hAnsi="Arial"/>
          <w:sz w:val="17"/>
          <w:szCs w:val="17"/>
          <w:b w:val="1"/>
          <w:bCs w:val="1"/>
          <w:color w:val="181717"/>
        </w:rPr>
      </w:pPr>
      <w:r>
        <w:rPr>
          <w:rFonts w:ascii="Arial" w:cs="Arial" w:eastAsia="Arial" w:hAnsi="Arial"/>
          <w:sz w:val="17"/>
          <w:szCs w:val="17"/>
          <w:b w:val="1"/>
          <w:bCs w:val="1"/>
          <w:color w:val="181717"/>
        </w:rPr>
        <w:t>CONVENIENCE TRANSLATION</w:t>
      </w:r>
    </w:p>
    <w:p>
      <w:pPr>
        <w:spacing w:after="0" w:line="232" w:lineRule="exact"/>
        <w:rPr>
          <w:rFonts w:ascii="Arial" w:cs="Arial" w:eastAsia="Arial" w:hAnsi="Arial"/>
          <w:sz w:val="17"/>
          <w:szCs w:val="17"/>
          <w:b w:val="1"/>
          <w:bCs w:val="1"/>
          <w:color w:val="181717"/>
        </w:rPr>
      </w:pPr>
    </w:p>
    <w:p>
      <w:pPr>
        <w:ind w:left="460" w:right="60"/>
        <w:spacing w:after="0" w:line="288" w:lineRule="auto"/>
        <w:rPr>
          <w:rFonts w:ascii="Arial" w:cs="Arial" w:eastAsia="Arial" w:hAnsi="Arial"/>
          <w:sz w:val="17"/>
          <w:szCs w:val="17"/>
          <w:b w:val="1"/>
          <w:bCs w:val="1"/>
          <w:color w:val="181717"/>
        </w:rPr>
      </w:pPr>
      <w:r>
        <w:rPr>
          <w:rFonts w:ascii="Arial" w:cs="Arial" w:eastAsia="Arial" w:hAnsi="Arial"/>
          <w:sz w:val="15"/>
          <w:szCs w:val="15"/>
          <w:color w:val="auto"/>
        </w:rPr>
        <w:t>The Group’s business is primarily conducted in China and all of the revenues are denominated in RMB. However, periodic reports made to shareholders will include current period amounts translated into US dollars using the exchange rate as of balance sheet date, for the convenience of the readers. Translations of balances in the balance sheet, and the related statement of operations and cash flows from Renminbi (“RMB”) into US dollars as of and for the year ended December 31, 2020 are solely for the convenience of the readers and were calculated at the rate of US$1.00=RMB6.5250, representing the noon buying rate set forth in the H.10 statistical release of the U.S. Federal Reserve Board on December 31, 2020. No representation is made that the RMB amounts could have been, or could be, converted, realized or settled into US$ at that rate on December 31, 2020, or at any other rate.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81717"/>
        </w:rPr>
        <w:t>F-36</w:t>
      </w:r>
    </w:p>
    <w:p>
      <w:pPr>
        <w:sectPr>
          <w:pgSz w:w="11900" w:h="16838" w:orient="portrait"/>
          <w:cols w:equalWidth="0" w:num="1">
            <w:col w:w="11220"/>
          </w:cols>
          <w:pgMar w:left="320" w:top="326" w:right="359" w:bottom="1440" w:gutter="0" w:footer="0" w:header="0"/>
        </w:sectPr>
      </w:pPr>
    </w:p>
    <w:bookmarkStart w:id="150" w:name="page151"/>
    <w:bookmarkEnd w:id="150"/>
    <w:p>
      <w:pPr>
        <w:jc w:val="right"/>
        <w:ind w:right="40"/>
        <w:spacing w:after="0"/>
        <w:rPr>
          <w:sz w:val="20"/>
          <w:szCs w:val="20"/>
          <w:color w:val="auto"/>
        </w:rPr>
      </w:pPr>
      <w:r>
        <w:rPr>
          <w:rFonts w:ascii="Arial" w:cs="Arial" w:eastAsia="Arial" w:hAnsi="Arial"/>
          <w:sz w:val="17"/>
          <w:szCs w:val="17"/>
          <w:b w:val="1"/>
          <w:bCs w:val="1"/>
          <w:color w:val="auto"/>
        </w:rPr>
        <w:t>Exhibit 4.18</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Exclusive Technical Consultation and Service Agreement</w:t>
      </w:r>
    </w:p>
    <w:p>
      <w:pPr>
        <w:spacing w:after="0" w:line="277" w:lineRule="exact"/>
        <w:rPr>
          <w:sz w:val="20"/>
          <w:szCs w:val="20"/>
          <w:color w:val="auto"/>
        </w:rPr>
      </w:pPr>
    </w:p>
    <w:p>
      <w:pPr>
        <w:ind w:right="480"/>
        <w:spacing w:after="0" w:line="269" w:lineRule="auto"/>
        <w:rPr>
          <w:sz w:val="20"/>
          <w:szCs w:val="20"/>
          <w:color w:val="auto"/>
        </w:rPr>
      </w:pPr>
      <w:r>
        <w:rPr>
          <w:rFonts w:ascii="Arial" w:cs="Arial" w:eastAsia="Arial" w:hAnsi="Arial"/>
          <w:sz w:val="17"/>
          <w:szCs w:val="17"/>
          <w:color w:val="auto"/>
        </w:rPr>
        <w:t>This Exclusive Technical Consultation and Service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21st day of February, 2021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Beijing Feibian Education Technology Co., Ltd.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Registered Address: 1063 Huihe South Street, M1161, 1</w:t>
      </w:r>
      <w:r>
        <w:rPr>
          <w:rFonts w:ascii="Arial" w:cs="Arial" w:eastAsia="Arial" w:hAnsi="Arial"/>
          <w:sz w:val="13"/>
          <w:szCs w:val="13"/>
          <w:color w:val="auto"/>
        </w:rPr>
        <w:t>st</w:t>
      </w:r>
      <w:r>
        <w:rPr>
          <w:rFonts w:ascii="Arial" w:cs="Arial" w:eastAsia="Arial" w:hAnsi="Arial"/>
          <w:sz w:val="16"/>
          <w:szCs w:val="16"/>
          <w:color w:val="auto"/>
        </w:rPr>
        <w:t xml:space="preserve"> Floor, Building No. 1, Banbidian Villiage, Gaobeidian County, Chaoyang Dist., Beijing, China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CHENG Xinhui</w:t>
      </w:r>
    </w:p>
    <w:p>
      <w:pPr>
        <w:spacing w:after="0" w:line="19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540" w:hanging="491"/>
        <w:spacing w:after="0"/>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ind w:left="540" w:right="40" w:hanging="491"/>
        <w:spacing w:after="0" w:line="264"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Party A agrees to provide technical consultation and related services to Party B and Party B’s Subsidiaries, and Party B and Party B’s Subsidiaries agree to accept such technical consultation and related services provided by Party A.</w:t>
      </w:r>
    </w:p>
    <w:p>
      <w:pPr>
        <w:spacing w:after="0" w:line="164" w:lineRule="exact"/>
        <w:rPr>
          <w:sz w:val="20"/>
          <w:szCs w:val="20"/>
          <w:color w:val="auto"/>
        </w:rPr>
      </w:pPr>
    </w:p>
    <w:p>
      <w:pPr>
        <w:ind w:right="560" w:firstLine="42"/>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900" w:hanging="851"/>
        <w:spacing w:after="0"/>
        <w:tabs>
          <w:tab w:leader="none" w:pos="90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Technical Consultation and Services: Sole and Exclusive Rights and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20" w:type="dxa"/>
            <w:vAlign w:val="bottom"/>
          </w:tcPr>
          <w:p>
            <w:pPr>
              <w:jc w:val="right"/>
              <w:ind w:right="237"/>
              <w:spacing w:after="0"/>
              <w:rPr>
                <w:sz w:val="20"/>
                <w:szCs w:val="20"/>
                <w:color w:val="auto"/>
              </w:rPr>
            </w:pPr>
            <w:r>
              <w:rPr>
                <w:rFonts w:ascii="Arial" w:cs="Arial" w:eastAsia="Arial" w:hAnsi="Arial"/>
                <w:sz w:val="17"/>
                <w:szCs w:val="17"/>
                <w:color w:val="auto"/>
              </w:rPr>
              <w:t>1.1</w:t>
            </w:r>
          </w:p>
        </w:tc>
        <w:tc>
          <w:tcPr>
            <w:tcW w:w="9860" w:type="dxa"/>
            <w:vAlign w:val="bottom"/>
          </w:tcPr>
          <w:p>
            <w:pPr>
              <w:ind w:left="320"/>
              <w:spacing w:after="0"/>
              <w:rPr>
                <w:sz w:val="20"/>
                <w:szCs w:val="20"/>
                <w:color w:val="auto"/>
              </w:rPr>
            </w:pPr>
            <w:r>
              <w:rPr>
                <w:rFonts w:ascii="Arial" w:cs="Arial" w:eastAsia="Arial" w:hAnsi="Arial"/>
                <w:sz w:val="17"/>
                <w:szCs w:val="17"/>
                <w:color w:val="auto"/>
                <w:w w:val="91"/>
              </w:rPr>
              <w:t>Within the term of this Agreement, Party A agrees that it shall, as the exclusive technical consultation and services provider of Party B and</w:t>
            </w:r>
          </w:p>
        </w:tc>
      </w:tr>
      <w:tr>
        <w:trPr>
          <w:trHeight w:val="199"/>
        </w:trPr>
        <w:tc>
          <w:tcPr>
            <w:tcW w:w="1420" w:type="dxa"/>
            <w:vAlign w:val="bottom"/>
          </w:tcPr>
          <w:p>
            <w:pPr>
              <w:spacing w:after="0"/>
              <w:rPr>
                <w:sz w:val="17"/>
                <w:szCs w:val="17"/>
                <w:color w:val="auto"/>
              </w:rPr>
            </w:pPr>
          </w:p>
        </w:tc>
        <w:tc>
          <w:tcPr>
            <w:tcW w:w="9860" w:type="dxa"/>
            <w:vAlign w:val="bottom"/>
          </w:tcPr>
          <w:p>
            <w:pPr>
              <w:ind w:left="320"/>
              <w:spacing w:after="0"/>
              <w:rPr>
                <w:sz w:val="20"/>
                <w:szCs w:val="20"/>
                <w:color w:val="auto"/>
              </w:rPr>
            </w:pPr>
            <w:r>
              <w:rPr>
                <w:rFonts w:ascii="Arial" w:cs="Arial" w:eastAsia="Arial" w:hAnsi="Arial"/>
                <w:sz w:val="17"/>
                <w:szCs w:val="17"/>
                <w:color w:val="auto"/>
                <w:w w:val="93"/>
              </w:rPr>
              <w:t>Party B’s Subsidiaries, provide Party B and Party B’s Subsidiaries with the relevant technical consultation and services (See Annex I for</w:t>
            </w:r>
          </w:p>
        </w:tc>
      </w:tr>
      <w:tr>
        <w:trPr>
          <w:trHeight w:val="212"/>
        </w:trPr>
        <w:tc>
          <w:tcPr>
            <w:tcW w:w="142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7"/>
                <w:szCs w:val="17"/>
                <w:color w:val="auto"/>
              </w:rPr>
              <w:t>specific content) according to the terms of this Agreement.</w:t>
            </w:r>
          </w:p>
        </w:tc>
      </w:tr>
      <w:tr>
        <w:trPr>
          <w:trHeight w:val="386"/>
        </w:trPr>
        <w:tc>
          <w:tcPr>
            <w:tcW w:w="1420" w:type="dxa"/>
            <w:vAlign w:val="bottom"/>
          </w:tcPr>
          <w:p>
            <w:pPr>
              <w:jc w:val="right"/>
              <w:ind w:right="237"/>
              <w:spacing w:after="0"/>
              <w:rPr>
                <w:sz w:val="20"/>
                <w:szCs w:val="20"/>
                <w:color w:val="auto"/>
              </w:rPr>
            </w:pPr>
            <w:r>
              <w:rPr>
                <w:rFonts w:ascii="Arial" w:cs="Arial" w:eastAsia="Arial" w:hAnsi="Arial"/>
                <w:sz w:val="17"/>
                <w:szCs w:val="17"/>
                <w:color w:val="auto"/>
              </w:rPr>
              <w:t>1.2</w:t>
            </w:r>
          </w:p>
        </w:tc>
        <w:tc>
          <w:tcPr>
            <w:tcW w:w="9860" w:type="dxa"/>
            <w:vAlign w:val="bottom"/>
          </w:tcPr>
          <w:p>
            <w:pPr>
              <w:ind w:left="320"/>
              <w:spacing w:after="0"/>
              <w:rPr>
                <w:sz w:val="20"/>
                <w:szCs w:val="20"/>
                <w:color w:val="auto"/>
              </w:rPr>
            </w:pPr>
            <w:r>
              <w:rPr>
                <w:rFonts w:ascii="Arial" w:cs="Arial" w:eastAsia="Arial" w:hAnsi="Arial"/>
                <w:sz w:val="17"/>
                <w:szCs w:val="17"/>
                <w:color w:val="auto"/>
                <w:w w:val="95"/>
              </w:rPr>
              <w:t>Party B and Party B’s Subsidiaries agree to accept the technical consultation and services provided by Party A within the term of this</w:t>
            </w:r>
          </w:p>
        </w:tc>
      </w:tr>
      <w:tr>
        <w:trPr>
          <w:trHeight w:val="199"/>
        </w:trPr>
        <w:tc>
          <w:tcPr>
            <w:tcW w:w="1420" w:type="dxa"/>
            <w:vAlign w:val="bottom"/>
          </w:tcPr>
          <w:p>
            <w:pPr>
              <w:spacing w:after="0"/>
              <w:rPr>
                <w:sz w:val="17"/>
                <w:szCs w:val="17"/>
                <w:color w:val="auto"/>
              </w:rPr>
            </w:pPr>
          </w:p>
        </w:tc>
        <w:tc>
          <w:tcPr>
            <w:tcW w:w="9860" w:type="dxa"/>
            <w:vAlign w:val="bottom"/>
          </w:tcPr>
          <w:p>
            <w:pPr>
              <w:ind w:left="320"/>
              <w:spacing w:after="0"/>
              <w:rPr>
                <w:sz w:val="20"/>
                <w:szCs w:val="20"/>
                <w:color w:val="auto"/>
              </w:rPr>
            </w:pPr>
            <w:r>
              <w:rPr>
                <w:rFonts w:ascii="Arial" w:cs="Arial" w:eastAsia="Arial" w:hAnsi="Arial"/>
                <w:sz w:val="17"/>
                <w:szCs w:val="17"/>
                <w:color w:val="auto"/>
                <w:w w:val="89"/>
              </w:rPr>
              <w:t>Agreement. In consideration of the value of the technical consultation and services provided by Party A and the good cooperative relationship</w:t>
            </w:r>
          </w:p>
        </w:tc>
      </w:tr>
      <w:tr>
        <w:trPr>
          <w:trHeight w:val="199"/>
        </w:trPr>
        <w:tc>
          <w:tcPr>
            <w:tcW w:w="1420" w:type="dxa"/>
            <w:vAlign w:val="bottom"/>
          </w:tcPr>
          <w:p>
            <w:pPr>
              <w:spacing w:after="0"/>
              <w:rPr>
                <w:sz w:val="17"/>
                <w:szCs w:val="17"/>
                <w:color w:val="auto"/>
              </w:rPr>
            </w:pPr>
          </w:p>
        </w:tc>
        <w:tc>
          <w:tcPr>
            <w:tcW w:w="9860" w:type="dxa"/>
            <w:vAlign w:val="bottom"/>
          </w:tcPr>
          <w:p>
            <w:pPr>
              <w:ind w:left="320"/>
              <w:spacing w:after="0"/>
              <w:rPr>
                <w:sz w:val="20"/>
                <w:szCs w:val="20"/>
                <w:color w:val="auto"/>
              </w:rPr>
            </w:pPr>
            <w:r>
              <w:rPr>
                <w:rFonts w:ascii="Arial" w:cs="Arial" w:eastAsia="Arial" w:hAnsi="Arial"/>
                <w:sz w:val="17"/>
                <w:szCs w:val="17"/>
                <w:color w:val="auto"/>
                <w:w w:val="90"/>
              </w:rPr>
              <w:t>among the Parties hereto, Party B and Party B’s Subsidiaries further agree that, unless they obtain the prior written consent of Party A, they</w:t>
            </w:r>
          </w:p>
        </w:tc>
      </w:tr>
      <w:tr>
        <w:trPr>
          <w:trHeight w:val="199"/>
        </w:trPr>
        <w:tc>
          <w:tcPr>
            <w:tcW w:w="1420" w:type="dxa"/>
            <w:vAlign w:val="bottom"/>
          </w:tcPr>
          <w:p>
            <w:pPr>
              <w:spacing w:after="0"/>
              <w:rPr>
                <w:sz w:val="17"/>
                <w:szCs w:val="17"/>
                <w:color w:val="auto"/>
              </w:rPr>
            </w:pPr>
          </w:p>
        </w:tc>
        <w:tc>
          <w:tcPr>
            <w:tcW w:w="9860" w:type="dxa"/>
            <w:vAlign w:val="bottom"/>
          </w:tcPr>
          <w:p>
            <w:pPr>
              <w:ind w:left="320"/>
              <w:spacing w:after="0"/>
              <w:rPr>
                <w:sz w:val="20"/>
                <w:szCs w:val="20"/>
                <w:color w:val="auto"/>
              </w:rPr>
            </w:pPr>
            <w:r>
              <w:rPr>
                <w:rFonts w:ascii="Arial" w:cs="Arial" w:eastAsia="Arial" w:hAnsi="Arial"/>
                <w:sz w:val="17"/>
                <w:szCs w:val="17"/>
                <w:color w:val="auto"/>
                <w:w w:val="89"/>
              </w:rPr>
              <w:t>shall not accept any technical consultation and services provided by any third party in respect of the business scope involved herein within the</w:t>
            </w:r>
          </w:p>
        </w:tc>
      </w:tr>
      <w:tr>
        <w:trPr>
          <w:trHeight w:val="212"/>
        </w:trPr>
        <w:tc>
          <w:tcPr>
            <w:tcW w:w="142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7"/>
                <w:szCs w:val="17"/>
                <w:color w:val="auto"/>
              </w:rPr>
              <w:t>term of this Agreement.</w:t>
            </w:r>
          </w:p>
        </w:tc>
      </w:tr>
      <w:tr>
        <w:trPr>
          <w:trHeight w:val="104"/>
        </w:trPr>
        <w:tc>
          <w:tcPr>
            <w:tcW w:w="1420" w:type="dxa"/>
            <w:vAlign w:val="bottom"/>
            <w:tcBorders>
              <w:bottom w:val="single" w:sz="8" w:color="9A9A9A"/>
            </w:tcBorders>
          </w:tcPr>
          <w:p>
            <w:pPr>
              <w:spacing w:after="0"/>
              <w:rPr>
                <w:sz w:val="9"/>
                <w:szCs w:val="9"/>
                <w:color w:val="auto"/>
              </w:rPr>
            </w:pPr>
          </w:p>
        </w:tc>
        <w:tc>
          <w:tcPr>
            <w:tcW w:w="9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151" w:name="page152"/>
    <w:bookmarkEnd w:id="151"/>
    <w:tbl>
      <w:tblPr>
        <w:tblLayout w:type="fixed"/>
        <w:tblInd w:w="860" w:type="dxa"/>
        <w:tblCellMar>
          <w:top w:w="0" w:type="dxa"/>
          <w:left w:w="0" w:type="dxa"/>
          <w:bottom w:w="0" w:type="dxa"/>
          <w:right w:w="0" w:type="dxa"/>
        </w:tblCellMar>
      </w:tblPr>
      <w:tr>
        <w:trPr>
          <w:trHeight w:val="199"/>
        </w:trPr>
        <w:tc>
          <w:tcPr>
            <w:tcW w:w="560" w:type="dxa"/>
            <w:vAlign w:val="bottom"/>
          </w:tcPr>
          <w:p>
            <w:pPr>
              <w:spacing w:after="0"/>
              <w:rPr>
                <w:sz w:val="20"/>
                <w:szCs w:val="20"/>
                <w:color w:val="auto"/>
              </w:rPr>
            </w:pPr>
            <w:r>
              <w:rPr>
                <w:rFonts w:ascii="Arial" w:cs="Arial" w:eastAsia="Arial" w:hAnsi="Arial"/>
                <w:sz w:val="17"/>
                <w:szCs w:val="17"/>
                <w:color w:val="auto"/>
              </w:rPr>
              <w:t>1.3</w:t>
            </w:r>
          </w:p>
        </w:tc>
        <w:tc>
          <w:tcPr>
            <w:tcW w:w="9820" w:type="dxa"/>
            <w:vAlign w:val="bottom"/>
          </w:tcPr>
          <w:p>
            <w:pPr>
              <w:ind w:left="340"/>
              <w:spacing w:after="0"/>
              <w:rPr>
                <w:sz w:val="20"/>
                <w:szCs w:val="20"/>
                <w:color w:val="auto"/>
              </w:rPr>
            </w:pPr>
            <w:r>
              <w:rPr>
                <w:rFonts w:ascii="Arial" w:cs="Arial" w:eastAsia="Arial" w:hAnsi="Arial"/>
                <w:sz w:val="17"/>
                <w:szCs w:val="17"/>
                <w:color w:val="auto"/>
                <w:w w:val="92"/>
              </w:rPr>
              <w:t>For all rights, titles, interests and intellectual property rights (including but not limited to any copyrights, patents, technical know-how and</w:t>
            </w:r>
          </w:p>
        </w:tc>
      </w:tr>
      <w:tr>
        <w:trPr>
          <w:trHeight w:val="199"/>
        </w:trPr>
        <w:tc>
          <w:tcPr>
            <w:tcW w:w="560" w:type="dxa"/>
            <w:vAlign w:val="bottom"/>
          </w:tcPr>
          <w:p>
            <w:pPr>
              <w:spacing w:after="0"/>
              <w:rPr>
                <w:sz w:val="17"/>
                <w:szCs w:val="17"/>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w w:val="91"/>
              </w:rPr>
              <w:t>business secrets) arising out of the performance of this Agreement, whether developed by Party A or developed by Party B and Party B’s</w:t>
            </w:r>
          </w:p>
        </w:tc>
      </w:tr>
      <w:tr>
        <w:trPr>
          <w:trHeight w:val="199"/>
        </w:trPr>
        <w:tc>
          <w:tcPr>
            <w:tcW w:w="560" w:type="dxa"/>
            <w:vAlign w:val="bottom"/>
          </w:tcPr>
          <w:p>
            <w:pPr>
              <w:spacing w:after="0"/>
              <w:rPr>
                <w:sz w:val="17"/>
                <w:szCs w:val="17"/>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w w:val="90"/>
              </w:rPr>
              <w:t>Subsidiaries based on Party A’s intellectual property rights or developed by Party A based on any intellectual property rights of Party B and</w:t>
            </w:r>
          </w:p>
        </w:tc>
      </w:tr>
      <w:tr>
        <w:trPr>
          <w:trHeight w:val="199"/>
        </w:trPr>
        <w:tc>
          <w:tcPr>
            <w:tcW w:w="560" w:type="dxa"/>
            <w:vAlign w:val="bottom"/>
          </w:tcPr>
          <w:p>
            <w:pPr>
              <w:spacing w:after="0"/>
              <w:rPr>
                <w:sz w:val="17"/>
                <w:szCs w:val="17"/>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w w:val="88"/>
              </w:rPr>
              <w:t>Party B’s Subsidiaries, Party A shall enjoy any sole and exclusive rights and interests therein, and Party B and Party B’s Subsidiaries shall not</w:t>
            </w:r>
          </w:p>
        </w:tc>
      </w:tr>
      <w:tr>
        <w:trPr>
          <w:trHeight w:val="212"/>
        </w:trPr>
        <w:tc>
          <w:tcPr>
            <w:tcW w:w="56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rPr>
              <w:t>assert any rights, titles, interests and intellectual property rights to Party A.</w:t>
            </w:r>
          </w:p>
        </w:tc>
      </w:tr>
      <w:tr>
        <w:trPr>
          <w:trHeight w:val="399"/>
        </w:trPr>
        <w:tc>
          <w:tcPr>
            <w:tcW w:w="560" w:type="dxa"/>
            <w:vAlign w:val="bottom"/>
          </w:tcPr>
          <w:p>
            <w:pPr>
              <w:ind w:left="20"/>
              <w:spacing w:after="0"/>
              <w:rPr>
                <w:sz w:val="20"/>
                <w:szCs w:val="20"/>
                <w:color w:val="auto"/>
              </w:rPr>
            </w:pPr>
            <w:r>
              <w:rPr>
                <w:rFonts w:ascii="Arial" w:cs="Arial" w:eastAsia="Arial" w:hAnsi="Arial"/>
                <w:sz w:val="17"/>
                <w:szCs w:val="17"/>
                <w:color w:val="auto"/>
              </w:rPr>
              <w:t>1.4</w:t>
            </w:r>
          </w:p>
        </w:tc>
        <w:tc>
          <w:tcPr>
            <w:tcW w:w="9820" w:type="dxa"/>
            <w:vAlign w:val="bottom"/>
          </w:tcPr>
          <w:p>
            <w:pPr>
              <w:ind w:left="340"/>
              <w:spacing w:after="0"/>
              <w:rPr>
                <w:sz w:val="20"/>
                <w:szCs w:val="20"/>
                <w:color w:val="auto"/>
              </w:rPr>
            </w:pPr>
            <w:r>
              <w:rPr>
                <w:rFonts w:ascii="Arial" w:cs="Arial" w:eastAsia="Arial" w:hAnsi="Arial"/>
                <w:sz w:val="17"/>
                <w:szCs w:val="17"/>
                <w:color w:val="auto"/>
              </w:rPr>
              <w:t>Provided that, if developed by Party A based on any intellectual property rights</w:t>
            </w:r>
          </w:p>
        </w:tc>
      </w:tr>
    </w:tbl>
    <w:p>
      <w:pPr>
        <w:spacing w:after="0" w:line="187" w:lineRule="exact"/>
        <w:rPr>
          <w:sz w:val="20"/>
          <w:szCs w:val="20"/>
          <w:color w:val="auto"/>
        </w:rPr>
      </w:pPr>
    </w:p>
    <w:p>
      <w:pPr>
        <w:ind w:right="220" w:firstLine="42"/>
        <w:spacing w:after="0" w:line="278" w:lineRule="auto"/>
        <w:rPr>
          <w:sz w:val="20"/>
          <w:szCs w:val="20"/>
          <w:color w:val="auto"/>
        </w:rPr>
      </w:pPr>
      <w:r>
        <w:rPr>
          <w:rFonts w:ascii="Arial" w:cs="Arial" w:eastAsia="Arial" w:hAnsi="Arial"/>
          <w:sz w:val="16"/>
          <w:szCs w:val="16"/>
          <w:color w:val="auto"/>
        </w:rPr>
        <w:t>of Party B and Party B’s Subsidiaries, Party B and Party B’s Subsidiaries shall ensure that such intellectual property rights are free from any defects, otherwise, any losses caused to Party A shall be borne by Party B and Party B’s Subsidiaries. If Party A bear the compensation liability to any third party therefor, Party A shall have the right to recover all its losses from Party B and Party B’s Subsidiaries after Party A makes such compensation.</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60" w:type="dxa"/>
            <w:vAlign w:val="bottom"/>
          </w:tcPr>
          <w:p>
            <w:pPr>
              <w:jc w:val="right"/>
              <w:ind w:right="277"/>
              <w:spacing w:after="0"/>
              <w:rPr>
                <w:sz w:val="20"/>
                <w:szCs w:val="20"/>
                <w:color w:val="auto"/>
              </w:rPr>
            </w:pPr>
            <w:r>
              <w:rPr>
                <w:rFonts w:ascii="Arial" w:cs="Arial" w:eastAsia="Arial" w:hAnsi="Arial"/>
                <w:sz w:val="17"/>
                <w:szCs w:val="17"/>
                <w:color w:val="auto"/>
                <w:w w:val="75"/>
              </w:rPr>
              <w:t>1.5</w:t>
            </w:r>
          </w:p>
        </w:tc>
        <w:tc>
          <w:tcPr>
            <w:tcW w:w="9820" w:type="dxa"/>
            <w:vAlign w:val="bottom"/>
          </w:tcPr>
          <w:p>
            <w:pPr>
              <w:ind w:left="340"/>
              <w:spacing w:after="0"/>
              <w:rPr>
                <w:sz w:val="20"/>
                <w:szCs w:val="20"/>
                <w:color w:val="auto"/>
              </w:rPr>
            </w:pPr>
            <w:r>
              <w:rPr>
                <w:rFonts w:ascii="Arial" w:cs="Arial" w:eastAsia="Arial" w:hAnsi="Arial"/>
                <w:sz w:val="17"/>
                <w:szCs w:val="17"/>
                <w:color w:val="auto"/>
                <w:w w:val="89"/>
              </w:rPr>
              <w:t>In consideration of the good cooperative relationship among the Parties hereto, Party B and Party B’s Subsidiaries undertake that, if they are</w:t>
            </w:r>
          </w:p>
        </w:tc>
      </w:tr>
      <w:tr>
        <w:trPr>
          <w:trHeight w:val="199"/>
        </w:trPr>
        <w:tc>
          <w:tcPr>
            <w:tcW w:w="560" w:type="dxa"/>
            <w:vAlign w:val="bottom"/>
          </w:tcPr>
          <w:p>
            <w:pPr>
              <w:spacing w:after="0"/>
              <w:rPr>
                <w:sz w:val="17"/>
                <w:szCs w:val="17"/>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w w:val="88"/>
              </w:rPr>
              <w:t>intended to carry out any business cooperation with any other enterprises, they shall obtain the consent of Party A, and Party A or its affiliates</w:t>
            </w:r>
          </w:p>
        </w:tc>
      </w:tr>
      <w:tr>
        <w:trPr>
          <w:trHeight w:val="212"/>
        </w:trPr>
        <w:tc>
          <w:tcPr>
            <w:tcW w:w="56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rPr>
              <w:t>shall have the priority of cooperation under the same conditions.</w:t>
            </w:r>
          </w:p>
        </w:tc>
      </w:tr>
    </w:tbl>
    <w:p>
      <w:pPr>
        <w:spacing w:after="0" w:line="183" w:lineRule="exact"/>
        <w:rPr>
          <w:sz w:val="20"/>
          <w:szCs w:val="20"/>
          <w:color w:val="auto"/>
        </w:rPr>
      </w:pPr>
    </w:p>
    <w:p>
      <w:pPr>
        <w:ind w:left="900" w:hanging="851"/>
        <w:spacing w:after="0"/>
        <w:tabs>
          <w:tab w:leader="none" w:pos="90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 and Payment of Technical Consultation and Service Fees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Service Fees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60" w:type="dxa"/>
            <w:vAlign w:val="bottom"/>
          </w:tcPr>
          <w:p>
            <w:pPr>
              <w:ind w:left="20"/>
              <w:spacing w:after="0"/>
              <w:rPr>
                <w:sz w:val="20"/>
                <w:szCs w:val="20"/>
                <w:color w:val="auto"/>
              </w:rPr>
            </w:pPr>
            <w:r>
              <w:rPr>
                <w:rFonts w:ascii="Arial" w:cs="Arial" w:eastAsia="Arial" w:hAnsi="Arial"/>
                <w:sz w:val="17"/>
                <w:szCs w:val="17"/>
                <w:color w:val="auto"/>
              </w:rPr>
              <w:t>2.1</w:t>
            </w:r>
          </w:p>
        </w:tc>
        <w:tc>
          <w:tcPr>
            <w:tcW w:w="9820" w:type="dxa"/>
            <w:vAlign w:val="bottom"/>
          </w:tcPr>
          <w:p>
            <w:pPr>
              <w:ind w:left="340"/>
              <w:spacing w:after="0"/>
              <w:rPr>
                <w:sz w:val="20"/>
                <w:szCs w:val="20"/>
                <w:color w:val="auto"/>
              </w:rPr>
            </w:pPr>
            <w:r>
              <w:rPr>
                <w:rFonts w:ascii="Arial" w:cs="Arial" w:eastAsia="Arial" w:hAnsi="Arial"/>
                <w:sz w:val="17"/>
                <w:szCs w:val="17"/>
                <w:color w:val="auto"/>
                <w:w w:val="90"/>
              </w:rPr>
              <w:t>The Parties hereto agree that any Service Fees under this Agreement shall be determined and paid in such way as listed in Annex II hereto.</w:t>
            </w:r>
          </w:p>
        </w:tc>
      </w:tr>
      <w:tr>
        <w:trPr>
          <w:trHeight w:val="386"/>
        </w:trPr>
        <w:tc>
          <w:tcPr>
            <w:tcW w:w="560" w:type="dxa"/>
            <w:vAlign w:val="bottom"/>
          </w:tcPr>
          <w:p>
            <w:pPr>
              <w:spacing w:after="0"/>
              <w:rPr>
                <w:sz w:val="20"/>
                <w:szCs w:val="20"/>
                <w:color w:val="auto"/>
              </w:rPr>
            </w:pPr>
            <w:r>
              <w:rPr>
                <w:rFonts w:ascii="Arial" w:cs="Arial" w:eastAsia="Arial" w:hAnsi="Arial"/>
                <w:sz w:val="17"/>
                <w:szCs w:val="17"/>
                <w:color w:val="auto"/>
              </w:rPr>
              <w:t>2.2</w:t>
            </w:r>
          </w:p>
        </w:tc>
        <w:tc>
          <w:tcPr>
            <w:tcW w:w="9820" w:type="dxa"/>
            <w:vAlign w:val="bottom"/>
          </w:tcPr>
          <w:p>
            <w:pPr>
              <w:ind w:left="340"/>
              <w:spacing w:after="0"/>
              <w:rPr>
                <w:sz w:val="20"/>
                <w:szCs w:val="20"/>
                <w:color w:val="auto"/>
              </w:rPr>
            </w:pPr>
            <w:r>
              <w:rPr>
                <w:rFonts w:ascii="Arial" w:cs="Arial" w:eastAsia="Arial" w:hAnsi="Arial"/>
                <w:sz w:val="17"/>
                <w:szCs w:val="17"/>
                <w:color w:val="auto"/>
                <w:w w:val="90"/>
              </w:rPr>
              <w:t>If Party B and Party B’s Subsidiaries fail to pay any Service Fees and other expenses according to the provisions of this Agreement, Party B</w:t>
            </w:r>
          </w:p>
        </w:tc>
      </w:tr>
      <w:tr>
        <w:trPr>
          <w:trHeight w:val="212"/>
        </w:trPr>
        <w:tc>
          <w:tcPr>
            <w:tcW w:w="56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rPr>
              <w:t>and Party B’s Subsidiaries shall separately pay to Party A a default fine on the basis of 0.05% of the amount owed per day.</w:t>
            </w:r>
          </w:p>
        </w:tc>
      </w:tr>
      <w:tr>
        <w:trPr>
          <w:trHeight w:val="382"/>
        </w:trPr>
        <w:tc>
          <w:tcPr>
            <w:tcW w:w="560" w:type="dxa"/>
            <w:vAlign w:val="bottom"/>
          </w:tcPr>
          <w:p>
            <w:pPr>
              <w:spacing w:after="0"/>
              <w:rPr>
                <w:sz w:val="20"/>
                <w:szCs w:val="20"/>
                <w:color w:val="auto"/>
              </w:rPr>
            </w:pPr>
            <w:r>
              <w:rPr>
                <w:rFonts w:ascii="Arial" w:cs="Arial" w:eastAsia="Arial" w:hAnsi="Arial"/>
                <w:sz w:val="17"/>
                <w:szCs w:val="17"/>
                <w:color w:val="auto"/>
              </w:rPr>
              <w:t>2.3</w:t>
            </w:r>
          </w:p>
        </w:tc>
        <w:tc>
          <w:tcPr>
            <w:tcW w:w="9820" w:type="dxa"/>
            <w:vAlign w:val="bottom"/>
          </w:tcPr>
          <w:p>
            <w:pPr>
              <w:ind w:left="340"/>
              <w:spacing w:after="0"/>
              <w:rPr>
                <w:sz w:val="20"/>
                <w:szCs w:val="20"/>
                <w:color w:val="auto"/>
              </w:rPr>
            </w:pPr>
            <w:r>
              <w:rPr>
                <w:rFonts w:ascii="Arial" w:cs="Arial" w:eastAsia="Arial" w:hAnsi="Arial"/>
                <w:sz w:val="17"/>
                <w:szCs w:val="17"/>
                <w:color w:val="auto"/>
                <w:w w:val="93"/>
              </w:rPr>
              <w:t>Party A shall have the right to assign its employees or certified public accountants of China or other countries (hereinafter referred to as</w:t>
            </w:r>
          </w:p>
        </w:tc>
      </w:tr>
      <w:tr>
        <w:trPr>
          <w:trHeight w:val="203"/>
        </w:trPr>
        <w:tc>
          <w:tcPr>
            <w:tcW w:w="560" w:type="dxa"/>
            <w:vAlign w:val="bottom"/>
          </w:tcPr>
          <w:p>
            <w:pPr>
              <w:spacing w:after="0"/>
              <w:rPr>
                <w:sz w:val="17"/>
                <w:szCs w:val="17"/>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b w:val="1"/>
                <w:bCs w:val="1"/>
                <w:color w:val="auto"/>
                <w:w w:val="90"/>
              </w:rPr>
              <w:t>Party A’s Authorized Representative</w:t>
            </w:r>
            <w:r>
              <w:rPr>
                <w:rFonts w:ascii="Arial" w:cs="Arial" w:eastAsia="Arial" w:hAnsi="Arial"/>
                <w:sz w:val="17"/>
                <w:szCs w:val="17"/>
                <w:color w:val="auto"/>
                <w:w w:val="90"/>
              </w:rPr>
              <w:t>”) at its own expense to check the accounts of Party B and Party B’s Subsidiaries so as to audit the</w:t>
            </w:r>
          </w:p>
        </w:tc>
      </w:tr>
      <w:tr>
        <w:trPr>
          <w:trHeight w:val="199"/>
        </w:trPr>
        <w:tc>
          <w:tcPr>
            <w:tcW w:w="560" w:type="dxa"/>
            <w:vAlign w:val="bottom"/>
          </w:tcPr>
          <w:p>
            <w:pPr>
              <w:spacing w:after="0"/>
              <w:rPr>
                <w:sz w:val="17"/>
                <w:szCs w:val="17"/>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w w:val="97"/>
              </w:rPr>
              <w:t>calculation method and amount of Service Fees. Therefore, Party B and Party B’s Subsidiaries shall provide Party A’s Authorized</w:t>
            </w:r>
          </w:p>
        </w:tc>
      </w:tr>
      <w:tr>
        <w:trPr>
          <w:trHeight w:val="199"/>
        </w:trPr>
        <w:tc>
          <w:tcPr>
            <w:tcW w:w="560" w:type="dxa"/>
            <w:vAlign w:val="bottom"/>
          </w:tcPr>
          <w:p>
            <w:pPr>
              <w:spacing w:after="0"/>
              <w:rPr>
                <w:sz w:val="17"/>
                <w:szCs w:val="17"/>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w w:val="88"/>
              </w:rPr>
              <w:t>Representative with any documents, accounts, records and data required by Party A’s Authorized Representative so that Party A’s Authorized</w:t>
            </w:r>
          </w:p>
        </w:tc>
      </w:tr>
      <w:tr>
        <w:trPr>
          <w:trHeight w:val="212"/>
        </w:trPr>
        <w:tc>
          <w:tcPr>
            <w:tcW w:w="56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rPr>
              <w:t>Representative can audit the accounts of Party B and Party B’s</w:t>
            </w:r>
          </w:p>
        </w:tc>
      </w:tr>
    </w:tbl>
    <w:p>
      <w:pPr>
        <w:spacing w:after="0" w:line="187" w:lineRule="exact"/>
        <w:rPr>
          <w:sz w:val="20"/>
          <w:szCs w:val="20"/>
          <w:color w:val="auto"/>
        </w:rPr>
      </w:pPr>
    </w:p>
    <w:p>
      <w:pPr>
        <w:jc w:val="both"/>
        <w:ind w:firstLine="42"/>
        <w:spacing w:after="0" w:line="264" w:lineRule="auto"/>
        <w:rPr>
          <w:sz w:val="20"/>
          <w:szCs w:val="20"/>
          <w:color w:val="auto"/>
        </w:rPr>
      </w:pPr>
      <w:r>
        <w:rPr>
          <w:rFonts w:ascii="Arial" w:cs="Arial" w:eastAsia="Arial" w:hAnsi="Arial"/>
          <w:sz w:val="17"/>
          <w:szCs w:val="17"/>
          <w:color w:val="auto"/>
        </w:rPr>
        <w:t>Subsidiaries and determine the amount of Service Fees. Unless there are any gross errors, the amount of Service Fees shall be subject to the amount determined by Party A’s Authorized Representative.</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60" w:type="dxa"/>
            <w:vAlign w:val="bottom"/>
          </w:tcPr>
          <w:p>
            <w:pPr>
              <w:ind w:left="20"/>
              <w:spacing w:after="0"/>
              <w:rPr>
                <w:sz w:val="20"/>
                <w:szCs w:val="20"/>
                <w:color w:val="auto"/>
              </w:rPr>
            </w:pPr>
            <w:r>
              <w:rPr>
                <w:rFonts w:ascii="Arial" w:cs="Arial" w:eastAsia="Arial" w:hAnsi="Arial"/>
                <w:sz w:val="17"/>
                <w:szCs w:val="17"/>
                <w:color w:val="auto"/>
              </w:rPr>
              <w:t>2.4</w:t>
            </w:r>
          </w:p>
        </w:tc>
        <w:tc>
          <w:tcPr>
            <w:tcW w:w="9820" w:type="dxa"/>
            <w:vAlign w:val="bottom"/>
          </w:tcPr>
          <w:p>
            <w:pPr>
              <w:ind w:left="340"/>
              <w:spacing w:after="0"/>
              <w:rPr>
                <w:sz w:val="20"/>
                <w:szCs w:val="20"/>
                <w:color w:val="auto"/>
              </w:rPr>
            </w:pPr>
            <w:r>
              <w:rPr>
                <w:rFonts w:ascii="Arial" w:cs="Arial" w:eastAsia="Arial" w:hAnsi="Arial"/>
                <w:sz w:val="17"/>
                <w:szCs w:val="17"/>
                <w:color w:val="auto"/>
                <w:w w:val="90"/>
              </w:rPr>
              <w:t>Unless the Parties hereto reach an agreement through further consultation, any Service Fees paid by Party B and Party B’s Subsidiaries to</w:t>
            </w:r>
          </w:p>
        </w:tc>
      </w:tr>
      <w:tr>
        <w:trPr>
          <w:trHeight w:val="199"/>
        </w:trPr>
        <w:tc>
          <w:tcPr>
            <w:tcW w:w="560" w:type="dxa"/>
            <w:vAlign w:val="bottom"/>
          </w:tcPr>
          <w:p>
            <w:pPr>
              <w:spacing w:after="0"/>
              <w:rPr>
                <w:sz w:val="17"/>
                <w:szCs w:val="17"/>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w w:val="91"/>
              </w:rPr>
              <w:t>Party A according to this Agreement shall not be deducted or offset. Party B and Party B’s Subsidiaries shall solely be responsible for any</w:t>
            </w:r>
          </w:p>
        </w:tc>
      </w:tr>
      <w:tr>
        <w:trPr>
          <w:trHeight w:val="212"/>
        </w:trPr>
        <w:tc>
          <w:tcPr>
            <w:tcW w:w="56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rPr>
              <w:t>relevant expenses (such as bank charges) incurred from the payment of Service Fees.</w:t>
            </w:r>
          </w:p>
        </w:tc>
      </w:tr>
      <w:tr>
        <w:trPr>
          <w:trHeight w:val="386"/>
        </w:trPr>
        <w:tc>
          <w:tcPr>
            <w:tcW w:w="560" w:type="dxa"/>
            <w:vAlign w:val="bottom"/>
          </w:tcPr>
          <w:p>
            <w:pPr>
              <w:spacing w:after="0"/>
              <w:rPr>
                <w:sz w:val="20"/>
                <w:szCs w:val="20"/>
                <w:color w:val="auto"/>
              </w:rPr>
            </w:pPr>
            <w:r>
              <w:rPr>
                <w:rFonts w:ascii="Arial" w:cs="Arial" w:eastAsia="Arial" w:hAnsi="Arial"/>
                <w:sz w:val="17"/>
                <w:szCs w:val="17"/>
                <w:color w:val="auto"/>
              </w:rPr>
              <w:t>2.5</w:t>
            </w:r>
          </w:p>
        </w:tc>
        <w:tc>
          <w:tcPr>
            <w:tcW w:w="9820" w:type="dxa"/>
            <w:vAlign w:val="bottom"/>
          </w:tcPr>
          <w:p>
            <w:pPr>
              <w:ind w:left="340"/>
              <w:spacing w:after="0"/>
              <w:rPr>
                <w:sz w:val="20"/>
                <w:szCs w:val="20"/>
                <w:color w:val="auto"/>
              </w:rPr>
            </w:pPr>
            <w:r>
              <w:rPr>
                <w:rFonts w:ascii="Arial" w:cs="Arial" w:eastAsia="Arial" w:hAnsi="Arial"/>
                <w:sz w:val="17"/>
                <w:szCs w:val="17"/>
                <w:color w:val="auto"/>
                <w:w w:val="89"/>
              </w:rPr>
              <w:t>In addition, Party B and Party B’s Subsidiaries shall pay to Party A any actual expenses incurred from the provision by Party A of its technical</w:t>
            </w:r>
          </w:p>
        </w:tc>
      </w:tr>
      <w:tr>
        <w:trPr>
          <w:trHeight w:val="199"/>
        </w:trPr>
        <w:tc>
          <w:tcPr>
            <w:tcW w:w="560" w:type="dxa"/>
            <w:vAlign w:val="bottom"/>
          </w:tcPr>
          <w:p>
            <w:pPr>
              <w:spacing w:after="0"/>
              <w:rPr>
                <w:sz w:val="17"/>
                <w:szCs w:val="17"/>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w w:val="97"/>
              </w:rPr>
              <w:t>consultation and service under this Agreement while paying the Service Fees, including but not limited to any traveling expenses,</w:t>
            </w:r>
          </w:p>
        </w:tc>
      </w:tr>
      <w:tr>
        <w:trPr>
          <w:trHeight w:val="212"/>
        </w:trPr>
        <w:tc>
          <w:tcPr>
            <w:tcW w:w="56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7"/>
                <w:szCs w:val="17"/>
                <w:color w:val="auto"/>
              </w:rPr>
              <w:t>transportation fees, printing expenses and postage.</w:t>
            </w:r>
          </w:p>
        </w:tc>
      </w:tr>
      <w:tr>
        <w:trPr>
          <w:trHeight w:val="399"/>
        </w:trPr>
        <w:tc>
          <w:tcPr>
            <w:tcW w:w="560" w:type="dxa"/>
            <w:vAlign w:val="bottom"/>
          </w:tcPr>
          <w:p>
            <w:pPr>
              <w:spacing w:after="0"/>
              <w:rPr>
                <w:sz w:val="20"/>
                <w:szCs w:val="20"/>
                <w:color w:val="auto"/>
              </w:rPr>
            </w:pPr>
            <w:r>
              <w:rPr>
                <w:rFonts w:ascii="Arial" w:cs="Arial" w:eastAsia="Arial" w:hAnsi="Arial"/>
                <w:sz w:val="17"/>
                <w:szCs w:val="17"/>
                <w:color w:val="auto"/>
              </w:rPr>
              <w:t>2.6</w:t>
            </w:r>
          </w:p>
        </w:tc>
        <w:tc>
          <w:tcPr>
            <w:tcW w:w="9820" w:type="dxa"/>
            <w:vAlign w:val="bottom"/>
          </w:tcPr>
          <w:p>
            <w:pPr>
              <w:ind w:left="340"/>
              <w:spacing w:after="0"/>
              <w:rPr>
                <w:sz w:val="20"/>
                <w:szCs w:val="20"/>
                <w:color w:val="auto"/>
              </w:rPr>
            </w:pPr>
            <w:r>
              <w:rPr>
                <w:rFonts w:ascii="Arial" w:cs="Arial" w:eastAsia="Arial" w:hAnsi="Arial"/>
                <w:sz w:val="17"/>
                <w:szCs w:val="17"/>
                <w:color w:val="auto"/>
                <w:w w:val="88"/>
              </w:rPr>
              <w:t>The Parties hereto agree that all economic losses arising out of the performance of this Agreement shall be borne jointly by the Parties hereto.</w:t>
            </w:r>
          </w:p>
        </w:tc>
      </w:tr>
    </w:tbl>
    <w:p>
      <w:pPr>
        <w:spacing w:after="0" w:line="183" w:lineRule="exact"/>
        <w:rPr>
          <w:sz w:val="20"/>
          <w:szCs w:val="20"/>
          <w:color w:val="auto"/>
        </w:rPr>
      </w:pPr>
    </w:p>
    <w:p>
      <w:pPr>
        <w:ind w:left="900" w:hanging="851"/>
        <w:spacing w:after="0"/>
        <w:tabs>
          <w:tab w:leader="none" w:pos="90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84390"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52" w:name="page153"/>
    <w:bookmarkEnd w:id="152"/>
    <w:p>
      <w:pPr>
        <w:ind w:left="880"/>
        <w:spacing w:after="0"/>
        <w:tabs>
          <w:tab w:leader="none" w:pos="17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3"/>
          <w:szCs w:val="13"/>
          <w:color w:val="auto"/>
        </w:rPr>
        <w:t>Party A hereby represents and warrants as follows:</w:t>
      </w:r>
    </w:p>
    <w:p>
      <w:pPr>
        <w:spacing w:after="0" w:line="203" w:lineRule="exact"/>
        <w:rPr>
          <w:sz w:val="20"/>
          <w:szCs w:val="20"/>
          <w:color w:val="auto"/>
        </w:rPr>
      </w:pPr>
    </w:p>
    <w:p>
      <w:pPr>
        <w:ind w:left="1740"/>
        <w:spacing w:after="0"/>
        <w:tabs>
          <w:tab w:leader="none" w:pos="25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Party A is a company legally incorporated and validly existing under the laws of the PRC;</w:t>
      </w:r>
    </w:p>
    <w:p>
      <w:pPr>
        <w:spacing w:after="0" w:line="203" w:lineRule="exact"/>
        <w:rPr>
          <w:sz w:val="20"/>
          <w:szCs w:val="20"/>
          <w:color w:val="auto"/>
        </w:rPr>
      </w:pPr>
    </w:p>
    <w:p>
      <w:pPr>
        <w:jc w:val="both"/>
        <w:ind w:left="2600" w:hanging="859"/>
        <w:spacing w:after="0" w:line="254" w:lineRule="auto"/>
        <w:tabs>
          <w:tab w:leader="none" w:pos="25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Party A shall perform this Agreement within its corporate power and business scope, has obtained any necessary corporate authorizations and consents and approvals from any third party and government departments and has not breached any legal or contractual restrictions that are binding or influential on it; and</w:t>
      </w:r>
    </w:p>
    <w:p>
      <w:pPr>
        <w:spacing w:after="0" w:line="177" w:lineRule="exact"/>
        <w:rPr>
          <w:sz w:val="20"/>
          <w:szCs w:val="20"/>
          <w:color w:val="auto"/>
        </w:rPr>
      </w:pPr>
    </w:p>
    <w:p>
      <w:pPr>
        <w:ind w:left="1740"/>
        <w:spacing w:after="0"/>
        <w:tabs>
          <w:tab w:leader="none" w:pos="258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This Agreement shall constitute a legal, effective, binding and enforceable legal document for Party A once signed.</w:t>
      </w:r>
    </w:p>
    <w:p>
      <w:pPr>
        <w:spacing w:after="0" w:line="20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3"/>
          <w:szCs w:val="13"/>
          <w:color w:val="auto"/>
        </w:rPr>
        <w:t>Party B and Party B’s Subsidiaries hereby represent and warrant as follows:</w:t>
      </w:r>
    </w:p>
    <w:p>
      <w:pPr>
        <w:spacing w:after="0" w:line="203" w:lineRule="exact"/>
        <w:rPr>
          <w:sz w:val="20"/>
          <w:szCs w:val="20"/>
          <w:color w:val="auto"/>
        </w:rPr>
      </w:pPr>
    </w:p>
    <w:p>
      <w:pPr>
        <w:ind w:left="1740"/>
        <w:spacing w:after="0"/>
        <w:tabs>
          <w:tab w:leader="none" w:pos="258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Party B and Party B’s Subsidiaries are legal persons legally incorporated and validly existing under the laws of the PRC;</w:t>
      </w:r>
    </w:p>
    <w:p>
      <w:pPr>
        <w:spacing w:after="0" w:line="203" w:lineRule="exact"/>
        <w:rPr>
          <w:sz w:val="20"/>
          <w:szCs w:val="20"/>
          <w:color w:val="auto"/>
        </w:rPr>
      </w:pPr>
    </w:p>
    <w:p>
      <w:pPr>
        <w:jc w:val="both"/>
        <w:ind w:left="2600" w:hanging="871"/>
        <w:spacing w:after="0" w:line="304" w:lineRule="auto"/>
        <w:tabs>
          <w:tab w:leader="none" w:pos="258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Party B and Party B’s Subsidiaries shall sign and perform this Agreement within their corporate power and business scope, have obtained any necessary corporate authorizations and consents and approvals from any third party or government departments and have not breached any legal or contractual restrictions that are binding or influential on it; and</w:t>
      </w:r>
    </w:p>
    <w:p>
      <w:pPr>
        <w:spacing w:after="0" w:line="142" w:lineRule="exact"/>
        <w:rPr>
          <w:sz w:val="20"/>
          <w:szCs w:val="20"/>
          <w:color w:val="auto"/>
        </w:rPr>
      </w:pPr>
    </w:p>
    <w:p>
      <w:pPr>
        <w:jc w:val="both"/>
        <w:ind w:left="2600" w:hanging="859"/>
        <w:spacing w:after="0" w:line="264" w:lineRule="auto"/>
        <w:tabs>
          <w:tab w:leader="none" w:pos="258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This Agreement shall constitute a legal, effective, binding and enforceable legal document for Party B and Party B’s Subsidiaries once signed.</w:t>
      </w:r>
    </w:p>
    <w:p>
      <w:pPr>
        <w:spacing w:after="0" w:line="164" w:lineRule="exact"/>
        <w:rPr>
          <w:sz w:val="20"/>
          <w:szCs w:val="20"/>
          <w:color w:val="auto"/>
        </w:rPr>
      </w:pPr>
    </w:p>
    <w:p>
      <w:pPr>
        <w:ind w:left="900" w:hanging="851"/>
        <w:spacing w:after="0"/>
        <w:tabs>
          <w:tab w:leader="none" w:pos="900"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sz w:val="20"/>
          <w:szCs w:val="20"/>
          <w:color w:val="auto"/>
        </w:rPr>
      </w:pPr>
    </w:p>
    <w:p>
      <w:pPr>
        <w:jc w:val="both"/>
        <w:ind w:left="1680" w:hanging="859"/>
        <w:spacing w:after="0" w:line="264" w:lineRule="auto"/>
        <w:tabs>
          <w:tab w:leader="none" w:pos="16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The Parties agree that they shall try to take all reasonable security measures to keep in confidence any confidential data and information (hereinafter referred to as “Confidential Information”, the providing party of such data and information shall clearly notify in writing that such data and information shall be the Confidential Information when providing them) known or accessed by them due to the signing and performance of this Agreement. Without the prior written consent of the Confidential Information provider, such Confidential Information shall not be disclosed, provided or transferred to any third party (including any merger of the receiving party of such Confidential Information with or into any third party, and any direct or indirect control thereof by any third party). Once this Agreement is terminated, Party A and Party B and Party B’s Subsidiaries shall return any documents, data or software containing any Confidential Information to the original owner or providing party of such Confidential Information or destroy them with the consent of the original owner or provider, including removing any Confidential Information from any</w:t>
      </w:r>
    </w:p>
    <w:p>
      <w:pPr>
        <w:spacing w:after="0" w:line="172" w:lineRule="exact"/>
        <w:rPr>
          <w:sz w:val="20"/>
          <w:szCs w:val="20"/>
          <w:color w:val="auto"/>
        </w:rPr>
      </w:pPr>
    </w:p>
    <w:p>
      <w:pPr>
        <w:ind w:right="80" w:firstLine="42"/>
        <w:spacing w:after="0" w:line="249" w:lineRule="auto"/>
        <w:rPr>
          <w:sz w:val="20"/>
          <w:szCs w:val="20"/>
          <w:color w:val="auto"/>
        </w:rPr>
      </w:pPr>
      <w:r>
        <w:rPr>
          <w:rFonts w:ascii="Arial" w:cs="Arial" w:eastAsia="Arial" w:hAnsi="Arial"/>
          <w:sz w:val="17"/>
          <w:szCs w:val="17"/>
          <w:color w:val="auto"/>
        </w:rPr>
        <w:t>related memory devices and shall not continue to use these Confidential Information. Party A and Party B and Party B’s Subsidiaries shall take any necessary measures to disclose any Confidential Information only to any staff members, agents or professional advisors of Party B and Party B’s Subsidiaries who need to know such Confidential Information and to cause such staff members, agents or professional advisors of Party B and Party B’s Subsidiaries to comply with any confidentiality obligations under this Agreement. Party A, Party B and Party B’s Subsidiaries and such staff members, agents or professional advisors of Party B and Party B’s Subsidiaries shall sign a specific non-disclosure agreement.</w:t>
      </w:r>
    </w:p>
    <w:p>
      <w:pPr>
        <w:spacing w:after="0" w:line="182"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No restrictions mentioned above shall apply to:</w:t>
      </w:r>
    </w:p>
    <w:p>
      <w:pPr>
        <w:spacing w:after="0" w:line="203"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5"/>
          <w:szCs w:val="15"/>
          <w:color w:val="auto"/>
        </w:rPr>
        <w:t>any information that has become generally available to the public at the time of disclosure;</w:t>
      </w:r>
    </w:p>
    <w:p>
      <w:pPr>
        <w:spacing w:after="0" w:line="203" w:lineRule="exact"/>
        <w:rPr>
          <w:sz w:val="20"/>
          <w:szCs w:val="20"/>
          <w:color w:val="auto"/>
        </w:rPr>
      </w:pPr>
    </w:p>
    <w:p>
      <w:pPr>
        <w:ind w:left="2580" w:right="500" w:hanging="858"/>
        <w:spacing w:after="0" w:line="264" w:lineRule="auto"/>
        <w:tabs>
          <w:tab w:leader="none" w:pos="25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any information that has become generally available to the public after disclosure through no fault of the receiving party of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184390"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53" w:name="page154"/>
    <w:bookmarkEnd w:id="153"/>
    <w:p>
      <w:pPr>
        <w:jc w:val="both"/>
        <w:ind w:left="2580" w:right="40" w:hanging="858"/>
        <w:spacing w:after="0" w:line="254" w:lineRule="auto"/>
        <w:tabs>
          <w:tab w:leader="none" w:pos="256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any information that can be proved by the receiving party of Confidential Information to have been in the possession of the receiving party before disclosure and not to be directly or indirectly received from the providing party of Confidential Information; and</w:t>
      </w:r>
    </w:p>
    <w:p>
      <w:pPr>
        <w:spacing w:after="0" w:line="177" w:lineRule="exact"/>
        <w:rPr>
          <w:sz w:val="20"/>
          <w:szCs w:val="20"/>
          <w:color w:val="auto"/>
        </w:rPr>
      </w:pPr>
    </w:p>
    <w:p>
      <w:pPr>
        <w:jc w:val="both"/>
        <w:ind w:left="2580" w:right="40" w:hanging="858"/>
        <w:spacing w:after="0" w:line="304" w:lineRule="auto"/>
        <w:tabs>
          <w:tab w:leader="none" w:pos="256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color w:val="auto"/>
        </w:rPr>
        <w:t>any information required by law to be disclosed by the receiving party of Confidential Information to the relevant government departments, stock exchange and other institutions, or any of the above Confidential Information disclosed by the receiving party of Confidential Information to its direct legal advisors and financial consultants due to its normal business needs.</w:t>
      </w:r>
    </w:p>
    <w:p>
      <w:pPr>
        <w:spacing w:after="0" w:line="142"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3"/>
          <w:szCs w:val="13"/>
          <w:color w:val="auto"/>
        </w:rPr>
        <w:t>The Parties hereto agree that, whether this Agreement is modified, canceled or terminated, these provisions hereof shall remain in force.</w:t>
      </w:r>
    </w:p>
    <w:p>
      <w:pPr>
        <w:spacing w:after="0" w:line="199" w:lineRule="exact"/>
        <w:rPr>
          <w:sz w:val="20"/>
          <w:szCs w:val="20"/>
          <w:color w:val="auto"/>
        </w:rPr>
      </w:pPr>
    </w:p>
    <w:p>
      <w:pPr>
        <w:ind w:left="900" w:hanging="851"/>
        <w:spacing w:after="0"/>
        <w:tabs>
          <w:tab w:leader="none" w:pos="900"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5.1</w:t>
            </w: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Except as otherwise stipulated herein, if any Party fails to fully perform or suspends the performance of its obligations under this Agreement,</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6"/>
              </w:rPr>
              <w:t>and such party fails to correct the above acts within Ten (10) days from receipt of a notice from the other party or makes any untrue</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representations and warranties, such party shall be deemed to have breached this Agreement.</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5.2</w:t>
            </w: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If any Party hereto breaches this Agreement or any representations and warranties made by such party in this Agreement, the non-breaching</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3"/>
              </w:rPr>
              <w:t>party may notify in writing the breaching party of correcting such breach within Ten (10) days from receipt of a notice, taking appropriate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measures to effectively and promptly avoid any damage and continuing to perform this Agreement. In case of any damage arising out of such</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breach, the breaching party shall make compensation to the non-breaching party to enable the non-breaching party to obtain all rights and</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interests that should have been obtained during the performance of this Agreement.</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5.3</w:t>
            </w: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If any breach of this Agreement by any Party hereto renders the other party to bear any costs and liabilities or suffer any losses (including but</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not limited to any loss of profits), the breaching party shall make compensation to the non-breaching party in respect of any of the above costs,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6"/>
              </w:rPr>
              <w:t>liabilities or losses (including but not limited to any interest payment or loss and lawyer’s fees arising out of such breach). The total</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compensatory payment paid by the breaching party to the non-breaching party shall be the same as the losses arising out of such breach, and</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the above compensatory payment shall include any interests that should have been obtained by the non-breaching party in the event that the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7"/>
              </w:rPr>
              <w:t>Parties hereto normally perform this Agreement, provided that such compensatory payment shall not exceed any losses reasonably expected by</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the Parties hereto at the time of the conclusion of this Agreement that may be caused by such breach of this Agreement.</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5.4</w:t>
            </w: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Party B and Party B’s Subsidiaries shall bear full responsibility for any claims made by any third party arising out of any failure by Party B</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and Party B’s Subsidiaries to carry on their business according to Party A’s instructions or any improper use of Party A’s intellectual property</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rights or any improper technical operation. If Party B and Party B’s Subsidiaries find that any third party uses any of Party A’s intellectual</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property rights without the legal authorization, Party B and Party B’s Subsidiaries shall immediately notify Party A and cooperate with Party A</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in taking any actions.</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5.5</w:t>
            </w: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If both of the Parties hereto breach this Agreement, the respective amount of compensation payable by the Parties hereto shall be determined</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according to the degree of their respective breach.</w:t>
            </w:r>
          </w:p>
        </w:tc>
      </w:tr>
    </w:tbl>
    <w:p>
      <w:pPr>
        <w:spacing w:after="0" w:line="183" w:lineRule="exact"/>
        <w:rPr>
          <w:sz w:val="20"/>
          <w:szCs w:val="20"/>
          <w:color w:val="auto"/>
        </w:rPr>
      </w:pPr>
    </w:p>
    <w:p>
      <w:pPr>
        <w:ind w:left="900" w:hanging="851"/>
        <w:spacing w:after="0"/>
        <w:tabs>
          <w:tab w:leader="none" w:pos="90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Performance and Term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6.1</w:t>
            </w:r>
          </w:p>
        </w:tc>
        <w:tc>
          <w:tcPr>
            <w:tcW w:w="9880" w:type="dxa"/>
            <w:vAlign w:val="bottom"/>
          </w:tcPr>
          <w:p>
            <w:pPr>
              <w:ind w:left="340"/>
              <w:spacing w:after="0"/>
              <w:rPr>
                <w:sz w:val="20"/>
                <w:szCs w:val="20"/>
                <w:color w:val="auto"/>
              </w:rPr>
            </w:pPr>
            <w:r>
              <w:rPr>
                <w:rFonts w:ascii="Arial" w:cs="Arial" w:eastAsia="Arial" w:hAnsi="Arial"/>
                <w:sz w:val="17"/>
                <w:szCs w:val="17"/>
                <w:color w:val="auto"/>
              </w:rPr>
              <w:t>This Agreement shall be signed on the date first above written and become effective at the same time.</w:t>
            </w:r>
          </w:p>
        </w:tc>
      </w:tr>
      <w:tr>
        <w:trPr>
          <w:trHeight w:val="399"/>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6.2</w:t>
            </w:r>
          </w:p>
        </w:tc>
        <w:tc>
          <w:tcPr>
            <w:tcW w:w="9880" w:type="dxa"/>
            <w:vAlign w:val="bottom"/>
          </w:tcPr>
          <w:p>
            <w:pPr>
              <w:ind w:left="340"/>
              <w:spacing w:after="0"/>
              <w:rPr>
                <w:sz w:val="20"/>
                <w:szCs w:val="20"/>
                <w:color w:val="auto"/>
              </w:rPr>
            </w:pPr>
            <w:r>
              <w:rPr>
                <w:rFonts w:ascii="Arial" w:cs="Arial" w:eastAsia="Arial" w:hAnsi="Arial"/>
                <w:sz w:val="17"/>
                <w:szCs w:val="17"/>
                <w:color w:val="auto"/>
              </w:rPr>
              <w:t>This Agreement is written in Chinese and is executed in Four (4) copies.</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154" w:name="page155"/>
    <w:bookmarkEnd w:id="154"/>
    <w:p>
      <w:pPr>
        <w:jc w:val="both"/>
        <w:ind w:left="1691" w:hanging="859"/>
        <w:spacing w:after="0" w:line="251" w:lineRule="auto"/>
        <w:tabs>
          <w:tab w:leader="none" w:pos="167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Unless Party A cancels this Agreement in advance, the term of this Agreement shall be terminated upon dissolution of both of Party B and Party B’s Subsidiaries in accordance with the laws of the PRC. Upon Party A’s request prior to the expiration of this Agreement, the Parties hereto shall either extend the term of this Agreement at Party A’s request so as to continue to perform this Agreement or sign a separate exclusive technical consultation and service agreement at Party A’s request.</w:t>
      </w:r>
    </w:p>
    <w:p>
      <w:pPr>
        <w:spacing w:after="0" w:line="175" w:lineRule="exact"/>
        <w:rPr>
          <w:sz w:val="20"/>
          <w:szCs w:val="20"/>
          <w:color w:val="auto"/>
        </w:rPr>
      </w:pPr>
    </w:p>
    <w:p>
      <w:pPr>
        <w:ind w:left="851" w:hanging="851"/>
        <w:spacing w:after="0"/>
        <w:tabs>
          <w:tab w:leader="none" w:pos="851"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07" w:lineRule="exact"/>
        <w:rPr>
          <w:sz w:val="20"/>
          <w:szCs w:val="20"/>
          <w:color w:val="auto"/>
        </w:rPr>
      </w:pPr>
    </w:p>
    <w:p>
      <w:pPr>
        <w:ind w:left="1691" w:hanging="859"/>
        <w:spacing w:after="0" w:line="264" w:lineRule="auto"/>
        <w:tabs>
          <w:tab w:leader="none" w:pos="167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Unless renewed according to the relevant provisions hereof, this Agreement shall be terminated on the expiry date of the term of this Agreement.</w:t>
      </w:r>
    </w:p>
    <w:p>
      <w:pPr>
        <w:spacing w:after="0" w:line="200" w:lineRule="exact"/>
        <w:rPr>
          <w:sz w:val="20"/>
          <w:szCs w:val="20"/>
          <w:color w:val="auto"/>
        </w:rPr>
      </w:pPr>
    </w:p>
    <w:p>
      <w:pPr>
        <w:spacing w:after="0" w:line="367" w:lineRule="exact"/>
        <w:rPr>
          <w:sz w:val="20"/>
          <w:szCs w:val="20"/>
          <w:color w:val="auto"/>
        </w:rPr>
      </w:pPr>
    </w:p>
    <w:tbl>
      <w:tblPr>
        <w:tblLayout w:type="fixed"/>
        <w:tblInd w:w="831"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7.2</w:t>
            </w:r>
          </w:p>
        </w:tc>
        <w:tc>
          <w:tcPr>
            <w:tcW w:w="9740" w:type="dxa"/>
            <w:vAlign w:val="bottom"/>
          </w:tcPr>
          <w:p>
            <w:pPr>
              <w:ind w:left="340"/>
              <w:spacing w:after="0"/>
              <w:rPr>
                <w:sz w:val="20"/>
                <w:szCs w:val="20"/>
                <w:color w:val="auto"/>
              </w:rPr>
            </w:pPr>
            <w:r>
              <w:rPr>
                <w:rFonts w:ascii="Arial" w:cs="Arial" w:eastAsia="Arial" w:hAnsi="Arial"/>
                <w:sz w:val="17"/>
                <w:szCs w:val="17"/>
                <w:color w:val="auto"/>
                <w:w w:val="87"/>
              </w:rPr>
              <w:t>The Parties hereto may terminate this Agreement upon consensus through consultation. Party B and Party B’s Subsidiaries shall not terminate</w:t>
            </w:r>
          </w:p>
        </w:tc>
      </w:tr>
      <w:tr>
        <w:trPr>
          <w:trHeight w:val="199"/>
        </w:trPr>
        <w:tc>
          <w:tcPr>
            <w:tcW w:w="520" w:type="dxa"/>
            <w:vAlign w:val="bottom"/>
          </w:tcPr>
          <w:p>
            <w:pPr>
              <w:spacing w:after="0"/>
              <w:rPr>
                <w:sz w:val="17"/>
                <w:szCs w:val="17"/>
                <w:color w:val="auto"/>
              </w:rPr>
            </w:pPr>
          </w:p>
        </w:tc>
        <w:tc>
          <w:tcPr>
            <w:tcW w:w="9740" w:type="dxa"/>
            <w:vAlign w:val="bottom"/>
          </w:tcPr>
          <w:p>
            <w:pPr>
              <w:ind w:left="340"/>
              <w:spacing w:after="0"/>
              <w:rPr>
                <w:sz w:val="20"/>
                <w:szCs w:val="20"/>
                <w:color w:val="auto"/>
              </w:rPr>
            </w:pPr>
            <w:r>
              <w:rPr>
                <w:rFonts w:ascii="Arial" w:cs="Arial" w:eastAsia="Arial" w:hAnsi="Arial"/>
                <w:sz w:val="17"/>
                <w:szCs w:val="17"/>
                <w:color w:val="auto"/>
                <w:w w:val="94"/>
              </w:rPr>
              <w:t>this Agreement within the term of this Agreement without the written consent of Party A. Party A shall have the right to terminate this</w:t>
            </w:r>
          </w:p>
        </w:tc>
      </w:tr>
      <w:tr>
        <w:trPr>
          <w:trHeight w:val="212"/>
        </w:trPr>
        <w:tc>
          <w:tcPr>
            <w:tcW w:w="520" w:type="dxa"/>
            <w:vAlign w:val="bottom"/>
          </w:tcPr>
          <w:p>
            <w:pPr>
              <w:spacing w:after="0"/>
              <w:rPr>
                <w:sz w:val="18"/>
                <w:szCs w:val="18"/>
                <w:color w:val="auto"/>
              </w:rPr>
            </w:pPr>
          </w:p>
        </w:tc>
        <w:tc>
          <w:tcPr>
            <w:tcW w:w="9740" w:type="dxa"/>
            <w:vAlign w:val="bottom"/>
          </w:tcPr>
          <w:p>
            <w:pPr>
              <w:ind w:left="340"/>
              <w:spacing w:after="0"/>
              <w:rPr>
                <w:sz w:val="20"/>
                <w:szCs w:val="20"/>
                <w:color w:val="auto"/>
              </w:rPr>
            </w:pPr>
            <w:r>
              <w:rPr>
                <w:rFonts w:ascii="Arial" w:cs="Arial" w:eastAsia="Arial" w:hAnsi="Arial"/>
                <w:sz w:val="17"/>
                <w:szCs w:val="17"/>
                <w:color w:val="auto"/>
                <w:w w:val="97"/>
              </w:rPr>
              <w:t>Agreement at any time by giving a written notice to Party B, Party B's Subsidiaries and shareholders Thirty (30) days in advance.</w:t>
            </w:r>
          </w:p>
        </w:tc>
      </w:tr>
      <w:tr>
        <w:trPr>
          <w:trHeight w:val="3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7.3</w:t>
            </w:r>
          </w:p>
        </w:tc>
        <w:tc>
          <w:tcPr>
            <w:tcW w:w="9740" w:type="dxa"/>
            <w:vAlign w:val="bottom"/>
          </w:tcPr>
          <w:p>
            <w:pPr>
              <w:ind w:left="340"/>
              <w:spacing w:after="0"/>
              <w:rPr>
                <w:sz w:val="20"/>
                <w:szCs w:val="20"/>
                <w:color w:val="auto"/>
              </w:rPr>
            </w:pPr>
            <w:r>
              <w:rPr>
                <w:rFonts w:ascii="Arial" w:cs="Arial" w:eastAsia="Arial" w:hAnsi="Arial"/>
                <w:sz w:val="17"/>
                <w:szCs w:val="17"/>
                <w:color w:val="auto"/>
                <w:w w:val="97"/>
              </w:rPr>
              <w:t>Any rights and obligations of the Parties hereto under the Articles 4 and 5 hereof shall survive the termination of this Agreement.</w:t>
            </w:r>
          </w:p>
        </w:tc>
      </w:tr>
    </w:tbl>
    <w:p>
      <w:pPr>
        <w:spacing w:after="0" w:line="183" w:lineRule="exact"/>
        <w:rPr>
          <w:sz w:val="20"/>
          <w:szCs w:val="20"/>
          <w:color w:val="auto"/>
        </w:rPr>
      </w:pPr>
    </w:p>
    <w:p>
      <w:pPr>
        <w:ind w:left="851" w:hanging="851"/>
        <w:spacing w:after="0"/>
        <w:tabs>
          <w:tab w:leader="none" w:pos="851"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31"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resolve such disputes through consultation in good faith. If such disputes cannot be resolved through consultation, any Party may submit such</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5"/>
              </w:rPr>
              <w:t>arbitration rules of such Commission in force. The place of arbitration shall be Beijing, and the language to be used in the arbitration</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Article shall be affected by</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Except for any matters disputed by the Parties hereto, the Parties hereto shall continue to perform their respective obligations under this</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51" w:hanging="851"/>
        <w:spacing w:after="0"/>
        <w:tabs>
          <w:tab w:leader="none" w:pos="851"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3" w:lineRule="exact"/>
        <w:rPr>
          <w:sz w:val="20"/>
          <w:szCs w:val="20"/>
          <w:color w:val="auto"/>
        </w:rPr>
      </w:pPr>
    </w:p>
    <w:p>
      <w:pPr>
        <w:ind w:left="1691" w:hanging="859"/>
        <w:spacing w:after="0" w:line="269" w:lineRule="auto"/>
        <w:tabs>
          <w:tab w:leader="none" w:pos="167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Force Majeure Events</w:t>
      </w:r>
      <w:r>
        <w:rPr>
          <w:rFonts w:ascii="Arial" w:cs="Arial" w:eastAsia="Arial" w:hAnsi="Arial"/>
          <w:sz w:val="17"/>
          <w:szCs w:val="17"/>
          <w:color w:val="auto"/>
        </w:rPr>
        <w:t>” mean any events beyond the reasonable control of one party that are unavoidable by the affected party with reasonable care, including but not limited to any acts of government, natural force, fire,</w:t>
      </w:r>
    </w:p>
    <w:p>
      <w:pPr>
        <w:spacing w:after="0" w:line="164" w:lineRule="exact"/>
        <w:rPr>
          <w:sz w:val="20"/>
          <w:szCs w:val="20"/>
          <w:color w:val="auto"/>
        </w:rPr>
      </w:pPr>
    </w:p>
    <w:p>
      <w:pPr>
        <w:jc w:val="both"/>
        <w:ind w:left="1671"/>
        <w:spacing w:after="0" w:line="266" w:lineRule="auto"/>
        <w:rPr>
          <w:sz w:val="20"/>
          <w:szCs w:val="20"/>
          <w:color w:val="auto"/>
        </w:rPr>
      </w:pPr>
      <w:r>
        <w:rPr>
          <w:rFonts w:ascii="Arial" w:cs="Arial" w:eastAsia="Arial" w:hAnsi="Arial"/>
          <w:sz w:val="16"/>
          <w:szCs w:val="16"/>
          <w:color w:val="auto"/>
        </w:rPr>
        <w:t>explosion, storm, flood, earthquake, tide, lightning or war, provided that any credit, capital or financing shortage shall not be deemed to be the event beyond the reasonable control of one party. The party affected by any Force Majeure Events (hereinafter referred to as “</w:t>
      </w:r>
      <w:r>
        <w:rPr>
          <w:rFonts w:ascii="Arial" w:cs="Arial" w:eastAsia="Arial" w:hAnsi="Arial"/>
          <w:sz w:val="16"/>
          <w:szCs w:val="16"/>
          <w:b w:val="1"/>
          <w:bCs w:val="1"/>
          <w:color w:val="auto"/>
        </w:rPr>
        <w:t>Affected</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shall be exempted from its responsibility in whole or in part according to the effects of such Force Majeure Events on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Affected Party who seeks exemption from its responsibility for the performance of this Agreement due to such Force Majeure Events shall notify the other party of such Force Majeure Events not later than Ten (10) days after occurrence of such Force Majeure Events so that the Parties hereto negotiate about the amendment to this Agreement according to the effects of such Force Majeure Events and exempt in whole or in part the Affected Party from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38100</wp:posOffset>
            </wp:positionV>
            <wp:extent cx="7184390"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326" w:right="339" w:bottom="1440" w:gutter="0" w:footer="0" w:header="0"/>
        </w:sectPr>
      </w:pPr>
    </w:p>
    <w:bookmarkStart w:id="155" w:name="page156"/>
    <w:bookmarkEnd w:id="155"/>
    <w:tbl>
      <w:tblPr>
        <w:tblLayout w:type="fixed"/>
        <w:tblInd w:w="88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9.2</w:t>
            </w: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performance of its obligations delayed or hindered by such Force Majeure Events. Once such Force Majeure Events are eliminated, the Parties</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8"/>
              </w:rPr>
              <w:t>hereto agree that they shall use their best efforts to restore the performance of their rights and obligations under this Agreement.</w:t>
            </w:r>
          </w:p>
        </w:tc>
      </w:tr>
    </w:tbl>
    <w:p>
      <w:pPr>
        <w:spacing w:after="0" w:line="183" w:lineRule="exact"/>
        <w:rPr>
          <w:sz w:val="20"/>
          <w:szCs w:val="20"/>
          <w:color w:val="auto"/>
        </w:rPr>
      </w:pPr>
    </w:p>
    <w:p>
      <w:pPr>
        <w:ind w:left="900" w:hanging="851"/>
        <w:spacing w:after="0"/>
        <w:tabs>
          <w:tab w:leader="none" w:pos="90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right="3660"/>
        <w:spacing w:after="0" w:line="252"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LIU Tongbo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and Party B's Subsidiaries</w:t>
      </w:r>
    </w:p>
    <w:p>
      <w:pPr>
        <w:spacing w:after="0" w:line="207" w:lineRule="exact"/>
        <w:rPr>
          <w:sz w:val="20"/>
          <w:szCs w:val="20"/>
          <w:color w:val="auto"/>
        </w:rPr>
      </w:pPr>
    </w:p>
    <w:p>
      <w:pPr>
        <w:ind w:right="3660"/>
        <w:spacing w:after="0" w:line="252" w:lineRule="auto"/>
        <w:rPr>
          <w:sz w:val="20"/>
          <w:szCs w:val="20"/>
          <w:color w:val="auto"/>
        </w:rPr>
      </w:pPr>
      <w:r>
        <w:rPr>
          <w:rFonts w:ascii="Arial" w:cs="Arial" w:eastAsia="Arial" w:hAnsi="Arial"/>
          <w:sz w:val="17"/>
          <w:szCs w:val="17"/>
          <w:color w:val="auto"/>
        </w:rPr>
        <w:t>Address: Building No. 4, Chaolai Science and Technology Park, Laiguangying, Chaoyang District, Beijing,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CHENG Xinhui</w:t>
      </w:r>
    </w:p>
    <w:p>
      <w:pPr>
        <w:spacing w:after="0" w:line="187" w:lineRule="exact"/>
        <w:rPr>
          <w:sz w:val="20"/>
          <w:szCs w:val="20"/>
          <w:color w:val="auto"/>
        </w:rPr>
      </w:pPr>
    </w:p>
    <w:p>
      <w:pPr>
        <w:ind w:left="900" w:hanging="851"/>
        <w:spacing w:after="0"/>
        <w:tabs>
          <w:tab w:leader="none" w:pos="90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Unless any Party hereto obtains the prior written consent of the other party, such party shall not assign to any third party its rights or obligations under this Agreement except that Party A assigns its obligations under this Agreement to its affiliates. For the purpose as set forth in this Agreement, the aforesaid “affiliates” mean any enterprises controlled by Party A, controlling Party A or under common control of any third party with Party A. For the purpose as set forth in this Article, “control” means any possession by an enterprise of its influence power to directly or indirectly decide on and/or control the operating management of another enterprise, whether such influence power is formed by holding any shares of the controlled enterprise or formed by any contractual arrangement with the controlled enterprise.</w:t>
      </w:r>
    </w:p>
    <w:p>
      <w:pPr>
        <w:spacing w:after="0" w:line="146" w:lineRule="exact"/>
        <w:rPr>
          <w:sz w:val="20"/>
          <w:szCs w:val="20"/>
          <w:color w:val="auto"/>
        </w:rPr>
      </w:pPr>
    </w:p>
    <w:p>
      <w:pPr>
        <w:ind w:left="900" w:hanging="851"/>
        <w:spacing w:after="0"/>
        <w:tabs>
          <w:tab w:leader="none" w:pos="90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Newly Added Party B’s Subsidiaries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case of any newly added Party B’s Subsidiary at any time after the effective date of this Agreement, Party B shall urge such newly added Party B’s Subsidiary to sign a letter of acceptance of rights and obligations in such form and substance as shown in Annex III hereto and 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Subsidiaries shall be deemed to be a signatory to this Agreement. Any other Parties hereto hereby agree to and fully accept the foregoing arrangement.</w:t>
      </w:r>
    </w:p>
    <w:p>
      <w:pPr>
        <w:spacing w:after="0" w:line="163" w:lineRule="exact"/>
        <w:rPr>
          <w:sz w:val="20"/>
          <w:szCs w:val="20"/>
          <w:color w:val="auto"/>
        </w:rPr>
      </w:pPr>
    </w:p>
    <w:p>
      <w:pPr>
        <w:ind w:left="900" w:hanging="851"/>
        <w:spacing w:after="0"/>
        <w:tabs>
          <w:tab w:leader="none" w:pos="90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0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Parties hereby acknowledge that this Agreement shall be a fair and reasonable agreement reached by the Parties hereto on the basis of equality and mutual benefit. If any provisions of this Agreement are invalid or unenforceable due to any inconsistencies between such provisions and the relevant laws, such provisions shall be invalid or unenforceable only to the extent of jurisdiction of the relevant laws and shall not affect the legal effect of any other provisions of this Agreement.</w:t>
      </w:r>
    </w:p>
    <w:p>
      <w:pPr>
        <w:spacing w:after="0" w:line="138" w:lineRule="exact"/>
        <w:rPr>
          <w:sz w:val="20"/>
          <w:szCs w:val="20"/>
          <w:color w:val="auto"/>
        </w:rPr>
      </w:pPr>
    </w:p>
    <w:p>
      <w:pPr>
        <w:ind w:left="900" w:hanging="851"/>
        <w:spacing w:after="0"/>
        <w:tabs>
          <w:tab w:leader="none" w:pos="90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Supplements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84390"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56" w:name="page157"/>
    <w:bookmarkEnd w:id="156"/>
    <w:p>
      <w:pPr>
        <w:spacing w:after="0" w:line="264" w:lineRule="auto"/>
        <w:rPr>
          <w:sz w:val="20"/>
          <w:szCs w:val="20"/>
          <w:color w:val="auto"/>
        </w:rPr>
      </w:pPr>
      <w:r>
        <w:rPr>
          <w:rFonts w:ascii="Arial" w:cs="Arial" w:eastAsia="Arial" w:hAnsi="Arial"/>
          <w:sz w:val="17"/>
          <w:szCs w:val="17"/>
          <w:color w:val="auto"/>
        </w:rPr>
        <w:t>The Parties hereto shall make in writing any amendments and supplements to this Agreement. Any amendment and supplementary agreements duly signed by the Parties in relation to this Agreement shall form an integral part of this Agreement and be equally authentic as this Agreement.</w:t>
      </w:r>
    </w:p>
    <w:p>
      <w:pPr>
        <w:spacing w:after="0" w:line="164" w:lineRule="exact"/>
        <w:rPr>
          <w:sz w:val="20"/>
          <w:szCs w:val="20"/>
          <w:color w:val="auto"/>
        </w:rPr>
      </w:pPr>
    </w:p>
    <w:p>
      <w:pPr>
        <w:ind w:left="900" w:hanging="851"/>
        <w:spacing w:after="0"/>
        <w:tabs>
          <w:tab w:leader="none" w:pos="90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sz w:val="20"/>
          <w:szCs w:val="20"/>
          <w:color w:val="auto"/>
        </w:rPr>
      </w:pPr>
    </w:p>
    <w:p>
      <w:pPr>
        <w:ind w:left="900" w:hanging="851"/>
        <w:spacing w:after="0"/>
        <w:tabs>
          <w:tab w:leader="none" w:pos="90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Except for any written amendments, supplements or modifications to this Agreement after the signing of this Agreement, this Agreement shall constitute an entire agreement among the Parties hereto in respect of the subject matter of this Agreement and supersede all prior oral and written negotiations, representations and agreements among the Parties in respect of the subject matter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authorized representative as of the date first above written.</w:t>
      </w:r>
    </w:p>
    <w:p>
      <w:pPr>
        <w:spacing w:after="0" w:line="215"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[The remainder of this page is intentionally left blank]</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[This page is the signature page to the Exclusive Technical Consultation and Service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 /s/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-20955</wp:posOffset>
            </wp:positionV>
            <wp:extent cx="67500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675005" cy="762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CHENG Xinhui</w:t>
      </w:r>
      <w:r>
        <w:rPr>
          <w:rFonts w:ascii="Arial" w:cs="Arial" w:eastAsia="Arial" w:hAnsi="Arial"/>
          <w:sz w:val="17"/>
          <w:szCs w:val="17"/>
          <w:color w:val="auto"/>
        </w:rPr>
        <w:t xml:space="preserve"> (Seal)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 List of Technical Consultation and Services</w:t>
      </w:r>
    </w:p>
    <w:p>
      <w:pPr>
        <w:spacing w:after="0" w:line="206" w:lineRule="exact"/>
        <w:rPr>
          <w:sz w:val="20"/>
          <w:szCs w:val="20"/>
          <w:color w:val="auto"/>
        </w:rPr>
      </w:pPr>
    </w:p>
    <w:p>
      <w:pPr>
        <w:ind w:left="540" w:hanging="478"/>
        <w:spacing w:after="0"/>
        <w:tabs>
          <w:tab w:leader="none" w:pos="54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Provide the development and research services.</w:t>
      </w:r>
    </w:p>
    <w:p>
      <w:pPr>
        <w:spacing w:after="0" w:line="277" w:lineRule="exact"/>
        <w:rPr>
          <w:rFonts w:ascii="Arial" w:cs="Arial" w:eastAsia="Arial" w:hAnsi="Arial"/>
          <w:sz w:val="17"/>
          <w:szCs w:val="17"/>
          <w:color w:val="auto"/>
        </w:rPr>
      </w:pPr>
    </w:p>
    <w:p>
      <w:pPr>
        <w:ind w:left="540" w:hanging="491"/>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 website design and design, installation, commissioning and maintenance services of computer network systems.</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 database support and software services.</w:t>
      </w:r>
    </w:p>
    <w:p>
      <w:pPr>
        <w:spacing w:after="0" w:line="203" w:lineRule="exact"/>
        <w:rPr>
          <w:rFonts w:ascii="Arial" w:cs="Arial" w:eastAsia="Arial" w:hAnsi="Arial"/>
          <w:sz w:val="17"/>
          <w:szCs w:val="17"/>
          <w:color w:val="auto"/>
        </w:rPr>
      </w:pPr>
    </w:p>
    <w:p>
      <w:pPr>
        <w:ind w:left="540" w:hanging="491"/>
        <w:spacing w:after="0" w:line="264" w:lineRule="auto"/>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 economic information consultation, project investment consultation, scientific and technological information consultation, enterprise management consultation and other consultation services.</w:t>
      </w:r>
    </w:p>
    <w:p>
      <w:pPr>
        <w:spacing w:after="0" w:line="167" w:lineRule="exact"/>
        <w:rPr>
          <w:rFonts w:ascii="Arial" w:cs="Arial" w:eastAsia="Arial" w:hAnsi="Arial"/>
          <w:sz w:val="17"/>
          <w:szCs w:val="17"/>
          <w:color w:val="auto"/>
        </w:rPr>
      </w:pPr>
    </w:p>
    <w:p>
      <w:pPr>
        <w:ind w:left="540" w:hanging="491"/>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 pre-job training and in-service training services.</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 technical development, consultation and technology transfer services.</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 public relations services.</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 market survey and research services.</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 the services of developing medium and short term market development plans and market planning service.</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 technical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0"/>
          <w:szCs w:val="20"/>
          <w:b w:val="1"/>
          <w:bCs w:val="1"/>
          <w:color w:val="auto"/>
        </w:rPr>
        <w:t>Annex II Calculation and Payment Methods of Service Fees</w:t>
      </w:r>
    </w:p>
    <w:p>
      <w:pPr>
        <w:spacing w:after="0" w:line="282" w:lineRule="exact"/>
        <w:rPr>
          <w:sz w:val="20"/>
          <w:szCs w:val="20"/>
          <w:color w:val="auto"/>
        </w:rPr>
      </w:pPr>
    </w:p>
    <w:p>
      <w:pPr>
        <w:jc w:val="both"/>
        <w:ind w:left="540" w:hanging="478"/>
        <w:spacing w:after="0" w:line="251" w:lineRule="auto"/>
        <w:tabs>
          <w:tab w:leader="none" w:pos="5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Service Fees under this Agreement shall be calculated on the basis of 10% to 100% of the monthly total business income of Party B and/or Party B’s Subsidiaries, and the specific proportion of the above Service Fees (limited to 10% to 100%) shall be determined and notified in writing by Party A to Party B and/or Party B’s Subsidiaries according to the actual technical support service provided by Party A as required by Party B and/or Party B’s Subsidiaries and based on the number of persons and number of days invested by Party A.</w:t>
      </w:r>
    </w:p>
    <w:p>
      <w:pPr>
        <w:spacing w:after="0" w:line="179" w:lineRule="exact"/>
        <w:rPr>
          <w:sz w:val="20"/>
          <w:szCs w:val="20"/>
          <w:color w:val="auto"/>
        </w:rPr>
      </w:pPr>
    </w:p>
    <w:p>
      <w:pPr>
        <w:ind w:left="540" w:hanging="491"/>
        <w:spacing w:after="0"/>
        <w:tabs>
          <w:tab w:leader="none" w:pos="5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Party B shall determine the amount of Service Fees according to the following factors:</w:t>
      </w:r>
    </w:p>
    <w:p>
      <w:pPr>
        <w:spacing w:after="0" w:line="203" w:lineRule="exact"/>
        <w:rPr>
          <w:rFonts w:ascii="Arial" w:cs="Arial" w:eastAsia="Arial" w:hAnsi="Arial"/>
          <w:sz w:val="17"/>
          <w:szCs w:val="17"/>
          <w:color w:val="auto"/>
        </w:rPr>
      </w:pPr>
    </w:p>
    <w:p>
      <w:pPr>
        <w:ind w:left="940" w:hanging="430"/>
        <w:spacing w:after="0"/>
        <w:tabs>
          <w:tab w:leader="none" w:pos="94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Technical difficulty and complexity of the technical consultation and services;</w:t>
      </w:r>
    </w:p>
    <w:p>
      <w:pPr>
        <w:spacing w:after="0" w:line="203" w:lineRule="exact"/>
        <w:rPr>
          <w:rFonts w:ascii="Arial" w:cs="Arial" w:eastAsia="Arial" w:hAnsi="Arial"/>
          <w:sz w:val="17"/>
          <w:szCs w:val="17"/>
          <w:color w:val="auto"/>
        </w:rPr>
      </w:pPr>
    </w:p>
    <w:p>
      <w:pPr>
        <w:ind w:left="940" w:hanging="430"/>
        <w:spacing w:after="0"/>
        <w:tabs>
          <w:tab w:leader="none" w:pos="94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Time spent by Party A’s employees in the technical consultation and services;</w:t>
      </w:r>
    </w:p>
    <w:p>
      <w:pPr>
        <w:spacing w:after="0" w:line="203" w:lineRule="exact"/>
        <w:rPr>
          <w:rFonts w:ascii="Arial" w:cs="Arial" w:eastAsia="Arial" w:hAnsi="Arial"/>
          <w:sz w:val="17"/>
          <w:szCs w:val="17"/>
          <w:color w:val="auto"/>
        </w:rPr>
      </w:pPr>
    </w:p>
    <w:p>
      <w:pPr>
        <w:ind w:left="940" w:hanging="430"/>
        <w:spacing w:after="0"/>
        <w:tabs>
          <w:tab w:leader="none" w:pos="94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Specific content and commercial value of the technical consultation and services;</w:t>
      </w:r>
    </w:p>
    <w:p>
      <w:pPr>
        <w:spacing w:after="0" w:line="203" w:lineRule="exact"/>
        <w:rPr>
          <w:rFonts w:ascii="Arial" w:cs="Arial" w:eastAsia="Arial" w:hAnsi="Arial"/>
          <w:sz w:val="17"/>
          <w:szCs w:val="17"/>
          <w:color w:val="auto"/>
        </w:rPr>
      </w:pPr>
    </w:p>
    <w:p>
      <w:pPr>
        <w:ind w:left="940" w:hanging="430"/>
        <w:spacing w:after="0"/>
        <w:tabs>
          <w:tab w:leader="none" w:pos="94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Market reference price of similar technical consultation and services.</w:t>
      </w:r>
    </w:p>
    <w:p>
      <w:pPr>
        <w:spacing w:after="0" w:line="203" w:lineRule="exact"/>
        <w:rPr>
          <w:sz w:val="20"/>
          <w:szCs w:val="20"/>
          <w:color w:val="auto"/>
        </w:rPr>
      </w:pPr>
    </w:p>
    <w:p>
      <w:pPr>
        <w:jc w:val="both"/>
        <w:ind w:left="540" w:hanging="491"/>
        <w:spacing w:after="0" w:line="295" w:lineRule="auto"/>
        <w:tabs>
          <w:tab w:leader="none" w:pos="54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Party A shall summarize and calculate the Service Fees on a quarterly basis and shall, within Thirty (30) days from the start date of any quarter, send a bill of technical Service Fees for the last quarter to Party B and/or Party B’s Subsidiaries so as to give a notice to Party B and/or Party B’s Subsidiaries. Within Ten (10) working days after receipt of such notice, Party B and/or Party B’s Subsidiaries shall pay such Service Fees to the bank account designated by Party A. Party B and/or Party B’s Subsidiaries shall send by fax or by mail a copy of the remittance voucher to Party A within Ten (10) working days after remittance.</w:t>
      </w:r>
    </w:p>
    <w:p>
      <w:pPr>
        <w:sectPr>
          <w:pgSz w:w="11900" w:h="16838" w:orient="portrait"/>
          <w:cols w:equalWidth="0" w:num="1">
            <w:col w:w="11240"/>
          </w:cols>
          <w:pgMar w:left="320" w:top="114" w:right="339" w:bottom="1440" w:gutter="0" w:footer="0" w:header="0"/>
        </w:sectPr>
      </w:pP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If Party A considers that it is necessary to adjust the service pricing mechanism as stipulated herein that is not continuously applicable for some reason, Party A shall give a prompt written notice to Party B and/or Party B’s Subsidiaries, and such written notice shall take effect when it is served to Party B and/or Party B’s Subsidiaries.</w:t>
      </w:r>
    </w:p>
    <w:p>
      <w:pPr>
        <w:spacing w:after="0" w:line="164" w:lineRule="exact"/>
        <w:rPr>
          <w:sz w:val="20"/>
          <w:szCs w:val="20"/>
          <w:color w:val="auto"/>
        </w:rPr>
      </w:pPr>
    </w:p>
    <w:p>
      <w:pPr>
        <w:sectPr>
          <w:pgSz w:w="11900" w:h="16838" w:orient="portrait"/>
          <w:cols w:equalWidth="0" w:num="2">
            <w:col w:w="240" w:space="300"/>
            <w:col w:w="10700"/>
          </w:cols>
          <w:pgMar w:left="320" w:top="114" w:right="33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Annex III Letter of Acceptance of Rights and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Our company</w:t>
      </w:r>
      <w:r>
        <w:rPr>
          <w:rFonts w:ascii="Arial" w:cs="Arial" w:eastAsia="Arial" w:hAnsi="Arial"/>
          <w:sz w:val="15"/>
          <w:szCs w:val="15"/>
          <w:b w:val="1"/>
          <w:bCs w:val="1"/>
          <w:color w:val="auto"/>
        </w:rPr>
        <w:t>, ______, is a subsidiary of ______ Co., Ltd. (hereinafter referred to as “______”) incorporated with ______on the ______day of , and Tianjin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Shangde holds % of ______ the shares/equity of our company.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accordance with the Exclusive Technical Consultation and Service Agreement (hereinafter referred to as “Agreement”) entered into by ______________Co.,</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Limited and other parties on the day of ______, our company as a newly added “Party B’s Subsidiary” under the Agreement shall join the Agreement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Article 12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114"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114" w:right="339" w:bottom="1440" w:gutter="0" w:footer="0" w:header="0"/>
          <w:type w:val="continuous"/>
        </w:sectPr>
      </w:pPr>
    </w:p>
    <w:bookmarkStart w:id="158" w:name="page159"/>
    <w:bookmarkEnd w:id="158"/>
    <w:p>
      <w:pPr>
        <w:ind w:left="10340"/>
        <w:spacing w:after="0"/>
        <w:rPr>
          <w:sz w:val="20"/>
          <w:szCs w:val="20"/>
          <w:color w:val="auto"/>
        </w:rPr>
      </w:pPr>
      <w:r>
        <w:rPr>
          <w:rFonts w:ascii="Arial" w:cs="Arial" w:eastAsia="Arial" w:hAnsi="Arial"/>
          <w:sz w:val="16"/>
          <w:szCs w:val="16"/>
          <w:b w:val="1"/>
          <w:bCs w:val="1"/>
          <w:color w:val="auto"/>
        </w:rPr>
        <w:t>Exhibit 4.19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 Operation Agreement</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Business Operation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21st day of February, 2021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Beijing Feibian Education Technology Co., Ltd.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Registered Address: 1063 Huihe South Street, M1161, 1</w:t>
      </w:r>
      <w:r>
        <w:rPr>
          <w:rFonts w:ascii="Arial" w:cs="Arial" w:eastAsia="Arial" w:hAnsi="Arial"/>
          <w:sz w:val="13"/>
          <w:szCs w:val="13"/>
          <w:color w:val="auto"/>
        </w:rPr>
        <w:t>st</w:t>
      </w:r>
      <w:r>
        <w:rPr>
          <w:rFonts w:ascii="Arial" w:cs="Arial" w:eastAsia="Arial" w:hAnsi="Arial"/>
          <w:sz w:val="16"/>
          <w:szCs w:val="16"/>
          <w:color w:val="auto"/>
        </w:rPr>
        <w:t xml:space="preserve"> Floor, Building No. 1, Banbidian Villiage, Gaobeidian County, Chaoyang District, Beijing, China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CHENG Xinhui</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or more of the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420" w:hanging="420"/>
        <w:spacing w:after="0"/>
        <w:tabs>
          <w:tab w:leader="none" w:pos="4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jc w:val="both"/>
        <w:ind w:left="420" w:hanging="420"/>
        <w:spacing w:after="0" w:line="278" w:lineRule="auto"/>
        <w:tabs>
          <w:tab w:leader="none" w:pos="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Party A has established the business relationship with Party B and Party B’s Subsidiaries by signing the Exclusive Technical Consultation and Service Agreement and other agreements; Party B and Party B’s Subsidiaries shall pay various amounts to Party A under such agreements, and therefore any daily operating activities of Party B and Party B’s Subsidiaries will have a substantial impact on their ability to pay the corresponding amounts to Party A.</w:t>
      </w:r>
    </w:p>
    <w:p>
      <w:pPr>
        <w:spacing w:after="0" w:line="157" w:lineRule="exact"/>
        <w:rPr>
          <w:rFonts w:ascii="Arial" w:cs="Arial" w:eastAsia="Arial" w:hAnsi="Arial"/>
          <w:sz w:val="16"/>
          <w:szCs w:val="16"/>
          <w:color w:val="auto"/>
        </w:rPr>
      </w:pPr>
    </w:p>
    <w:p>
      <w:pPr>
        <w:ind w:left="420" w:hanging="420"/>
        <w:spacing w:after="0"/>
        <w:tabs>
          <w:tab w:leader="none" w:pos="4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interests held by Party C in Party B and the shareholding structure are shown in Annex II hereto.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9" w:name="page160"/>
    <w:bookmarkEnd w:id="159"/>
    <w:p>
      <w:pPr>
        <w:ind w:right="40"/>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860" w:hanging="860"/>
        <w:spacing w:after="0"/>
        <w:tabs>
          <w:tab w:leader="none" w:pos="86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Obligation of omission</w:t>
      </w:r>
    </w:p>
    <w:p>
      <w:pPr>
        <w:spacing w:after="0" w:line="207" w:lineRule="exact"/>
        <w:rPr>
          <w:rFonts w:ascii="Arial" w:cs="Arial" w:eastAsia="Arial" w:hAnsi="Arial"/>
          <w:sz w:val="17"/>
          <w:szCs w:val="17"/>
          <w:color w:val="auto"/>
        </w:rPr>
      </w:pPr>
    </w:p>
    <w:p>
      <w:pPr>
        <w:jc w:val="both"/>
        <w:ind w:left="860" w:right="40"/>
        <w:spacing w:after="0" w:line="251" w:lineRule="auto"/>
        <w:rPr>
          <w:rFonts w:ascii="Arial" w:cs="Arial" w:eastAsia="Arial" w:hAnsi="Arial"/>
          <w:sz w:val="17"/>
          <w:szCs w:val="17"/>
          <w:color w:val="auto"/>
        </w:rPr>
      </w:pPr>
      <w:r>
        <w:rPr>
          <w:rFonts w:ascii="Arial" w:cs="Arial" w:eastAsia="Arial" w:hAnsi="Arial"/>
          <w:sz w:val="17"/>
          <w:szCs w:val="17"/>
          <w:color w:val="auto"/>
        </w:rPr>
        <w:t>In order to ensure that Party B and Party B’s Subsidiaries perform any agreements signed with Party A and their obligations to Party A, Party B, Party B’s Subsidiaries and Party C hereby acknowledge and agree that, unless they obtain the prior written consent of Party A or any other parties designated by Party A, Party B and Party B’s Subsidiaries shall not conduct any transactions and actions that may have substantial adverse effects on their assets, business, personnel, obligations, rights or company operations, including but not limited to:</w:t>
      </w:r>
    </w:p>
    <w:p>
      <w:pPr>
        <w:spacing w:after="0" w:line="179"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1.1</w:t>
            </w: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Carrying out any activities beyond the normal business scope of the company or failure to operate company business in any way as consistent</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and usual as those in the past;</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1.2</w:t>
            </w:r>
          </w:p>
        </w:tc>
        <w:tc>
          <w:tcPr>
            <w:tcW w:w="9800" w:type="dxa"/>
            <w:vAlign w:val="bottom"/>
          </w:tcPr>
          <w:p>
            <w:pPr>
              <w:ind w:left="280"/>
              <w:spacing w:after="0"/>
              <w:rPr>
                <w:sz w:val="20"/>
                <w:szCs w:val="20"/>
                <w:color w:val="auto"/>
              </w:rPr>
            </w:pPr>
            <w:r>
              <w:rPr>
                <w:rFonts w:ascii="Arial" w:cs="Arial" w:eastAsia="Arial" w:hAnsi="Arial"/>
                <w:sz w:val="17"/>
                <w:szCs w:val="17"/>
                <w:color w:val="auto"/>
              </w:rPr>
              <w:t>Borrowing money from any third party or assuming any debts;</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1.3</w:t>
            </w:r>
          </w:p>
        </w:tc>
        <w:tc>
          <w:tcPr>
            <w:tcW w:w="9800" w:type="dxa"/>
            <w:vAlign w:val="bottom"/>
          </w:tcPr>
          <w:p>
            <w:pPr>
              <w:ind w:left="280"/>
              <w:spacing w:after="0"/>
              <w:rPr>
                <w:sz w:val="20"/>
                <w:szCs w:val="20"/>
                <w:color w:val="auto"/>
              </w:rPr>
            </w:pPr>
            <w:r>
              <w:rPr>
                <w:rFonts w:ascii="Arial" w:cs="Arial" w:eastAsia="Arial" w:hAnsi="Arial"/>
                <w:sz w:val="17"/>
                <w:szCs w:val="17"/>
                <w:color w:val="auto"/>
              </w:rPr>
              <w:t>Changing or removing any directors of the company or dismissing and replacing any senior managers of the company;</w:t>
            </w:r>
          </w:p>
        </w:tc>
      </w:tr>
      <w:tr>
        <w:trPr>
          <w:trHeight w:val="411"/>
        </w:trPr>
        <w:tc>
          <w:tcPr>
            <w:tcW w:w="580" w:type="dxa"/>
            <w:vAlign w:val="bottom"/>
          </w:tcPr>
          <w:p>
            <w:pPr>
              <w:spacing w:after="0"/>
              <w:rPr>
                <w:sz w:val="20"/>
                <w:szCs w:val="20"/>
                <w:color w:val="auto"/>
              </w:rPr>
            </w:pPr>
            <w:r>
              <w:rPr>
                <w:rFonts w:ascii="Arial" w:cs="Arial" w:eastAsia="Arial" w:hAnsi="Arial"/>
                <w:sz w:val="17"/>
                <w:szCs w:val="17"/>
                <w:color w:val="auto"/>
              </w:rPr>
              <w:t>1.4</w:t>
            </w:r>
          </w:p>
        </w:tc>
        <w:tc>
          <w:tcPr>
            <w:tcW w:w="9800" w:type="dxa"/>
            <w:vAlign w:val="bottom"/>
          </w:tcPr>
          <w:p>
            <w:pPr>
              <w:ind w:left="280"/>
              <w:spacing w:after="0"/>
              <w:rPr>
                <w:sz w:val="20"/>
                <w:szCs w:val="20"/>
                <w:color w:val="auto"/>
              </w:rPr>
            </w:pPr>
            <w:r>
              <w:rPr>
                <w:rFonts w:ascii="Arial" w:cs="Arial" w:eastAsia="Arial" w:hAnsi="Arial"/>
                <w:sz w:val="17"/>
                <w:szCs w:val="17"/>
                <w:color w:val="auto"/>
                <w:w w:val="90"/>
              </w:rPr>
              <w:t>Selling to or acquiring from any third party or otherwise disposing of any assets or rights (including but not limited to any intellectual property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rights) with the total value of RMB 0.05 million or more;</w:t>
            </w:r>
          </w:p>
        </w:tc>
      </w:tr>
      <w:tr>
        <w:trPr>
          <w:trHeight w:val="386"/>
        </w:trPr>
        <w:tc>
          <w:tcPr>
            <w:tcW w:w="580" w:type="dxa"/>
            <w:vAlign w:val="bottom"/>
          </w:tcPr>
          <w:p>
            <w:pPr>
              <w:spacing w:after="0"/>
              <w:rPr>
                <w:sz w:val="20"/>
                <w:szCs w:val="20"/>
                <w:color w:val="auto"/>
              </w:rPr>
            </w:pPr>
            <w:r>
              <w:rPr>
                <w:rFonts w:ascii="Arial" w:cs="Arial" w:eastAsia="Arial" w:hAnsi="Arial"/>
                <w:sz w:val="17"/>
                <w:szCs w:val="17"/>
                <w:color w:val="auto"/>
              </w:rPr>
              <w:t>1.5</w:t>
            </w:r>
          </w:p>
        </w:tc>
        <w:tc>
          <w:tcPr>
            <w:tcW w:w="9800" w:type="dxa"/>
            <w:vAlign w:val="bottom"/>
          </w:tcPr>
          <w:p>
            <w:pPr>
              <w:ind w:left="280"/>
              <w:spacing w:after="0"/>
              <w:rPr>
                <w:sz w:val="20"/>
                <w:szCs w:val="20"/>
                <w:color w:val="auto"/>
              </w:rPr>
            </w:pPr>
            <w:r>
              <w:rPr>
                <w:rFonts w:ascii="Arial" w:cs="Arial" w:eastAsia="Arial" w:hAnsi="Arial"/>
                <w:sz w:val="17"/>
                <w:szCs w:val="17"/>
                <w:color w:val="auto"/>
                <w:w w:val="92"/>
              </w:rPr>
              <w:t>Providing any third party with any form of guarantees or creating any form of encumbrances on any assets of the company (including any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intellectual property rights);</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1.6</w:t>
            </w:r>
          </w:p>
        </w:tc>
        <w:tc>
          <w:tcPr>
            <w:tcW w:w="9800" w:type="dxa"/>
            <w:vAlign w:val="bottom"/>
          </w:tcPr>
          <w:p>
            <w:pPr>
              <w:ind w:left="280"/>
              <w:spacing w:after="0"/>
              <w:rPr>
                <w:sz w:val="20"/>
                <w:szCs w:val="20"/>
                <w:color w:val="auto"/>
              </w:rPr>
            </w:pPr>
            <w:r>
              <w:rPr>
                <w:rFonts w:ascii="Arial" w:cs="Arial" w:eastAsia="Arial" w:hAnsi="Arial"/>
                <w:sz w:val="17"/>
                <w:szCs w:val="17"/>
                <w:color w:val="auto"/>
              </w:rPr>
              <w:t>Amending the articles of association or changing the business scope of the company;</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1.7</w:t>
            </w:r>
          </w:p>
        </w:tc>
        <w:tc>
          <w:tcPr>
            <w:tcW w:w="9800" w:type="dxa"/>
            <w:vAlign w:val="bottom"/>
          </w:tcPr>
          <w:p>
            <w:pPr>
              <w:ind w:left="280"/>
              <w:spacing w:after="0"/>
              <w:rPr>
                <w:sz w:val="20"/>
                <w:szCs w:val="20"/>
                <w:color w:val="auto"/>
              </w:rPr>
            </w:pPr>
            <w:r>
              <w:rPr>
                <w:rFonts w:ascii="Arial" w:cs="Arial" w:eastAsia="Arial" w:hAnsi="Arial"/>
                <w:sz w:val="17"/>
                <w:szCs w:val="17"/>
                <w:color w:val="auto"/>
                <w:w w:val="98"/>
              </w:rPr>
              <w:t>Changing the normal business procedures of the company or modifying any major internal rules and regulations of the company;</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1.8</w:t>
            </w:r>
          </w:p>
        </w:tc>
        <w:tc>
          <w:tcPr>
            <w:tcW w:w="9800" w:type="dxa"/>
            <w:vAlign w:val="bottom"/>
          </w:tcPr>
          <w:p>
            <w:pPr>
              <w:ind w:left="280"/>
              <w:spacing w:after="0"/>
              <w:rPr>
                <w:sz w:val="20"/>
                <w:szCs w:val="20"/>
                <w:color w:val="auto"/>
              </w:rPr>
            </w:pPr>
            <w:r>
              <w:rPr>
                <w:rFonts w:ascii="Arial" w:cs="Arial" w:eastAsia="Arial" w:hAnsi="Arial"/>
                <w:sz w:val="17"/>
                <w:szCs w:val="17"/>
                <w:color w:val="auto"/>
              </w:rPr>
              <w:t>Transferring their rights and obligations under this Agreement to any third party;</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1.9</w:t>
            </w:r>
          </w:p>
        </w:tc>
        <w:tc>
          <w:tcPr>
            <w:tcW w:w="9800" w:type="dxa"/>
            <w:vAlign w:val="bottom"/>
          </w:tcPr>
          <w:p>
            <w:pPr>
              <w:ind w:left="280"/>
              <w:spacing w:after="0"/>
              <w:rPr>
                <w:sz w:val="20"/>
                <w:szCs w:val="20"/>
                <w:color w:val="auto"/>
              </w:rPr>
            </w:pPr>
            <w:r>
              <w:rPr>
                <w:rFonts w:ascii="Arial" w:cs="Arial" w:eastAsia="Arial" w:hAnsi="Arial"/>
                <w:sz w:val="17"/>
                <w:szCs w:val="17"/>
                <w:color w:val="auto"/>
                <w:w w:val="95"/>
              </w:rPr>
              <w:t>Making any major adjustments to their business operation model, marketing strategy, management policy or customer relations; and</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1.10</w:t>
            </w:r>
          </w:p>
        </w:tc>
        <w:tc>
          <w:tcPr>
            <w:tcW w:w="9800" w:type="dxa"/>
            <w:vAlign w:val="bottom"/>
          </w:tcPr>
          <w:p>
            <w:pPr>
              <w:ind w:left="280"/>
              <w:spacing w:after="0"/>
              <w:rPr>
                <w:sz w:val="20"/>
                <w:szCs w:val="20"/>
                <w:color w:val="auto"/>
              </w:rPr>
            </w:pPr>
            <w:r>
              <w:rPr>
                <w:rFonts w:ascii="Arial" w:cs="Arial" w:eastAsia="Arial" w:hAnsi="Arial"/>
                <w:sz w:val="17"/>
                <w:szCs w:val="17"/>
                <w:color w:val="auto"/>
              </w:rPr>
              <w:t>Distributing any bonus and dividend in any form.</w:t>
            </w:r>
          </w:p>
        </w:tc>
      </w:tr>
    </w:tbl>
    <w:p>
      <w:pPr>
        <w:spacing w:after="0" w:line="208" w:lineRule="exact"/>
        <w:rPr>
          <w:sz w:val="20"/>
          <w:szCs w:val="20"/>
          <w:color w:val="auto"/>
        </w:rPr>
      </w:pPr>
    </w:p>
    <w:p>
      <w:pPr>
        <w:ind w:left="860" w:hanging="860"/>
        <w:spacing w:after="0"/>
        <w:tabs>
          <w:tab w:leader="none" w:pos="86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Management and Personnel Arrangement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Party B’s Subsidiaries and Party C hereby agree to accept any appointment and dismissal of employees of the company provided by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A from time to time and any opinions and instructions on the daily operating management, financial management system, etc., of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company and strictly implement them.</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B, Party B’s Subsidiaries and Party C hereby agree that Party C shall, in accordance with the laws and regulations and the articles of</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association, elect or appoint any persons designated by Party A as director (or executive director) or supervisor of Party B and Party B’s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Subsidiaries and cause such persons elected as director to elect the chairman of the company (if the company has a board of directors)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according to Party A’s recommendation of candidate and shall appoint any persons designated by Party A as general manager, chief financial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officer and other senior managers of Party B and Party B’s Subsidiaries.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When the aforesaid directors or senior managers designated by Party A leave Party A for any reasons whatsoever (including but not limited to</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any voluntary resignation and dismissal by Party A), they</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2" w:right="299" w:bottom="1440" w:gutter="0" w:footer="0" w:header="0"/>
        </w:sectPr>
      </w:pPr>
    </w:p>
    <w:bookmarkStart w:id="160" w:name="page161"/>
    <w:bookmarkEnd w:id="160"/>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will be disqualified from holding a post in Party B and Party B’s Subsidiaries. In such a case, Party B, Party B’s Subsidiaries and Party C shall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immediately dismiss the aforesaid persons from any post in Party B and Party B’s Subsidiaries and immediately elect or employ any other</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persons otherwise designated by Party A to hold such post.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For the purpose of the Section 2.3 above, Party B, Party B’s Subsidiaries and Party C shall, in accordance with the laws, articles of association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and this Agreement, take all necessary internal and external procedures of the company to complete the above dismissal and appointment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procedures.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2.5</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Party C hereby agrees that, when signing this Agreement, it shall sign a power of attorney in such form and substance as shown in Annex III</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hereto and shall, according to such power of attorney, irrevocably authorize any persons designated by Party A to exercise its shareholder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rights on its behalf and exercise all shareholders’ voting rights in the name of shareholders at any meeting of shareholders held by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Party B’s Subsidiaries. Party C further agrees that it shall replace at any time the designated authorized persons in the forgoing power of</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attorney according to Party A’s requirements.</w:t>
            </w:r>
          </w:p>
        </w:tc>
      </w:tr>
    </w:tbl>
    <w:p>
      <w:pPr>
        <w:spacing w:after="0" w:line="183" w:lineRule="exact"/>
        <w:rPr>
          <w:sz w:val="20"/>
          <w:szCs w:val="20"/>
          <w:color w:val="auto"/>
        </w:rPr>
      </w:pPr>
    </w:p>
    <w:p>
      <w:pPr>
        <w:ind w:left="860" w:hanging="860"/>
        <w:spacing w:after="0"/>
        <w:tabs>
          <w:tab w:leader="none" w:pos="86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of the agreements among Party A and Party B and Party B’s Subsidiaries is terminated or expires, Party A shall have the right to decide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whether to terminate all agreements among Party A and Party B and Party B’s Subsidiaries, including but not limited to any Exclusive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Technical Consultation and Service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Considering that Party A has established the business relationship with Party B and Party B’s Subsidiaries by signing an Exclusive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Consultation and Service Agreement and other agreements, any daily operating activities of Party B and Party B’s Subsidiaries will have a</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substantial impact on their ability to pay the corresponding amounts to Party A. Party C agrees that, subject to the provisions of Article 1</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hereof, any incomes or interests shall be immediately paid or transferred without compensation to Party A when they are realized, under no</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conditions, out of any bonuses, dividend distributions or any other similar incomes or interests (regardless of their specific form) that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received by Party C from Party B and Party B’s Subsidiaries in the capacity of a shareholder of Party B and Party B’s Subsidiaries and that it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shall, according to Party A’s requirements, provide all necessary documents or take all necessary actions to realize such payment or transfer.</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3.3</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added Party B’s Subsidiary at any time after the effective date of this Agreement, Party B and Party C shall cause such newly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added Party B’s Subsidiary to sign a letter of acceptance of rights and obligations in such form and substance as shown in Annex IV hereto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any other legal documents permitted or required by the laws of the PRC so as to enable such newly added Party B’s Subsidiary to join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 and fully accept any obligations and rights to be assumed and enjoyed by Party B’s Subsidiaries under this Agreement. From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execution date of such letter of acceptance of rights and obligations and any other legal documents permitted or required by the laws of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PRC, such newly added Party B’s Subsidiary shall be deemed to be a signatory to this Agreement. Any other Parties hereto hereby agree to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fully accept the foregoing arrangement.</w:t>
            </w:r>
          </w:p>
        </w:tc>
      </w:tr>
    </w:tbl>
    <w:p>
      <w:pPr>
        <w:spacing w:after="0" w:line="183" w:lineRule="exact"/>
        <w:rPr>
          <w:sz w:val="20"/>
          <w:szCs w:val="20"/>
          <w:color w:val="auto"/>
        </w:rPr>
      </w:pPr>
    </w:p>
    <w:p>
      <w:pPr>
        <w:ind w:left="860" w:hanging="860"/>
        <w:spacing w:after="0"/>
        <w:tabs>
          <w:tab w:leader="none" w:pos="86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and Amendment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This Agreement and all agreements and/or documents referred to or expressly contained herein shall constitute an entire agreement among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Parties in respect of the subject matter of this Agreement and supersede all prior oral and written agreements, contracts, understandings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communications among the Parties in relation to the subject matter of this Agreement.</w:t>
            </w:r>
          </w:p>
        </w:tc>
      </w:tr>
      <w:tr>
        <w:trPr>
          <w:trHeight w:val="598"/>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3</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6" w:right="299" w:bottom="1440" w:gutter="0" w:footer="0" w:header="0"/>
        </w:sectPr>
      </w:pPr>
    </w:p>
    <w:bookmarkStart w:id="161" w:name="page162"/>
    <w:bookmarkEnd w:id="161"/>
    <w:p>
      <w:pPr>
        <w:jc w:val="both"/>
        <w:ind w:left="1720" w:right="40" w:hanging="859"/>
        <w:spacing w:after="0" w:line="254" w:lineRule="auto"/>
        <w:tabs>
          <w:tab w:leader="none" w:pos="17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No amendments to this Agreement shall be valid unless a written agreement is signed by the Parties. Any amendment and supplementary agreements duly signed by the Parties in relation to this Agreement shall form an integral part of this Agreement and be equally authentic as this Agreement.</w:t>
      </w:r>
    </w:p>
    <w:p>
      <w:pPr>
        <w:spacing w:after="0" w:line="173" w:lineRule="exact"/>
        <w:rPr>
          <w:sz w:val="20"/>
          <w:szCs w:val="20"/>
          <w:color w:val="auto"/>
        </w:rPr>
      </w:pPr>
    </w:p>
    <w:p>
      <w:pPr>
        <w:ind w:left="860" w:hanging="860"/>
        <w:spacing w:after="0"/>
        <w:tabs>
          <w:tab w:leader="none" w:pos="86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resolve such disputes through consultation in good faith. If such disputes can not be resolved through consultation, any Party may submit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proceedings shall be Chinese. Any arbitral award shall be final and binding upon the Parties. No provisions of this Article shall be affected by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rFonts w:ascii="Arial" w:cs="Arial" w:eastAsia="Arial" w:hAnsi="Arial"/>
          <w:sz w:val="17"/>
          <w:szCs w:val="17"/>
          <w:b w:val="1"/>
          <w:bCs w:val="1"/>
          <w:color w:val="auto"/>
        </w:rPr>
      </w:pPr>
    </w:p>
    <w:p>
      <w:pPr>
        <w:jc w:val="both"/>
        <w:ind w:left="860" w:right="4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2"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A,</w:t>
      </w:r>
    </w:p>
    <w:p>
      <w:pPr>
        <w:spacing w:after="0" w:line="207" w:lineRule="exact"/>
        <w:rPr>
          <w:rFonts w:ascii="Arial" w:cs="Arial" w:eastAsia="Arial" w:hAnsi="Arial"/>
          <w:sz w:val="17"/>
          <w:szCs w:val="17"/>
          <w:b w:val="1"/>
          <w:bCs w:val="1"/>
          <w:color w:val="auto"/>
        </w:rPr>
      </w:pPr>
    </w:p>
    <w:p>
      <w:pPr>
        <w:ind w:left="860" w:right="2840"/>
        <w:spacing w:after="0" w:line="489" w:lineRule="auto"/>
        <w:rPr>
          <w:rFonts w:ascii="Arial" w:cs="Arial" w:eastAsia="Arial" w:hAnsi="Arial"/>
          <w:sz w:val="17"/>
          <w:szCs w:val="17"/>
          <w:b w:val="1"/>
          <w:bCs w:val="1"/>
          <w:color w:val="auto"/>
        </w:rPr>
      </w:pPr>
      <w:r>
        <w:rPr>
          <w:rFonts w:ascii="Arial" w:cs="Arial" w:eastAsia="Arial" w:hAnsi="Arial"/>
          <w:sz w:val="17"/>
          <w:szCs w:val="17"/>
          <w:color w:val="auto"/>
        </w:rPr>
        <w:t>Address: Building No. 6, Chaolai Science and Technology Park, Laiguangying, Chaoyang District, Beijing, China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LIU Tongbo</w:t>
      </w:r>
    </w:p>
    <w:p>
      <w:pPr>
        <w:spacing w:after="0" w:line="19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B and Party B’s Subsidiaries</w:t>
      </w:r>
    </w:p>
    <w:p>
      <w:pPr>
        <w:spacing w:after="0" w:line="207" w:lineRule="exact"/>
        <w:rPr>
          <w:rFonts w:ascii="Arial" w:cs="Arial" w:eastAsia="Arial" w:hAnsi="Arial"/>
          <w:sz w:val="17"/>
          <w:szCs w:val="17"/>
          <w:b w:val="1"/>
          <w:bCs w:val="1"/>
          <w:color w:val="auto"/>
        </w:rPr>
      </w:pPr>
    </w:p>
    <w:p>
      <w:pPr>
        <w:ind w:left="860" w:right="2840"/>
        <w:spacing w:after="0" w:line="489" w:lineRule="auto"/>
        <w:rPr>
          <w:rFonts w:ascii="Arial" w:cs="Arial" w:eastAsia="Arial" w:hAnsi="Arial"/>
          <w:sz w:val="17"/>
          <w:szCs w:val="17"/>
          <w:b w:val="1"/>
          <w:bCs w:val="1"/>
          <w:color w:val="auto"/>
        </w:rPr>
      </w:pPr>
      <w:r>
        <w:rPr>
          <w:rFonts w:ascii="Arial" w:cs="Arial" w:eastAsia="Arial" w:hAnsi="Arial"/>
          <w:sz w:val="17"/>
          <w:szCs w:val="17"/>
          <w:color w:val="auto"/>
        </w:rPr>
        <w:t>Address: Building No. 4, Chaolai Science and Technology Park, Laiguangying, Chaoyang District, Beijing, China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CHENG Xinhui</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Term and Miscellaneous Provisions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Any written consents, suggestions and designations of Party A involved herein and any other decisions that have a substantial impact on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daily operation of Party B and Party B’s Subsidiaries shall be made by Party A’s board of directors and/or executive director.</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8.2</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This Agreement is executed by the parties hereto and take effect as of the date first written above herein. Unless Party A cancels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Agreement in advance, the term of this Agreement shall be terminated upon dissolution of both of Party B and Party B’s Subsidiaries in</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accordance with the</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4</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6" w:right="299" w:bottom="1440" w:gutter="0" w:footer="0" w:header="0"/>
        </w:sectPr>
      </w:pPr>
    </w:p>
    <w:bookmarkStart w:id="162" w:name="page163"/>
    <w:bookmarkEnd w:id="162"/>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laws of the PRC. Upon Party A’s request prior to the expiration of this Agreement, the Parties shall extend the term of this Agreement at Party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A’s request and shall sign a separate business operation agreement or continue to perform this Agreement according to Party A’s requirements.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Notwithstanding the above, the Parties acknowledge that, in case of any change of Party B’s shareholding structure or any increase or decrease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of shareholders and other circumstances, Party A, Party B, Party B’s Subsidiaries and all existing shareholders of Party B shall re-sign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Agreement, and this Agreement shall automatically be terminated and become invalid from the effective date of the business operation</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 re-signed by the foregoing Parties.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Within the term of this Agreement, Party B, Party B’s Subsidiaries and Party C shall not terminate this Agreement in advance. Party A shall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have the right to terminate this Agreement at any time by giving a written notice to Party B, Party B’s Subsidiaries and shareholders Thirty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(30) days in advance.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Parties hereby acknowledge that this Agreement shall be a fair and reasonable agreement reached by the Parties hereto on the basis of</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equality and mutual benefit. If any provisions of this Agreement are deemed to be illegal or unenforceable by any applicable law,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provisions shall be deemed to have been deleted from this Agreement and become invalid, provided that any other provisions of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Agreement shall remain in force, and this Agreement shall be deemed to have not contained such provisions from the beginning. The Parties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hereto shall mutually negotiate about the replacement of such provisions that are deemed to have been deleted with any legal and valid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provisions acceptable to the Parties.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8.6</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No failure by any Party to exercise its rights, powers or privileges under this Agreement shall be treated as a waiver of such rights, powers or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privileges by such Party. No single or partial exercise by any Party of its rights, powers or privileges under this Agreement shall exclude any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exercise by such Party of its other rights, powers or privileges under this Agreement.</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8.7</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8.8</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Party B, Party B’s Subsidiaries and Party C shall not transfer to any third party their rights and obligations under this Agreement unless they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obtain the prior written consent of Party A.</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duly authorized representative as of the date first above written.</w:t>
      </w:r>
    </w:p>
    <w:p>
      <w:pPr>
        <w:spacing w:after="0" w:line="215"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63" w:name="page164"/>
    <w:bookmarkEnd w:id="163"/>
    <w:p>
      <w:pPr>
        <w:jc w:val="right"/>
        <w:ind w:right="2159"/>
        <w:spacing w:after="0"/>
        <w:rPr>
          <w:sz w:val="20"/>
          <w:szCs w:val="20"/>
          <w:color w:val="auto"/>
        </w:rPr>
      </w:pPr>
      <w:r>
        <w:rPr>
          <w:rFonts w:ascii="Arial" w:cs="Arial" w:eastAsia="Arial" w:hAnsi="Arial"/>
          <w:sz w:val="17"/>
          <w:szCs w:val="17"/>
          <w:color w:val="auto"/>
        </w:rPr>
        <w:t>[This page is the signature page to the Business Operation Agreement]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Arial" w:cs="Arial" w:eastAsia="Arial" w:hAnsi="Arial"/>
                <w:sz w:val="17"/>
                <w:szCs w:val="17"/>
                <w:b w:val="1"/>
                <w:bCs w:val="1"/>
                <w:color w:val="auto"/>
                <w:w w:val="92"/>
              </w:rPr>
              <w:t>Party A: (Seal)</w:t>
            </w:r>
          </w:p>
        </w:tc>
        <w:tc>
          <w:tcPr>
            <w:tcW w:w="17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 LIU Tongbo</w:t>
            </w:r>
          </w:p>
        </w:tc>
        <w:tc>
          <w:tcPr>
            <w:tcW w:w="20" w:type="dxa"/>
            <w:vAlign w:val="bottom"/>
          </w:tcPr>
          <w:p>
            <w:pPr>
              <w:spacing w:after="0"/>
              <w:rPr>
                <w:sz w:val="16"/>
                <w:szCs w:val="16"/>
                <w:color w:val="auto"/>
              </w:rPr>
            </w:pPr>
          </w:p>
        </w:tc>
      </w:tr>
      <w:tr>
        <w:trPr>
          <w:trHeight w:val="416"/>
        </w:trPr>
        <w:tc>
          <w:tcPr>
            <w:tcW w:w="2880" w:type="dxa"/>
            <w:vAlign w:val="bottom"/>
            <w:gridSpan w:val="2"/>
          </w:tcPr>
          <w:p>
            <w:pPr>
              <w:spacing w:after="0"/>
              <w:rPr>
                <w:sz w:val="20"/>
                <w:szCs w:val="20"/>
                <w:color w:val="auto"/>
              </w:rPr>
            </w:pPr>
            <w:r>
              <w:rPr>
                <w:rFonts w:ascii="Arial" w:cs="Arial" w:eastAsia="Arial" w:hAnsi="Arial"/>
                <w:sz w:val="17"/>
                <w:szCs w:val="17"/>
                <w:color w:val="auto"/>
              </w:rPr>
              <w:t>Legal or Authorized Representative:</w:t>
            </w:r>
          </w:p>
        </w:tc>
        <w:tc>
          <w:tcPr>
            <w:tcW w:w="20" w:type="dxa"/>
            <w:vAlign w:val="bottom"/>
          </w:tcPr>
          <w:p>
            <w:pPr>
              <w:spacing w:after="0"/>
              <w:rPr>
                <w:sz w:val="24"/>
                <w:szCs w:val="24"/>
                <w:color w:val="auto"/>
              </w:rPr>
            </w:pPr>
          </w:p>
        </w:tc>
      </w:tr>
      <w:tr>
        <w:trPr>
          <w:trHeight w:val="361"/>
        </w:trPr>
        <w:tc>
          <w:tcPr>
            <w:tcW w:w="1100" w:type="dxa"/>
            <w:vAlign w:val="bottom"/>
          </w:tcPr>
          <w:p>
            <w:pPr>
              <w:spacing w:after="0"/>
              <w:rPr>
                <w:sz w:val="20"/>
                <w:szCs w:val="20"/>
                <w:color w:val="auto"/>
              </w:rPr>
            </w:pPr>
            <w:r>
              <w:rPr>
                <w:rFonts w:ascii="Arial" w:cs="Arial" w:eastAsia="Arial" w:hAnsi="Arial"/>
                <w:sz w:val="17"/>
                <w:szCs w:val="17"/>
                <w:b w:val="1"/>
                <w:bCs w:val="1"/>
                <w:color w:val="auto"/>
                <w:w w:val="92"/>
              </w:rPr>
              <w:t>Party B: (Seal)</w:t>
            </w:r>
          </w:p>
        </w:tc>
        <w:tc>
          <w:tcPr>
            <w:tcW w:w="17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 CHENG Xinhui</w:t>
            </w:r>
          </w:p>
        </w:tc>
        <w:tc>
          <w:tcPr>
            <w:tcW w:w="20" w:type="dxa"/>
            <w:vAlign w:val="bottom"/>
            <w:tcBorders>
              <w:bottom w:val="single" w:sz="8" w:color="auto"/>
            </w:tcBorders>
          </w:tcPr>
          <w:p>
            <w:pPr>
              <w:spacing w:after="0"/>
              <w:rPr>
                <w:sz w:val="24"/>
                <w:szCs w:val="24"/>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6" w:right="1440" w:bottom="1440" w:gutter="0" w:footer="0" w:header="0"/>
        </w:sectPr>
      </w:pPr>
    </w:p>
    <w:bookmarkStart w:id="164" w:name="page165"/>
    <w:bookmarkEnd w:id="164"/>
    <w:p>
      <w:pPr>
        <w:jc w:val="right"/>
        <w:ind w:right="1099"/>
        <w:spacing w:after="0"/>
        <w:rPr>
          <w:sz w:val="20"/>
          <w:szCs w:val="20"/>
          <w:color w:val="auto"/>
        </w:rPr>
      </w:pPr>
      <w:r>
        <w:rPr>
          <w:rFonts w:ascii="Arial" w:cs="Arial" w:eastAsia="Arial" w:hAnsi="Arial"/>
          <w:sz w:val="17"/>
          <w:szCs w:val="17"/>
          <w:b w:val="1"/>
          <w:bCs w:val="1"/>
          <w:color w:val="auto"/>
        </w:rPr>
        <w:t>[This page is intentionally left blank as the signature page of the Business Operation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CHENG Xinhui</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CHENG Xinhui</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color w:val="auto"/>
        </w:rPr>
        <w:t>JIANG Tao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JIANG Tao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522" w:right="1440" w:bottom="1440" w:gutter="0" w:footer="0" w:header="0"/>
        </w:sectPr>
      </w:pPr>
    </w:p>
    <w:bookmarkStart w:id="165" w:name="page166"/>
    <w:bookmarkEnd w:id="165"/>
    <w:p>
      <w:pPr>
        <w:jc w:val="center"/>
        <w:ind w:right="40"/>
        <w:spacing w:after="0"/>
        <w:rPr>
          <w:sz w:val="20"/>
          <w:szCs w:val="20"/>
          <w:color w:val="auto"/>
        </w:rPr>
      </w:pPr>
      <w:r>
        <w:rPr>
          <w:rFonts w:ascii="Arial" w:cs="Arial" w:eastAsia="Arial" w:hAnsi="Arial"/>
          <w:sz w:val="20"/>
          <w:szCs w:val="20"/>
          <w:b w:val="1"/>
          <w:bCs w:val="1"/>
          <w:color w:val="auto"/>
        </w:rPr>
        <w:t>Annex I Party B’s Shareholders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8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7"/>
                <w:szCs w:val="17"/>
                <w:color w:val="auto"/>
              </w:rPr>
              <w:t>ID Card No.</w:t>
            </w:r>
          </w:p>
        </w:tc>
        <w:tc>
          <w:tcPr>
            <w:tcW w:w="2840" w:type="dxa"/>
            <w:vAlign w:val="bottom"/>
          </w:tcPr>
          <w:p>
            <w:pPr>
              <w:spacing w:after="0"/>
              <w:rPr>
                <w:sz w:val="20"/>
                <w:szCs w:val="20"/>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CHENG Xinhui</w:t>
            </w:r>
          </w:p>
        </w:tc>
        <w:tc>
          <w:tcPr>
            <w:tcW w:w="218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JIANG Tao</w:t>
            </w:r>
          </w:p>
        </w:tc>
        <w:tc>
          <w:tcPr>
            <w:tcW w:w="218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695"/>
        </w:trPr>
        <w:tc>
          <w:tcPr>
            <w:tcW w:w="2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4" w:right="299" w:bottom="1440" w:gutter="0" w:footer="0" w:header="0"/>
        </w:sectPr>
      </w:pPr>
    </w:p>
    <w:bookmarkStart w:id="166" w:name="page167"/>
    <w:bookmarkEnd w:id="166"/>
    <w:p>
      <w:pPr>
        <w:jc w:val="center"/>
        <w:ind w:right="40"/>
        <w:spacing w:after="0"/>
        <w:rPr>
          <w:sz w:val="20"/>
          <w:szCs w:val="20"/>
          <w:color w:val="auto"/>
        </w:rPr>
      </w:pPr>
      <w:r>
        <w:rPr>
          <w:rFonts w:ascii="Arial" w:cs="Arial" w:eastAsia="Arial" w:hAnsi="Arial"/>
          <w:sz w:val="20"/>
          <w:szCs w:val="20"/>
          <w:b w:val="1"/>
          <w:bCs w:val="1"/>
          <w:color w:val="auto"/>
        </w:rPr>
        <w:t>Annex II Party B’s Shareholding Structure</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8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7"/>
                <w:szCs w:val="17"/>
                <w:color w:val="auto"/>
              </w:rPr>
              <w:t>Amount of Contribution</w:t>
            </w:r>
          </w:p>
        </w:tc>
        <w:tc>
          <w:tcPr>
            <w:tcW w:w="280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06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(CNY10000)</w:t>
            </w:r>
          </w:p>
        </w:tc>
        <w:tc>
          <w:tcPr>
            <w:tcW w:w="28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0" w:type="dxa"/>
            <w:vAlign w:val="bottom"/>
            <w:tcBorders>
              <w:left w:val="single" w:sz="8" w:color="auto"/>
              <w:right w:val="single" w:sz="8" w:color="auto"/>
            </w:tcBorders>
          </w:tcPr>
          <w:p>
            <w:pPr>
              <w:spacing w:after="0"/>
              <w:rPr>
                <w:sz w:val="8"/>
                <w:szCs w:val="8"/>
                <w:color w:val="auto"/>
              </w:rPr>
            </w:pPr>
          </w:p>
        </w:tc>
        <w:tc>
          <w:tcPr>
            <w:tcW w:w="506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5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CHENG Xinhui</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190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5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JIANG Tao</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Total</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6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4" w:right="29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0"/>
          <w:szCs w:val="20"/>
          <w:b w:val="1"/>
          <w:bCs w:val="1"/>
          <w:color w:val="auto"/>
        </w:rPr>
        <w:t>Annex III Power of Attorney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Beijing Feibian Education Technology Co., Ltd. (“</w:t>
      </w:r>
      <w:r>
        <w:rPr>
          <w:rFonts w:ascii="Arial" w:cs="Arial" w:eastAsia="Arial" w:hAnsi="Arial"/>
          <w:sz w:val="17"/>
          <w:szCs w:val="17"/>
          <w:b w:val="1"/>
          <w:bCs w:val="1"/>
          <w:color w:val="auto"/>
        </w:rPr>
        <w:t>Beijing Feibian</w:t>
      </w:r>
      <w:r>
        <w:rPr>
          <w:rFonts w:ascii="Arial" w:cs="Arial" w:eastAsia="Arial" w:hAnsi="Arial"/>
          <w:sz w:val="17"/>
          <w:szCs w:val="17"/>
          <w:color w:val="auto"/>
        </w:rPr>
        <w:t>”) of any specific obligations required by them as the shareholders of Tianjin Shangde,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CHENG Xinhui, JIANG Tao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Authorizers hereby irrevocably authorize to the maximum scope permitted by law Tianjin Studyvip Education Co., Limited ("</w:t>
      </w:r>
      <w:r>
        <w:rPr>
          <w:rFonts w:ascii="Arial" w:cs="Arial" w:eastAsia="Arial" w:hAnsi="Arial"/>
          <w:sz w:val="16"/>
          <w:szCs w:val="16"/>
          <w:b w:val="1"/>
          <w:bCs w:val="1"/>
          <w:color w:val="auto"/>
        </w:rPr>
        <w:t>WFOE</w:t>
      </w:r>
      <w:r>
        <w:rPr>
          <w:rFonts w:ascii="Arial" w:cs="Arial" w:eastAsia="Arial" w:hAnsi="Arial"/>
          <w:sz w:val="16"/>
          <w:szCs w:val="16"/>
          <w:color w:val="auto"/>
        </w:rPr>
        <w:t>") or its designated person or authorized representative (“</w:t>
      </w:r>
      <w:r>
        <w:rPr>
          <w:rFonts w:ascii="Arial" w:cs="Arial" w:eastAsia="Arial" w:hAnsi="Arial"/>
          <w:sz w:val="16"/>
          <w:szCs w:val="16"/>
          <w:b w:val="1"/>
          <w:bCs w:val="1"/>
          <w:color w:val="auto"/>
        </w:rPr>
        <w:t>Authorized Person</w:t>
      </w:r>
      <w:r>
        <w:rPr>
          <w:rFonts w:ascii="Arial" w:cs="Arial" w:eastAsia="Arial" w:hAnsi="Arial"/>
          <w:sz w:val="16"/>
          <w:szCs w:val="16"/>
          <w:color w:val="auto"/>
        </w:rPr>
        <w:t>”) to exercise all their shareholder rights corresponding to all voting shares (“</w:t>
      </w:r>
      <w:r>
        <w:rPr>
          <w:rFonts w:ascii="Arial" w:cs="Arial" w:eastAsia="Arial" w:hAnsi="Arial"/>
          <w:sz w:val="16"/>
          <w:szCs w:val="16"/>
          <w:b w:val="1"/>
          <w:bCs w:val="1"/>
          <w:color w:val="auto"/>
        </w:rPr>
        <w:t>Shares</w:t>
      </w:r>
      <w:r>
        <w:rPr>
          <w:rFonts w:ascii="Arial" w:cs="Arial" w:eastAsia="Arial" w:hAnsi="Arial"/>
          <w:sz w:val="16"/>
          <w:szCs w:val="16"/>
          <w:color w:val="auto"/>
        </w:rPr>
        <w:t>”) held by them in Beijing Feibian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 (3) 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Beijing Feibian at the meeting of shareholders of Beijing Feibian.</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the WFOE.</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Unless the Business Operation Agreement signed by Beijing Feibian,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the [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68" w:name="page169"/>
    <w:bookmarkEnd w:id="168"/>
    <w:p>
      <w:pPr>
        <w:jc w:val="right"/>
        <w:ind w:right="2479"/>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CHENG Xinhui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Signature: /s/ CHENG Xinhui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-20955</wp:posOffset>
            </wp:positionV>
            <wp:extent cx="112458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112458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JIANG Tao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Signature: /s/ JIANG Tao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84390" cy="4127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-20955</wp:posOffset>
            </wp:positionV>
            <wp:extent cx="111379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1113790" cy="7620"/>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169" w:name="page170"/>
    <w:bookmarkEnd w:id="169"/>
    <w:p>
      <w:pPr>
        <w:jc w:val="right"/>
        <w:ind w:right="2479"/>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Signature: /s/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-12700</wp:posOffset>
            </wp:positionV>
            <wp:extent cx="116395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LIU Tongbo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Position: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20"/>
          <w:szCs w:val="20"/>
          <w:b w:val="1"/>
          <w:bCs w:val="1"/>
          <w:color w:val="auto"/>
        </w:rPr>
        <w:t>Annex IV Letter of Acceptance of Rights and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company, </w:t>
      </w:r>
      <w:r>
        <w:rPr>
          <w:rFonts w:ascii="Arial" w:cs="Arial" w:eastAsia="Arial" w:hAnsi="Arial"/>
          <w:sz w:val="15"/>
          <w:szCs w:val="15"/>
          <w:b w:val="1"/>
          <w:bCs w:val="1"/>
          <w:color w:val="auto"/>
        </w:rPr>
        <w:t>______, is a subsidiary of (hereinafter referred to as “______ ”) incorporated with on the____ day of_______ , and Beijing Feibian holds _____%</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 the shares/equity of _____% of the shares/equity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accordance with the Exclusive Technical Consultation and Service Agreement (hereinafter referred to as “Agreement”) entered into by ______ Co., Limited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 other parties on the ______ day of______ , our company as a newly added “Party B’s Subsidiary” under the Agreement shall join the Agreement pursuant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Section 3.3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314"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b w:val="1"/>
          <w:bCs w:val="1"/>
          <w:color w:val="auto"/>
        </w:rPr>
        <w:t>Exhibit 4.20</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Equity Interest Pledge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This Equity Interest Pledge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21st day of February, 2021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 (hereinafter referred to as the “</w:t>
      </w:r>
      <w:r>
        <w:rPr>
          <w:rFonts w:ascii="Arial" w:cs="Arial" w:eastAsia="Arial" w:hAnsi="Arial"/>
          <w:sz w:val="17"/>
          <w:szCs w:val="17"/>
          <w:b w:val="1"/>
          <w:bCs w:val="1"/>
          <w:color w:val="auto"/>
        </w:rPr>
        <w:t>Pledgors</w:t>
      </w:r>
      <w:r>
        <w:rPr>
          <w:rFonts w:ascii="Arial" w:cs="Arial" w:eastAsia="Arial" w:hAnsi="Arial"/>
          <w:sz w:val="17"/>
          <w:szCs w:val="17"/>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Beijing Feibian Education Technology Co., Ltd.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Registered Address: 1063 Huihe South Street, M1161, 1</w:t>
      </w:r>
      <w:r>
        <w:rPr>
          <w:rFonts w:ascii="Arial" w:cs="Arial" w:eastAsia="Arial" w:hAnsi="Arial"/>
          <w:sz w:val="13"/>
          <w:szCs w:val="13"/>
          <w:color w:val="auto"/>
        </w:rPr>
        <w:t>st</w:t>
      </w:r>
      <w:r>
        <w:rPr>
          <w:rFonts w:ascii="Arial" w:cs="Arial" w:eastAsia="Arial" w:hAnsi="Arial"/>
          <w:sz w:val="16"/>
          <w:szCs w:val="16"/>
          <w:color w:val="auto"/>
        </w:rPr>
        <w:t xml:space="preserve"> Floor, Building No, 1, Banbidian Villiage, Gaobeidian County, Chaoyang District, Beijing, China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CHENG Xinhui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0" w:lineRule="exact"/>
        <w:rPr>
          <w:sz w:val="20"/>
          <w:szCs w:val="20"/>
          <w:color w:val="auto"/>
        </w:rPr>
      </w:pPr>
    </w:p>
    <w:p>
      <w:pPr>
        <w:spacing w:after="0" w:line="206" w:lineRule="exact"/>
        <w:rPr>
          <w:sz w:val="20"/>
          <w:szCs w:val="20"/>
          <w:color w:val="auto"/>
        </w:rPr>
      </w:pPr>
    </w:p>
    <w:p>
      <w:pPr>
        <w:ind w:left="540" w:hanging="491"/>
        <w:spacing w:after="0"/>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Party C is a limited liability company legally incorporated and existing under the law of the PRC.</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Pledgors as a whole holds one hundred (100) percent of the equity of Party C, with the shareholding structure be listed in Annex II hereto.</w:t>
      </w:r>
    </w:p>
    <w:p>
      <w:pPr>
        <w:spacing w:after="0" w:line="203" w:lineRule="exact"/>
        <w:rPr>
          <w:rFonts w:ascii="Arial" w:cs="Arial" w:eastAsia="Arial" w:hAnsi="Arial"/>
          <w:sz w:val="17"/>
          <w:szCs w:val="17"/>
          <w:color w:val="auto"/>
        </w:rPr>
      </w:pPr>
    </w:p>
    <w:p>
      <w:pPr>
        <w:ind w:left="540" w:hanging="491"/>
        <w:spacing w:after="0" w:line="264" w:lineRule="auto"/>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Exclusive Technical Consultation and Service Agreement, the Business Operation Agreement and the Option Agreement were made as of 21st day of February, 2021 by and among the Pledgee, the Pledgors and Party C.</w:t>
      </w:r>
    </w:p>
    <w:p>
      <w:pPr>
        <w:spacing w:after="0" w:line="167" w:lineRule="exact"/>
        <w:rPr>
          <w:rFonts w:ascii="Arial" w:cs="Arial" w:eastAsia="Arial" w:hAnsi="Arial"/>
          <w:sz w:val="17"/>
          <w:szCs w:val="17"/>
          <w:color w:val="auto"/>
        </w:rPr>
      </w:pPr>
    </w:p>
    <w:p>
      <w:pPr>
        <w:jc w:val="both"/>
        <w:ind w:left="540" w:hanging="491"/>
        <w:spacing w:after="0" w:line="254" w:lineRule="auto"/>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For the purpose of guaranteeing the collection by the Pledgee from Party C the service costs under the Exclusive Technical Consultation and Service Agreement and guaranteeing the performance of Individual Agreements (defined below), the Pledgors jointly and severally use all of the equity they hold in Party C as the pledge security for such Agreement, and the Pledgee shall be Party A.</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7"/>
          <w:szCs w:val="17"/>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4" w:lineRule="exact"/>
        <w:rPr>
          <w:sz w:val="20"/>
          <w:szCs w:val="20"/>
          <w:color w:val="auto"/>
        </w:rPr>
      </w:pPr>
    </w:p>
    <w:p>
      <w:pPr>
        <w:ind w:left="900" w:hanging="851"/>
        <w:spacing w:after="0"/>
        <w:tabs>
          <w:tab w:leader="none" w:pos="90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The following terms shall be interpreted as defined below unless otherwise provided herein:</w:t>
      </w:r>
    </w:p>
    <w:p>
      <w:pPr>
        <w:spacing w:after="0" w:line="199"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540" w:type="dxa"/>
            <w:vAlign w:val="bottom"/>
          </w:tcPr>
          <w:p>
            <w:pPr>
              <w:jc w:val="right"/>
              <w:ind w:right="237"/>
              <w:spacing w:after="0"/>
              <w:rPr>
                <w:sz w:val="20"/>
                <w:szCs w:val="20"/>
                <w:color w:val="auto"/>
              </w:rPr>
            </w:pPr>
            <w:r>
              <w:rPr>
                <w:rFonts w:ascii="Arial" w:cs="Arial" w:eastAsia="Arial" w:hAnsi="Arial"/>
                <w:sz w:val="17"/>
                <w:szCs w:val="17"/>
                <w:color w:val="auto"/>
                <w:w w:val="84"/>
              </w:rPr>
              <w:t>1.1</w:t>
            </w:r>
          </w:p>
        </w:tc>
        <w:tc>
          <w:tcPr>
            <w:tcW w:w="9820" w:type="dxa"/>
            <w:vAlign w:val="bottom"/>
          </w:tcPr>
          <w:p>
            <w:pPr>
              <w:ind w:left="320"/>
              <w:spacing w:after="0"/>
              <w:rPr>
                <w:sz w:val="20"/>
                <w:szCs w:val="20"/>
                <w:color w:val="auto"/>
              </w:rPr>
            </w:pPr>
            <w:r>
              <w:rPr>
                <w:rFonts w:ascii="Arial" w:cs="Arial" w:eastAsia="Arial" w:hAnsi="Arial"/>
                <w:sz w:val="17"/>
                <w:szCs w:val="17"/>
                <w:b w:val="1"/>
                <w:bCs w:val="1"/>
                <w:color w:val="auto"/>
              </w:rPr>
              <w:t xml:space="preserve">Pledge Right </w:t>
            </w:r>
            <w:r>
              <w:rPr>
                <w:rFonts w:ascii="Arial" w:cs="Arial" w:eastAsia="Arial" w:hAnsi="Arial"/>
                <w:sz w:val="17"/>
                <w:szCs w:val="17"/>
                <w:color w:val="auto"/>
              </w:rPr>
              <w:t>shall refer to all the contents as described in Section 2 below.</w:t>
            </w:r>
          </w:p>
        </w:tc>
      </w:tr>
      <w:tr>
        <w:trPr>
          <w:trHeight w:val="386"/>
        </w:trPr>
        <w:tc>
          <w:tcPr>
            <w:tcW w:w="540" w:type="dxa"/>
            <w:vAlign w:val="bottom"/>
          </w:tcPr>
          <w:p>
            <w:pPr>
              <w:jc w:val="right"/>
              <w:ind w:right="237"/>
              <w:spacing w:after="0"/>
              <w:rPr>
                <w:sz w:val="20"/>
                <w:szCs w:val="20"/>
                <w:color w:val="auto"/>
              </w:rPr>
            </w:pPr>
            <w:r>
              <w:rPr>
                <w:rFonts w:ascii="Arial" w:cs="Arial" w:eastAsia="Arial" w:hAnsi="Arial"/>
                <w:sz w:val="17"/>
                <w:szCs w:val="17"/>
                <w:color w:val="auto"/>
                <w:w w:val="84"/>
              </w:rPr>
              <w:t>1.2</w:t>
            </w:r>
          </w:p>
        </w:tc>
        <w:tc>
          <w:tcPr>
            <w:tcW w:w="9820" w:type="dxa"/>
            <w:vAlign w:val="bottom"/>
          </w:tcPr>
          <w:p>
            <w:pPr>
              <w:ind w:left="320"/>
              <w:spacing w:after="0"/>
              <w:rPr>
                <w:sz w:val="20"/>
                <w:szCs w:val="20"/>
                <w:color w:val="auto"/>
              </w:rPr>
            </w:pPr>
            <w:r>
              <w:rPr>
                <w:rFonts w:ascii="Arial" w:cs="Arial" w:eastAsia="Arial" w:hAnsi="Arial"/>
                <w:sz w:val="17"/>
                <w:szCs w:val="17"/>
                <w:b w:val="1"/>
                <w:bCs w:val="1"/>
                <w:color w:val="auto"/>
                <w:w w:val="88"/>
              </w:rPr>
              <w:t xml:space="preserve">Equity </w:t>
            </w:r>
            <w:r>
              <w:rPr>
                <w:rFonts w:ascii="Arial" w:cs="Arial" w:eastAsia="Arial" w:hAnsi="Arial"/>
                <w:sz w:val="17"/>
                <w:szCs w:val="17"/>
                <w:color w:val="auto"/>
                <w:w w:val="88"/>
              </w:rPr>
              <w:t>shall refer to the one hundred (100) percent of the equity legally held by the Pledgors as a whole and any and all the current and future</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rights and benefits arising out of the foregoing.</w:t>
            </w:r>
          </w:p>
        </w:tc>
      </w:tr>
      <w:tr>
        <w:trPr>
          <w:trHeight w:val="386"/>
        </w:trPr>
        <w:tc>
          <w:tcPr>
            <w:tcW w:w="540" w:type="dxa"/>
            <w:vAlign w:val="bottom"/>
          </w:tcPr>
          <w:p>
            <w:pPr>
              <w:jc w:val="right"/>
              <w:ind w:right="237"/>
              <w:spacing w:after="0"/>
              <w:rPr>
                <w:sz w:val="20"/>
                <w:szCs w:val="20"/>
                <w:color w:val="auto"/>
              </w:rPr>
            </w:pPr>
            <w:r>
              <w:rPr>
                <w:rFonts w:ascii="Arial" w:cs="Arial" w:eastAsia="Arial" w:hAnsi="Arial"/>
                <w:sz w:val="17"/>
                <w:szCs w:val="17"/>
                <w:color w:val="auto"/>
                <w:w w:val="84"/>
              </w:rPr>
              <w:t>1.3</w:t>
            </w:r>
          </w:p>
        </w:tc>
        <w:tc>
          <w:tcPr>
            <w:tcW w:w="9820" w:type="dxa"/>
            <w:vAlign w:val="bottom"/>
          </w:tcPr>
          <w:p>
            <w:pPr>
              <w:ind w:left="320"/>
              <w:spacing w:after="0"/>
              <w:rPr>
                <w:sz w:val="20"/>
                <w:szCs w:val="20"/>
                <w:color w:val="auto"/>
              </w:rPr>
            </w:pPr>
            <w:r>
              <w:rPr>
                <w:rFonts w:ascii="Arial" w:cs="Arial" w:eastAsia="Arial" w:hAnsi="Arial"/>
                <w:sz w:val="17"/>
                <w:szCs w:val="17"/>
                <w:b w:val="1"/>
                <w:bCs w:val="1"/>
                <w:color w:val="auto"/>
                <w:w w:val="90"/>
              </w:rPr>
              <w:t xml:space="preserve">Individual Agreements </w:t>
            </w:r>
            <w:r>
              <w:rPr>
                <w:rFonts w:ascii="Arial" w:cs="Arial" w:eastAsia="Arial" w:hAnsi="Arial"/>
                <w:sz w:val="17"/>
                <w:szCs w:val="17"/>
                <w:color w:val="auto"/>
                <w:w w:val="90"/>
              </w:rPr>
              <w:t>shall refer to the Exclusive Technical Consultation and Service Agreement, the Business Operation Agreement and</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the Option Agreement made as of the 21st day of February, 2021 by and among the Pledgee, Party C and other parties.</w:t>
            </w:r>
          </w:p>
        </w:tc>
      </w:tr>
      <w:tr>
        <w:trPr>
          <w:trHeight w:val="399"/>
        </w:trPr>
        <w:tc>
          <w:tcPr>
            <w:tcW w:w="540" w:type="dxa"/>
            <w:vAlign w:val="bottom"/>
          </w:tcPr>
          <w:p>
            <w:pPr>
              <w:jc w:val="right"/>
              <w:ind w:right="237"/>
              <w:spacing w:after="0"/>
              <w:rPr>
                <w:sz w:val="20"/>
                <w:szCs w:val="20"/>
                <w:color w:val="auto"/>
              </w:rPr>
            </w:pPr>
            <w:r>
              <w:rPr>
                <w:rFonts w:ascii="Arial" w:cs="Arial" w:eastAsia="Arial" w:hAnsi="Arial"/>
                <w:sz w:val="17"/>
                <w:szCs w:val="17"/>
                <w:color w:val="auto"/>
                <w:w w:val="84"/>
              </w:rPr>
              <w:t>1.4</w:t>
            </w:r>
          </w:p>
        </w:tc>
        <w:tc>
          <w:tcPr>
            <w:tcW w:w="9820" w:type="dxa"/>
            <w:vAlign w:val="bottom"/>
          </w:tcPr>
          <w:p>
            <w:pPr>
              <w:ind w:left="320"/>
              <w:spacing w:after="0"/>
              <w:rPr>
                <w:sz w:val="20"/>
                <w:szCs w:val="20"/>
                <w:color w:val="auto"/>
              </w:rPr>
            </w:pPr>
            <w:r>
              <w:rPr>
                <w:rFonts w:ascii="Arial" w:cs="Arial" w:eastAsia="Arial" w:hAnsi="Arial"/>
                <w:sz w:val="17"/>
                <w:szCs w:val="17"/>
                <w:b w:val="1"/>
                <w:bCs w:val="1"/>
                <w:color w:val="auto"/>
              </w:rPr>
              <w:t xml:space="preserve">A Default Event </w:t>
            </w:r>
            <w:r>
              <w:rPr>
                <w:rFonts w:ascii="Arial" w:cs="Arial" w:eastAsia="Arial" w:hAnsi="Arial"/>
                <w:sz w:val="17"/>
                <w:szCs w:val="17"/>
                <w:color w:val="auto"/>
              </w:rPr>
              <w:t>shall refer to any of the circumstances described in Section 7 below.</w:t>
            </w:r>
          </w:p>
        </w:tc>
      </w:tr>
      <w:tr>
        <w:trPr>
          <w:trHeight w:val="399"/>
        </w:trPr>
        <w:tc>
          <w:tcPr>
            <w:tcW w:w="540" w:type="dxa"/>
            <w:vAlign w:val="bottom"/>
          </w:tcPr>
          <w:p>
            <w:pPr>
              <w:jc w:val="right"/>
              <w:ind w:right="237"/>
              <w:spacing w:after="0"/>
              <w:rPr>
                <w:sz w:val="20"/>
                <w:szCs w:val="20"/>
                <w:color w:val="auto"/>
              </w:rPr>
            </w:pPr>
            <w:r>
              <w:rPr>
                <w:rFonts w:ascii="Arial" w:cs="Arial" w:eastAsia="Arial" w:hAnsi="Arial"/>
                <w:sz w:val="17"/>
                <w:szCs w:val="17"/>
                <w:color w:val="auto"/>
                <w:w w:val="84"/>
              </w:rPr>
              <w:t>1.5</w:t>
            </w:r>
          </w:p>
        </w:tc>
        <w:tc>
          <w:tcPr>
            <w:tcW w:w="9820" w:type="dxa"/>
            <w:vAlign w:val="bottom"/>
          </w:tcPr>
          <w:p>
            <w:pPr>
              <w:ind w:left="320"/>
              <w:spacing w:after="0"/>
              <w:rPr>
                <w:sz w:val="20"/>
                <w:szCs w:val="20"/>
                <w:color w:val="auto"/>
              </w:rPr>
            </w:pPr>
            <w:r>
              <w:rPr>
                <w:rFonts w:ascii="Arial" w:cs="Arial" w:eastAsia="Arial" w:hAnsi="Arial"/>
                <w:sz w:val="17"/>
                <w:szCs w:val="17"/>
                <w:b w:val="1"/>
                <w:bCs w:val="1"/>
                <w:color w:val="auto"/>
              </w:rPr>
              <w:t xml:space="preserve">Default Notice </w:t>
            </w:r>
            <w:r>
              <w:rPr>
                <w:rFonts w:ascii="Arial" w:cs="Arial" w:eastAsia="Arial" w:hAnsi="Arial"/>
                <w:sz w:val="17"/>
                <w:szCs w:val="17"/>
                <w:color w:val="auto"/>
              </w:rPr>
              <w:t>shall refer to a notice declaring a Default Event which is issued by a Pledgor pursuant to this Agreement.</w:t>
            </w:r>
          </w:p>
        </w:tc>
      </w:tr>
    </w:tbl>
    <w:p>
      <w:pPr>
        <w:spacing w:after="0" w:line="183" w:lineRule="exact"/>
        <w:rPr>
          <w:sz w:val="20"/>
          <w:szCs w:val="20"/>
          <w:color w:val="auto"/>
        </w:rPr>
      </w:pPr>
    </w:p>
    <w:p>
      <w:pPr>
        <w:ind w:left="900" w:hanging="851"/>
        <w:spacing w:after="0"/>
        <w:tabs>
          <w:tab w:leader="none" w:pos="90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Pledge</w:t>
      </w: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199"/>
        </w:trPr>
        <w:tc>
          <w:tcPr>
            <w:tcW w:w="540" w:type="dxa"/>
            <w:vAlign w:val="bottom"/>
          </w:tcPr>
          <w:p>
            <w:pPr>
              <w:jc w:val="right"/>
              <w:ind w:right="237"/>
              <w:spacing w:after="0"/>
              <w:rPr>
                <w:sz w:val="20"/>
                <w:szCs w:val="20"/>
                <w:color w:val="auto"/>
              </w:rPr>
            </w:pPr>
            <w:r>
              <w:rPr>
                <w:rFonts w:ascii="Arial" w:cs="Arial" w:eastAsia="Arial" w:hAnsi="Arial"/>
                <w:sz w:val="17"/>
                <w:szCs w:val="17"/>
                <w:color w:val="auto"/>
                <w:w w:val="84"/>
              </w:rPr>
              <w:t>2.1</w:t>
            </w: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The Pledgors pledge to the Pledgee as the security of the Pledgee’s rights and benefits under the Individual Agreements all the Equity owned</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by the Pledgors and the dividends which arise from the Equity during the effective term of this Agreement.</w:t>
            </w:r>
          </w:p>
        </w:tc>
      </w:tr>
      <w:tr>
        <w:trPr>
          <w:trHeight w:val="386"/>
        </w:trPr>
        <w:tc>
          <w:tcPr>
            <w:tcW w:w="540" w:type="dxa"/>
            <w:vAlign w:val="bottom"/>
          </w:tcPr>
          <w:p>
            <w:pPr>
              <w:jc w:val="right"/>
              <w:ind w:right="237"/>
              <w:spacing w:after="0"/>
              <w:rPr>
                <w:sz w:val="20"/>
                <w:szCs w:val="20"/>
                <w:color w:val="auto"/>
              </w:rPr>
            </w:pPr>
            <w:r>
              <w:rPr>
                <w:rFonts w:ascii="Arial" w:cs="Arial" w:eastAsia="Arial" w:hAnsi="Arial"/>
                <w:sz w:val="17"/>
                <w:szCs w:val="17"/>
                <w:color w:val="auto"/>
                <w:w w:val="84"/>
              </w:rPr>
              <w:t>2.2</w:t>
            </w: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The scope guaranteed by the pledge of the Equity hereunder shall be all fees, costs and expenses (including legal costs) payable by Party C</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and/or the Pledgors, and the losses, interest, liquidated damages, compensation, the costs for realizing the claims, and the liability that Party C</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0"/>
              </w:rPr>
              <w:t>and/or the Pledgors shall bear in case of entire or partial invalidation of any of Individual Agreements for any reason. In case the competent</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2"/>
              </w:rPr>
              <w:t>industrial and commercial administration expressly requires a definite amount of the guaranteed claims during the handling of the Equity</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7"/>
              </w:rPr>
              <w:t>pledge registration process, the parties hereto agree, for the sole purpose of handling the Equity pledge registration, to register as the amount of</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4"/>
              </w:rPr>
              <w:t>the claims under the Individual Agreements CNY 5,000,000 and any and all breach-of-contract liability and damages under the related</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0"/>
              </w:rPr>
              <w:t>agreements. The parties further acknowledge that for the purpose of handling the Equity pledge registration, the foregoing amount shall not</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diminish or limit any rights or interest that Party A has under the Individual Agreements and this Equity Pledge Agreement.</w:t>
            </w:r>
          </w:p>
        </w:tc>
      </w:tr>
      <w:tr>
        <w:trPr>
          <w:trHeight w:val="386"/>
        </w:trPr>
        <w:tc>
          <w:tcPr>
            <w:tcW w:w="540" w:type="dxa"/>
            <w:vAlign w:val="bottom"/>
          </w:tcPr>
          <w:p>
            <w:pPr>
              <w:jc w:val="right"/>
              <w:ind w:right="237"/>
              <w:spacing w:after="0"/>
              <w:rPr>
                <w:sz w:val="20"/>
                <w:szCs w:val="20"/>
                <w:color w:val="auto"/>
              </w:rPr>
            </w:pPr>
            <w:r>
              <w:rPr>
                <w:rFonts w:ascii="Arial" w:cs="Arial" w:eastAsia="Arial" w:hAnsi="Arial"/>
                <w:sz w:val="17"/>
                <w:szCs w:val="17"/>
                <w:color w:val="auto"/>
                <w:w w:val="84"/>
              </w:rPr>
              <w:t>2.3</w:t>
            </w:r>
          </w:p>
        </w:tc>
        <w:tc>
          <w:tcPr>
            <w:tcW w:w="9820" w:type="dxa"/>
            <w:vAlign w:val="bottom"/>
          </w:tcPr>
          <w:p>
            <w:pPr>
              <w:ind w:left="320"/>
              <w:spacing w:after="0"/>
              <w:rPr>
                <w:sz w:val="20"/>
                <w:szCs w:val="20"/>
                <w:color w:val="auto"/>
              </w:rPr>
            </w:pPr>
            <w:r>
              <w:rPr>
                <w:rFonts w:ascii="Arial" w:cs="Arial" w:eastAsia="Arial" w:hAnsi="Arial"/>
                <w:sz w:val="17"/>
                <w:szCs w:val="17"/>
                <w:color w:val="auto"/>
                <w:w w:val="91"/>
              </w:rPr>
              <w:t>The Pledge Rights hereunder shall refer to the rights for the Pledgee to be paid from in priority the money gained from the conversion into</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money, auction or sale of the Equity pledged by the Pledgors to the Pledgee.</w:t>
            </w:r>
          </w:p>
        </w:tc>
      </w:tr>
      <w:tr>
        <w:trPr>
          <w:trHeight w:val="386"/>
        </w:trPr>
        <w:tc>
          <w:tcPr>
            <w:tcW w:w="540" w:type="dxa"/>
            <w:vAlign w:val="bottom"/>
          </w:tcPr>
          <w:p>
            <w:pPr>
              <w:jc w:val="right"/>
              <w:ind w:right="237"/>
              <w:spacing w:after="0"/>
              <w:rPr>
                <w:sz w:val="20"/>
                <w:szCs w:val="20"/>
                <w:color w:val="auto"/>
              </w:rPr>
            </w:pPr>
            <w:r>
              <w:rPr>
                <w:rFonts w:ascii="Arial" w:cs="Arial" w:eastAsia="Arial" w:hAnsi="Arial"/>
                <w:sz w:val="17"/>
                <w:szCs w:val="17"/>
                <w:color w:val="auto"/>
                <w:w w:val="84"/>
              </w:rPr>
              <w:t>2.4</w:t>
            </w: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After this Agreement takes effect, unless expressly agreed by the Pledgee in writing, the pledge hereunder may be relieved only after Party C</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0"/>
              </w:rPr>
              <w:t>and the Pledgors have properly and fully performed all of their obligations under the Individual Agreements and the performance thereof has</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4"/>
              </w:rPr>
              <w:t>been recognized by the Pledgee in writing. In case Party C or any of the Pledgors fails to fully perform any of its obligations under the</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Individual Agreements upon expiration of the period described thereunder, the Pledgors shall still has the Pledge Rights herein; and the pledge</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will be relieved until the foregoing obligations and liability have been fully performed to the Pledgee’s satisfaction.</w:t>
            </w:r>
          </w:p>
        </w:tc>
      </w:tr>
    </w:tbl>
    <w:p>
      <w:pPr>
        <w:spacing w:after="0" w:line="183" w:lineRule="exact"/>
        <w:rPr>
          <w:sz w:val="20"/>
          <w:szCs w:val="20"/>
          <w:color w:val="auto"/>
        </w:rPr>
      </w:pPr>
    </w:p>
    <w:p>
      <w:pPr>
        <w:ind w:left="900" w:hanging="851"/>
        <w:spacing w:after="0"/>
        <w:tabs>
          <w:tab w:leader="none" w:pos="90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3.1</w:t>
            </w:r>
          </w:p>
        </w:tc>
        <w:tc>
          <w:tcPr>
            <w:tcW w:w="9880" w:type="dxa"/>
            <w:vAlign w:val="bottom"/>
          </w:tcPr>
          <w:p>
            <w:pPr>
              <w:ind w:left="340"/>
              <w:spacing w:after="0"/>
              <w:rPr>
                <w:sz w:val="20"/>
                <w:szCs w:val="20"/>
                <w:color w:val="auto"/>
              </w:rPr>
            </w:pPr>
            <w:r>
              <w:rPr>
                <w:rFonts w:ascii="Arial" w:cs="Arial" w:eastAsia="Arial" w:hAnsi="Arial"/>
                <w:sz w:val="17"/>
                <w:szCs w:val="17"/>
                <w:color w:val="auto"/>
                <w:w w:val="87"/>
              </w:rPr>
              <w:t>This Agreement shall be formed and take effect as of the date of being signed and/or sealed by the parties hereto. The Pledge Rights hereunder</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0"/>
              </w:rPr>
              <w:t>shall be set up and take effect as of the date when the registration formalities regarding the Equity pledge have been completed at Party C’s</w:t>
            </w:r>
          </w:p>
        </w:tc>
      </w:tr>
      <w:tr>
        <w:trPr>
          <w:trHeight w:val="212"/>
        </w:trPr>
        <w:tc>
          <w:tcPr>
            <w:tcW w:w="14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competent industrial and commercial administration.</w:t>
            </w:r>
          </w:p>
        </w:tc>
      </w:tr>
      <w:tr>
        <w:trPr>
          <w:trHeight w:val="598"/>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173" w:name="page174"/>
    <w:bookmarkEnd w:id="173"/>
    <w:tbl>
      <w:tblPr>
        <w:tblLayout w:type="fixed"/>
        <w:tblInd w:w="88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During the effective term of this Agreement, in case Party C fails to pay the service costs subject to the Exclusive Technical Consultation and</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Service Agreement or perform any other obligations thereunder, the Pledgee shall have the right to exercise the Pledge Rights hereunder after</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issuing a reasonable notice.</w:t>
            </w:r>
          </w:p>
        </w:tc>
      </w:tr>
    </w:tbl>
    <w:p>
      <w:pPr>
        <w:spacing w:after="0" w:line="183" w:lineRule="exact"/>
        <w:rPr>
          <w:sz w:val="20"/>
          <w:szCs w:val="20"/>
          <w:color w:val="auto"/>
        </w:rPr>
      </w:pPr>
    </w:p>
    <w:p>
      <w:pPr>
        <w:ind w:left="900" w:hanging="851"/>
        <w:spacing w:after="0"/>
        <w:tabs>
          <w:tab w:leader="none" w:pos="90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and Custody of the Pledge Rights Receipts; Registration of Pledge Rights</w:t>
      </w: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4.1</w:t>
            </w: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The Pledgors shall, within Ten (10) business days after the execution of this Agreement or any other date mutually negotiated and fixed by the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4"/>
              </w:rPr>
              <w:t>Parties hereto, deliver to the Pledgee the Equity Contribution Certificate (Original) for the pledge’s custody, submit to the Pledgee the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certification that the pledge hereunder has been properly registered in Party C’s Shareholders’ Register, and handle any and all examinations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and approvals and registration and filing formalities (including but not limited to, handling the Equity pledge registration formalities at Party</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6"/>
              </w:rPr>
              <w:t>C’s competent industrial and commercial administration subject to the laws of China) required by the laws and regulations of China.</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4.2</w:t>
            </w: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In case of any change of particulars and the registration needs to be legally changed accordingly, the Pledgee and the Pledgors shall, within</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Five (5) business days as of the date of change of particulars, carry out the change of registration accordingly, submit the applicable change of</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7"/>
              </w:rPr>
              <w:t>registration documents and handle the applicable change registration formalities at Party C’s competent industrial and commercial</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administration.</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4.3</w:t>
            </w: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During the Equity pledge period, the Pledgors shall instruct Party C not to distribute any dividend or bonus or approve any profit distribution</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program; or in case the Pledgors shall obtain any economic interest of any nature from the pledged Equity other than dividend or bonus or any</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other profit distribution program, the Pledgors shall remit, as required and instructed by the Pledgee, to the banking account specified by the</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Pledgee the applicable (realized) amount, which shall not be used by the Pledgors without the Pledgee’s prior written consent.</w:t>
            </w:r>
          </w:p>
        </w:tc>
      </w:tr>
      <w:tr>
        <w:trPr>
          <w:trHeight w:val="382"/>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4.4</w:t>
            </w: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During the Equity pledge period, in case the any of the Pledgors subscribe for or purchase any of Party C’s new registered capital or any of</w:t>
            </w:r>
          </w:p>
        </w:tc>
      </w:tr>
      <w:tr>
        <w:trPr>
          <w:trHeight w:val="203"/>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5"/>
              </w:rPr>
              <w:t>Party C’s Equity held by any other Pledgor (the “</w:t>
            </w:r>
            <w:r>
              <w:rPr>
                <w:rFonts w:ascii="Arial" w:cs="Arial" w:eastAsia="Arial" w:hAnsi="Arial"/>
                <w:sz w:val="17"/>
                <w:szCs w:val="17"/>
                <w:b w:val="1"/>
                <w:bCs w:val="1"/>
                <w:color w:val="auto"/>
                <w:w w:val="95"/>
              </w:rPr>
              <w:t>New Equity</w:t>
            </w:r>
            <w:r>
              <w:rPr>
                <w:rFonts w:ascii="Arial" w:cs="Arial" w:eastAsia="Arial" w:hAnsi="Arial"/>
                <w:sz w:val="17"/>
                <w:szCs w:val="17"/>
                <w:color w:val="auto"/>
                <w:w w:val="95"/>
              </w:rPr>
              <w:t>”), the New Equity will then automatically form part of the pledged Equity</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hereunder, and such Pledgor shall complete any and all formalities regarding the pledge of the New Equity within Ten (10) business days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4"/>
              </w:rPr>
              <w:t>following its acquisition of the New Equity. In case the Pledgor fails to complete the applicable formalities as required in the preceding</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sentence, the Pledgee may promptly have the Pledge Rights realized pursuant to Section 8 below.</w:t>
            </w:r>
          </w:p>
        </w:tc>
      </w:tr>
    </w:tbl>
    <w:p>
      <w:pPr>
        <w:spacing w:after="0" w:line="183" w:lineRule="exact"/>
        <w:rPr>
          <w:sz w:val="20"/>
          <w:szCs w:val="20"/>
          <w:color w:val="auto"/>
        </w:rPr>
      </w:pPr>
    </w:p>
    <w:p>
      <w:pPr>
        <w:ind w:left="900" w:hanging="851"/>
        <w:spacing w:after="0"/>
        <w:tabs>
          <w:tab w:leader="none" w:pos="90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Pledgors</w:t>
      </w: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Upon the execution of this Agreement, the Pledgors make to the Pledgee the following representations and warranties and confirm that this Agreement is signed and performed by the Pledgee by them in reliance of such representations and warranties: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5.1</w:t>
            </w:r>
          </w:p>
        </w:tc>
        <w:tc>
          <w:tcPr>
            <w:tcW w:w="9880" w:type="dxa"/>
            <w:vAlign w:val="bottom"/>
          </w:tcPr>
          <w:p>
            <w:pPr>
              <w:ind w:left="340"/>
              <w:spacing w:after="0"/>
              <w:rPr>
                <w:sz w:val="20"/>
                <w:szCs w:val="20"/>
                <w:color w:val="auto"/>
              </w:rPr>
            </w:pPr>
            <w:r>
              <w:rPr>
                <w:rFonts w:ascii="Arial" w:cs="Arial" w:eastAsia="Arial" w:hAnsi="Arial"/>
                <w:sz w:val="17"/>
                <w:szCs w:val="17"/>
                <w:color w:val="auto"/>
                <w:w w:val="98"/>
              </w:rPr>
              <w:t>The Pledgors lawfully hold the Equity hereunder and have the right to use such Equity to provide pledge security to the Pledgee.</w:t>
            </w:r>
          </w:p>
        </w:tc>
      </w:tr>
      <w:tr>
        <w:trPr>
          <w:trHeight w:val="386"/>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5.2</w:t>
            </w:r>
          </w:p>
        </w:tc>
        <w:tc>
          <w:tcPr>
            <w:tcW w:w="9880" w:type="dxa"/>
            <w:vAlign w:val="bottom"/>
          </w:tcPr>
          <w:p>
            <w:pPr>
              <w:ind w:left="340"/>
              <w:spacing w:after="0"/>
              <w:rPr>
                <w:sz w:val="20"/>
                <w:szCs w:val="20"/>
                <w:color w:val="auto"/>
              </w:rPr>
            </w:pPr>
            <w:r>
              <w:rPr>
                <w:rFonts w:ascii="Arial" w:cs="Arial" w:eastAsia="Arial" w:hAnsi="Arial"/>
                <w:sz w:val="17"/>
                <w:szCs w:val="17"/>
                <w:color w:val="auto"/>
                <w:w w:val="89"/>
              </w:rPr>
              <w:t>After this Agreement is executed, during the period when the Pledgee has the Pledge Rights subject to Section 2.4 above, when the Pledgee</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4"/>
              </w:rPr>
              <w:t>exercises, at any time, its rights or has the Pledge Rights realized pursuant to this Agreement, there shall be no lawful claim or proper</w:t>
            </w:r>
          </w:p>
        </w:tc>
      </w:tr>
      <w:tr>
        <w:trPr>
          <w:trHeight w:val="212"/>
        </w:trPr>
        <w:tc>
          <w:tcPr>
            <w:tcW w:w="14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intervention from or by any third party.</w:t>
            </w:r>
          </w:p>
        </w:tc>
      </w:tr>
      <w:tr>
        <w:trPr>
          <w:trHeight w:val="386"/>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5.3</w:t>
            </w:r>
          </w:p>
        </w:tc>
        <w:tc>
          <w:tcPr>
            <w:tcW w:w="9880" w:type="dxa"/>
            <w:vAlign w:val="bottom"/>
          </w:tcPr>
          <w:p>
            <w:pPr>
              <w:ind w:left="340"/>
              <w:spacing w:after="0"/>
              <w:rPr>
                <w:sz w:val="20"/>
                <w:szCs w:val="20"/>
                <w:color w:val="auto"/>
              </w:rPr>
            </w:pPr>
            <w:r>
              <w:rPr>
                <w:rFonts w:ascii="Arial" w:cs="Arial" w:eastAsia="Arial" w:hAnsi="Arial"/>
                <w:sz w:val="17"/>
                <w:szCs w:val="17"/>
                <w:color w:val="auto"/>
                <w:w w:val="91"/>
              </w:rPr>
              <w:t>The Pledgee shall have the right to exercise the Pledge Rights as per the method described herein or otherwise permitted by the laws and</w:t>
            </w:r>
          </w:p>
        </w:tc>
      </w:tr>
      <w:tr>
        <w:trPr>
          <w:trHeight w:val="212"/>
        </w:trPr>
        <w:tc>
          <w:tcPr>
            <w:tcW w:w="14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regulations.</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3</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6" w:right="299" w:bottom="1440" w:gutter="0" w:footer="0" w:header="0"/>
        </w:sectPr>
      </w:pPr>
    </w:p>
    <w:bookmarkStart w:id="174" w:name="page175"/>
    <w:bookmarkEnd w:id="174"/>
    <w:tbl>
      <w:tblPr>
        <w:tblLayout w:type="fixed"/>
        <w:tblInd w:w="88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5.4</w:t>
            </w:r>
          </w:p>
        </w:tc>
        <w:tc>
          <w:tcPr>
            <w:tcW w:w="9840" w:type="dxa"/>
            <w:vAlign w:val="bottom"/>
          </w:tcPr>
          <w:p>
            <w:pPr>
              <w:ind w:left="340"/>
              <w:spacing w:after="0"/>
              <w:rPr>
                <w:sz w:val="20"/>
                <w:szCs w:val="20"/>
                <w:color w:val="auto"/>
              </w:rPr>
            </w:pPr>
            <w:r>
              <w:rPr>
                <w:rFonts w:ascii="Arial" w:cs="Arial" w:eastAsia="Arial" w:hAnsi="Arial"/>
                <w:sz w:val="17"/>
                <w:szCs w:val="17"/>
                <w:color w:val="auto"/>
                <w:w w:val="87"/>
              </w:rPr>
              <w:t>The Pledgors have obtained all necessary corporate authorization to sign this Agreement and perform its obligations hereunder, which does not</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violate any provisions of any applicable laws and regulations. The authorized representative signatories of this Agreement have obtained legal</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and effective authorization.</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5.5</w:t>
            </w: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There is no encumbrance or security interest of any nature for any third person (including but not limited to pledge) except for the pledge</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hereunder in connection with the Equity held by the Pledgors.</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5.6</w:t>
            </w: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There are no pending or threatened civil, administrative or criminal proceedings, administrative punishment or arbitration in connection with</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the Equity.</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5.7</w:t>
            </w: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There are no tax or fee due but unpaid, or legal procedures or formalities that should have been completed but have not been completed, in</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connection with the Equity.</w:t>
            </w:r>
          </w:p>
        </w:tc>
      </w:tr>
      <w:tr>
        <w:trPr>
          <w:trHeight w:val="3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5.8</w:t>
            </w:r>
          </w:p>
        </w:tc>
        <w:tc>
          <w:tcPr>
            <w:tcW w:w="9840" w:type="dxa"/>
            <w:vAlign w:val="bottom"/>
          </w:tcPr>
          <w:p>
            <w:pPr>
              <w:ind w:left="340"/>
              <w:spacing w:after="0"/>
              <w:rPr>
                <w:sz w:val="20"/>
                <w:szCs w:val="20"/>
                <w:color w:val="auto"/>
              </w:rPr>
            </w:pPr>
            <w:r>
              <w:rPr>
                <w:rFonts w:ascii="Arial" w:cs="Arial" w:eastAsia="Arial" w:hAnsi="Arial"/>
                <w:sz w:val="17"/>
                <w:szCs w:val="17"/>
                <w:color w:val="auto"/>
              </w:rPr>
              <w:t>Any and all provisions hereof are the expression of the Pledgors’ true intention and are binding upon the Pledgors.</w:t>
            </w:r>
          </w:p>
        </w:tc>
      </w:tr>
    </w:tbl>
    <w:p>
      <w:pPr>
        <w:spacing w:after="0" w:line="183" w:lineRule="exact"/>
        <w:rPr>
          <w:sz w:val="20"/>
          <w:szCs w:val="20"/>
          <w:color w:val="auto"/>
        </w:rPr>
      </w:pPr>
    </w:p>
    <w:p>
      <w:pPr>
        <w:ind w:left="900" w:hanging="851"/>
        <w:spacing w:after="0"/>
        <w:tabs>
          <w:tab w:leader="none" w:pos="90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 of the Pledgors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6.1</w:t>
            </w:r>
          </w:p>
        </w:tc>
        <w:tc>
          <w:tcPr>
            <w:tcW w:w="9880" w:type="dxa"/>
            <w:vAlign w:val="bottom"/>
            <w:gridSpan w:val="2"/>
          </w:tcPr>
          <w:p>
            <w:pPr>
              <w:ind w:left="340"/>
              <w:spacing w:after="0"/>
              <w:rPr>
                <w:sz w:val="20"/>
                <w:szCs w:val="20"/>
                <w:color w:val="auto"/>
              </w:rPr>
            </w:pPr>
            <w:r>
              <w:rPr>
                <w:rFonts w:ascii="Arial" w:cs="Arial" w:eastAsia="Arial" w:hAnsi="Arial"/>
                <w:sz w:val="17"/>
                <w:szCs w:val="17"/>
                <w:color w:val="auto"/>
              </w:rPr>
              <w:t>During the effective term of this Agreement, the Pledgors undertake to the Pledgee that the Pledgors:</w:t>
            </w:r>
          </w:p>
        </w:tc>
      </w:tr>
      <w:tr>
        <w:trPr>
          <w:trHeight w:val="386"/>
        </w:trPr>
        <w:tc>
          <w:tcPr>
            <w:tcW w:w="140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Arial" w:cs="Arial" w:eastAsia="Arial" w:hAnsi="Arial"/>
                <w:sz w:val="17"/>
                <w:szCs w:val="17"/>
                <w:color w:val="auto"/>
              </w:rPr>
              <w:t>6.1.1</w:t>
            </w:r>
          </w:p>
        </w:tc>
        <w:tc>
          <w:tcPr>
            <w:tcW w:w="8840" w:type="dxa"/>
            <w:vAlign w:val="bottom"/>
          </w:tcPr>
          <w:p>
            <w:pPr>
              <w:ind w:left="380"/>
              <w:spacing w:after="0"/>
              <w:rPr>
                <w:sz w:val="20"/>
                <w:szCs w:val="20"/>
                <w:color w:val="auto"/>
              </w:rPr>
            </w:pPr>
            <w:r>
              <w:rPr>
                <w:rFonts w:ascii="Arial" w:cs="Arial" w:eastAsia="Arial" w:hAnsi="Arial"/>
                <w:sz w:val="17"/>
                <w:szCs w:val="17"/>
                <w:color w:val="auto"/>
                <w:w w:val="90"/>
              </w:rPr>
              <w:t>Except for the transfer of the Equity to the Pledgee or any other person specified by the Pledgee as required by the Pledgee,</w:t>
            </w:r>
          </w:p>
        </w:tc>
      </w:tr>
      <w:tr>
        <w:trPr>
          <w:trHeight w:val="199"/>
        </w:trPr>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40" w:type="dxa"/>
            <w:vAlign w:val="bottom"/>
          </w:tcPr>
          <w:p>
            <w:pPr>
              <w:ind w:left="380"/>
              <w:spacing w:after="0"/>
              <w:rPr>
                <w:sz w:val="20"/>
                <w:szCs w:val="20"/>
                <w:color w:val="auto"/>
              </w:rPr>
            </w:pPr>
            <w:r>
              <w:rPr>
                <w:rFonts w:ascii="Arial" w:cs="Arial" w:eastAsia="Arial" w:hAnsi="Arial"/>
                <w:sz w:val="17"/>
                <w:szCs w:val="17"/>
                <w:color w:val="auto"/>
                <w:w w:val="91"/>
              </w:rPr>
              <w:t>prior to the full performance of their obligations thereunder, without the Pledgee’s prior written consent, will not transfer the</w:t>
            </w:r>
          </w:p>
        </w:tc>
      </w:tr>
      <w:tr>
        <w:trPr>
          <w:trHeight w:val="199"/>
        </w:trPr>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40" w:type="dxa"/>
            <w:vAlign w:val="bottom"/>
          </w:tcPr>
          <w:p>
            <w:pPr>
              <w:ind w:left="380"/>
              <w:spacing w:after="0"/>
              <w:rPr>
                <w:sz w:val="20"/>
                <w:szCs w:val="20"/>
                <w:color w:val="auto"/>
              </w:rPr>
            </w:pPr>
            <w:r>
              <w:rPr>
                <w:rFonts w:ascii="Arial" w:cs="Arial" w:eastAsia="Arial" w:hAnsi="Arial"/>
                <w:sz w:val="17"/>
                <w:szCs w:val="17"/>
                <w:color w:val="auto"/>
                <w:w w:val="90"/>
              </w:rPr>
              <w:t>Equity or create, or permit, any pledge or any other encumbrance that may affect the Pledgee’s rights or interest or any third-</w:t>
            </w:r>
          </w:p>
        </w:tc>
      </w:tr>
      <w:tr>
        <w:trPr>
          <w:trHeight w:val="199"/>
        </w:trPr>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40" w:type="dxa"/>
            <w:vAlign w:val="bottom"/>
          </w:tcPr>
          <w:p>
            <w:pPr>
              <w:ind w:left="380"/>
              <w:spacing w:after="0"/>
              <w:rPr>
                <w:sz w:val="20"/>
                <w:szCs w:val="20"/>
                <w:color w:val="auto"/>
              </w:rPr>
            </w:pPr>
            <w:r>
              <w:rPr>
                <w:rFonts w:ascii="Arial" w:cs="Arial" w:eastAsia="Arial" w:hAnsi="Arial"/>
                <w:sz w:val="17"/>
                <w:szCs w:val="17"/>
                <w:color w:val="auto"/>
                <w:w w:val="89"/>
              </w:rPr>
              <w:t>person security interest of any form. Without the Pledgee’s prior written consent, the Pledgors shall not take any action which</w:t>
            </w:r>
          </w:p>
        </w:tc>
      </w:tr>
      <w:tr>
        <w:trPr>
          <w:trHeight w:val="199"/>
        </w:trPr>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40" w:type="dxa"/>
            <w:vAlign w:val="bottom"/>
          </w:tcPr>
          <w:p>
            <w:pPr>
              <w:ind w:left="380"/>
              <w:spacing w:after="0"/>
              <w:rPr>
                <w:sz w:val="20"/>
                <w:szCs w:val="20"/>
                <w:color w:val="auto"/>
              </w:rPr>
            </w:pPr>
            <w:r>
              <w:rPr>
                <w:rFonts w:ascii="Arial" w:cs="Arial" w:eastAsia="Arial" w:hAnsi="Arial"/>
                <w:sz w:val="17"/>
                <w:szCs w:val="17"/>
                <w:color w:val="auto"/>
                <w:w w:val="92"/>
              </w:rPr>
              <w:t>will or may result in change to the Equity or any rights incidental to the Equity, which will or may then result in substantially</w:t>
            </w:r>
          </w:p>
        </w:tc>
      </w:tr>
      <w:tr>
        <w:trPr>
          <w:trHeight w:val="212"/>
        </w:trPr>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40" w:type="dxa"/>
            <w:vAlign w:val="bottom"/>
          </w:tcPr>
          <w:p>
            <w:pPr>
              <w:ind w:left="380"/>
              <w:spacing w:after="0"/>
              <w:rPr>
                <w:sz w:val="20"/>
                <w:szCs w:val="20"/>
                <w:color w:val="auto"/>
              </w:rPr>
            </w:pPr>
            <w:r>
              <w:rPr>
                <w:rFonts w:ascii="Arial" w:cs="Arial" w:eastAsia="Arial" w:hAnsi="Arial"/>
                <w:sz w:val="17"/>
                <w:szCs w:val="17"/>
                <w:color w:val="auto"/>
              </w:rPr>
              <w:t>adverse effects upon the Pledgee’s rights.</w:t>
            </w:r>
          </w:p>
        </w:tc>
      </w:tr>
      <w:tr>
        <w:trPr>
          <w:trHeight w:val="386"/>
        </w:trPr>
        <w:tc>
          <w:tcPr>
            <w:tcW w:w="140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Arial" w:cs="Arial" w:eastAsia="Arial" w:hAnsi="Arial"/>
                <w:sz w:val="17"/>
                <w:szCs w:val="17"/>
                <w:color w:val="auto"/>
              </w:rPr>
              <w:t>6.1.2</w:t>
            </w:r>
          </w:p>
        </w:tc>
        <w:tc>
          <w:tcPr>
            <w:tcW w:w="8840" w:type="dxa"/>
            <w:vAlign w:val="bottom"/>
          </w:tcPr>
          <w:p>
            <w:pPr>
              <w:ind w:left="380"/>
              <w:spacing w:after="0"/>
              <w:rPr>
                <w:sz w:val="20"/>
                <w:szCs w:val="20"/>
                <w:color w:val="auto"/>
              </w:rPr>
            </w:pPr>
            <w:r>
              <w:rPr>
                <w:rFonts w:ascii="Arial" w:cs="Arial" w:eastAsia="Arial" w:hAnsi="Arial"/>
                <w:sz w:val="17"/>
                <w:szCs w:val="17"/>
                <w:color w:val="auto"/>
                <w:w w:val="93"/>
              </w:rPr>
              <w:t>Comply with and implement the provisions of all applicable laws and regulations, and within Five (5) business days upon</w:t>
            </w:r>
          </w:p>
        </w:tc>
      </w:tr>
      <w:tr>
        <w:trPr>
          <w:trHeight w:val="199"/>
        </w:trPr>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40" w:type="dxa"/>
            <w:vAlign w:val="bottom"/>
          </w:tcPr>
          <w:p>
            <w:pPr>
              <w:ind w:left="380"/>
              <w:spacing w:after="0"/>
              <w:rPr>
                <w:sz w:val="20"/>
                <w:szCs w:val="20"/>
                <w:color w:val="auto"/>
              </w:rPr>
            </w:pPr>
            <w:r>
              <w:rPr>
                <w:rFonts w:ascii="Arial" w:cs="Arial" w:eastAsia="Arial" w:hAnsi="Arial"/>
                <w:sz w:val="17"/>
                <w:szCs w:val="17"/>
                <w:color w:val="auto"/>
                <w:w w:val="88"/>
              </w:rPr>
              <w:t>receipt of any notice, order or suggestion issued or prepared by the relevant competent authority in connection with the Pledge</w:t>
            </w:r>
          </w:p>
        </w:tc>
      </w:tr>
      <w:tr>
        <w:trPr>
          <w:trHeight w:val="212"/>
        </w:trPr>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40" w:type="dxa"/>
            <w:vAlign w:val="bottom"/>
          </w:tcPr>
          <w:p>
            <w:pPr>
              <w:ind w:left="380"/>
              <w:spacing w:after="0"/>
              <w:rPr>
                <w:sz w:val="20"/>
                <w:szCs w:val="20"/>
                <w:color w:val="auto"/>
              </w:rPr>
            </w:pPr>
            <w:r>
              <w:rPr>
                <w:rFonts w:ascii="Arial" w:cs="Arial" w:eastAsia="Arial" w:hAnsi="Arial"/>
                <w:sz w:val="17"/>
                <w:szCs w:val="17"/>
                <w:color w:val="auto"/>
                <w:w w:val="92"/>
              </w:rPr>
              <w:t>Rights, produce to the Pledgee such notice, order or suggestion and take action as reasonably instructed by the Pledgee.</w:t>
            </w:r>
          </w:p>
        </w:tc>
      </w:tr>
      <w:tr>
        <w:trPr>
          <w:trHeight w:val="386"/>
        </w:trPr>
        <w:tc>
          <w:tcPr>
            <w:tcW w:w="140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Arial" w:cs="Arial" w:eastAsia="Arial" w:hAnsi="Arial"/>
                <w:sz w:val="17"/>
                <w:szCs w:val="17"/>
                <w:color w:val="auto"/>
              </w:rPr>
              <w:t>6.1.3</w:t>
            </w:r>
          </w:p>
        </w:tc>
        <w:tc>
          <w:tcPr>
            <w:tcW w:w="8840" w:type="dxa"/>
            <w:vAlign w:val="bottom"/>
          </w:tcPr>
          <w:p>
            <w:pPr>
              <w:ind w:left="380"/>
              <w:spacing w:after="0"/>
              <w:rPr>
                <w:sz w:val="20"/>
                <w:szCs w:val="20"/>
                <w:color w:val="auto"/>
              </w:rPr>
            </w:pPr>
            <w:r>
              <w:rPr>
                <w:rFonts w:ascii="Arial" w:cs="Arial" w:eastAsia="Arial" w:hAnsi="Arial"/>
                <w:sz w:val="17"/>
                <w:szCs w:val="17"/>
                <w:color w:val="auto"/>
                <w:w w:val="92"/>
              </w:rPr>
              <w:t>Timely notify the Pledgee any event or notice received that may affect the Pledgors’ Equity or other rights hereunder, any</w:t>
            </w:r>
          </w:p>
        </w:tc>
      </w:tr>
      <w:tr>
        <w:trPr>
          <w:trHeight w:val="199"/>
        </w:trPr>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40" w:type="dxa"/>
            <w:vAlign w:val="bottom"/>
          </w:tcPr>
          <w:p>
            <w:pPr>
              <w:ind w:left="380"/>
              <w:spacing w:after="0"/>
              <w:rPr>
                <w:sz w:val="20"/>
                <w:szCs w:val="20"/>
                <w:color w:val="auto"/>
              </w:rPr>
            </w:pPr>
            <w:r>
              <w:rPr>
                <w:rFonts w:ascii="Arial" w:cs="Arial" w:eastAsia="Arial" w:hAnsi="Arial"/>
                <w:sz w:val="17"/>
                <w:szCs w:val="17"/>
                <w:color w:val="auto"/>
                <w:w w:val="89"/>
              </w:rPr>
              <w:t>event or notice received that may affect any of the Pledgors’ obligations hereunder or affect the Pledgors’ performance of any</w:t>
            </w:r>
          </w:p>
        </w:tc>
      </w:tr>
      <w:tr>
        <w:trPr>
          <w:trHeight w:val="212"/>
        </w:trPr>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40" w:type="dxa"/>
            <w:vAlign w:val="bottom"/>
          </w:tcPr>
          <w:p>
            <w:pPr>
              <w:ind w:left="380"/>
              <w:spacing w:after="0"/>
              <w:rPr>
                <w:sz w:val="20"/>
                <w:szCs w:val="20"/>
                <w:color w:val="auto"/>
              </w:rPr>
            </w:pPr>
            <w:r>
              <w:rPr>
                <w:rFonts w:ascii="Arial" w:cs="Arial" w:eastAsia="Arial" w:hAnsi="Arial"/>
                <w:sz w:val="17"/>
                <w:szCs w:val="17"/>
                <w:color w:val="auto"/>
              </w:rPr>
              <w:t>of their obligations hereunder, and take action as reasonably instructed by the Pledgee.</w:t>
            </w:r>
          </w:p>
        </w:tc>
      </w:tr>
      <w:tr>
        <w:trPr>
          <w:trHeight w:val="386"/>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6.2</w:t>
            </w:r>
          </w:p>
        </w:tc>
        <w:tc>
          <w:tcPr>
            <w:tcW w:w="9880" w:type="dxa"/>
            <w:vAlign w:val="bottom"/>
            <w:gridSpan w:val="2"/>
          </w:tcPr>
          <w:p>
            <w:pPr>
              <w:ind w:left="340"/>
              <w:spacing w:after="0"/>
              <w:rPr>
                <w:sz w:val="20"/>
                <w:szCs w:val="20"/>
                <w:color w:val="auto"/>
              </w:rPr>
            </w:pPr>
            <w:r>
              <w:rPr>
                <w:rFonts w:ascii="Arial" w:cs="Arial" w:eastAsia="Arial" w:hAnsi="Arial"/>
                <w:sz w:val="17"/>
                <w:szCs w:val="17"/>
                <w:color w:val="auto"/>
                <w:w w:val="89"/>
              </w:rPr>
              <w:t>The Pledgors agree that they will procure that the exercise by the Pledgee of any of its rights pursuant to the provisions of this Agreement will</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40"/>
              <w:spacing w:after="0"/>
              <w:rPr>
                <w:sz w:val="20"/>
                <w:szCs w:val="20"/>
                <w:color w:val="auto"/>
              </w:rPr>
            </w:pPr>
            <w:r>
              <w:rPr>
                <w:rFonts w:ascii="Arial" w:cs="Arial" w:eastAsia="Arial" w:hAnsi="Arial"/>
                <w:sz w:val="17"/>
                <w:szCs w:val="17"/>
                <w:color w:val="auto"/>
              </w:rPr>
              <w:t>not be interrupted or prevented by the Pledgors or their successors or assignees or any other persons.</w:t>
            </w:r>
          </w:p>
        </w:tc>
      </w:tr>
      <w:tr>
        <w:trPr>
          <w:trHeight w:val="797"/>
        </w:trPr>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40" w:type="dxa"/>
            <w:vAlign w:val="bottom"/>
          </w:tcPr>
          <w:p>
            <w:pPr>
              <w:ind w:left="3140"/>
              <w:spacing w:after="0"/>
              <w:rPr>
                <w:sz w:val="20"/>
                <w:szCs w:val="20"/>
                <w:color w:val="auto"/>
              </w:rPr>
            </w:pPr>
            <w:r>
              <w:rPr>
                <w:rFonts w:ascii="Arial" w:cs="Arial" w:eastAsia="Arial" w:hAnsi="Arial"/>
                <w:sz w:val="17"/>
                <w:szCs w:val="17"/>
                <w:color w:val="auto"/>
              </w:rPr>
              <w:t>4</w:t>
            </w:r>
          </w:p>
        </w:tc>
      </w:tr>
      <w:tr>
        <w:trPr>
          <w:trHeight w:val="104"/>
        </w:trPr>
        <w:tc>
          <w:tcPr>
            <w:tcW w:w="1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6" w:right="299" w:bottom="1440" w:gutter="0" w:footer="0" w:header="0"/>
        </w:sectPr>
      </w:pPr>
    </w:p>
    <w:bookmarkStart w:id="175" w:name="page176"/>
    <w:bookmarkEnd w:id="175"/>
    <w:tbl>
      <w:tblPr>
        <w:tblLayout w:type="fixed"/>
        <w:tblInd w:w="88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6.3</w:t>
            </w: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The Pledgors warrant to the Pledgee that for the purpose of protecting or perfecting the security of the Pledgors and/or Party C’s obligations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4"/>
              </w:rPr>
              <w:t>under the Individual Agreements, the Pledgors will make all necessary amendments to Party C’s Articles of Association (if applicable),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honestly sign, and procure any other persons who has interest in Pledge Rights to sign all title or right certificates and deeds as requested by</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the Pledgee, and/or perform, and procure any other persons who has interest therein to perform, the acts as reasonably requested by the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Pledgee, facilitate the exercise by the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Pledgee of the Pledge Rights, sign all documents related to the Equity certificate change with the Pledgee or any third party appointed by the</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Pledgee, and provide to the Pledgee within a reasonable period all the documents related to the Pledge Rights as needed by the Pledgee.</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6.4</w:t>
            </w: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The Pledgors warrant to the Pledgee that for the protection of the Pledgee’s interest, the Pledgors will comply with and perform all warranties,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undertaking, covenants and representations. In case the Pledgors fail to perform, or partially perform, their warranties, undertaking, covenants</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7"/>
              </w:rPr>
              <w:t>or representations, the Pledgors shall indemnify all the loss suffered by the Pledgee arising out thereof or in connection therewith.</w:t>
            </w:r>
          </w:p>
        </w:tc>
      </w:tr>
    </w:tbl>
    <w:p>
      <w:pPr>
        <w:spacing w:after="0" w:line="183" w:lineRule="exact"/>
        <w:rPr>
          <w:sz w:val="20"/>
          <w:szCs w:val="20"/>
          <w:color w:val="auto"/>
        </w:rPr>
      </w:pPr>
    </w:p>
    <w:p>
      <w:pPr>
        <w:ind w:left="900" w:hanging="851"/>
        <w:spacing w:after="0"/>
        <w:tabs>
          <w:tab w:leader="none" w:pos="90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Default Event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7.1</w:t>
            </w:r>
          </w:p>
        </w:tc>
        <w:tc>
          <w:tcPr>
            <w:tcW w:w="9880" w:type="dxa"/>
            <w:vAlign w:val="bottom"/>
            <w:gridSpan w:val="2"/>
          </w:tcPr>
          <w:p>
            <w:pPr>
              <w:ind w:left="340"/>
              <w:spacing w:after="0"/>
              <w:rPr>
                <w:sz w:val="20"/>
                <w:szCs w:val="20"/>
                <w:color w:val="auto"/>
              </w:rPr>
            </w:pPr>
            <w:r>
              <w:rPr>
                <w:rFonts w:ascii="Arial" w:cs="Arial" w:eastAsia="Arial" w:hAnsi="Arial"/>
                <w:sz w:val="17"/>
                <w:szCs w:val="17"/>
                <w:color w:val="auto"/>
              </w:rPr>
              <w:t>Any of the following events will be deemed to be a Default Event:</w:t>
            </w:r>
          </w:p>
        </w:tc>
      </w:tr>
      <w:tr>
        <w:trPr>
          <w:trHeight w:val="386"/>
        </w:trPr>
        <w:tc>
          <w:tcPr>
            <w:tcW w:w="140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7"/>
                <w:szCs w:val="17"/>
                <w:color w:val="auto"/>
              </w:rPr>
              <w:t>7.1.1</w:t>
            </w:r>
          </w:p>
        </w:tc>
        <w:tc>
          <w:tcPr>
            <w:tcW w:w="8800" w:type="dxa"/>
            <w:vAlign w:val="bottom"/>
          </w:tcPr>
          <w:p>
            <w:pPr>
              <w:ind w:left="340"/>
              <w:spacing w:after="0"/>
              <w:rPr>
                <w:sz w:val="20"/>
                <w:szCs w:val="20"/>
                <w:color w:val="auto"/>
              </w:rPr>
            </w:pPr>
            <w:r>
              <w:rPr>
                <w:rFonts w:ascii="Arial" w:cs="Arial" w:eastAsia="Arial" w:hAnsi="Arial"/>
                <w:sz w:val="17"/>
                <w:szCs w:val="17"/>
                <w:color w:val="auto"/>
                <w:w w:val="96"/>
              </w:rPr>
              <w:t>Party C or any of its successors or assignees fails to fully pay on schedule any amounts payable under the Individual</w:t>
            </w:r>
          </w:p>
        </w:tc>
      </w:tr>
      <w:tr>
        <w:trPr>
          <w:trHeight w:val="199"/>
        </w:trPr>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w w:val="93"/>
              </w:rPr>
              <w:t>Agreements, or the Pledgors or their successors or assignees fail to perform any of their obligations under the Individual</w:t>
            </w:r>
          </w:p>
        </w:tc>
      </w:tr>
      <w:tr>
        <w:trPr>
          <w:trHeight w:val="212"/>
        </w:trPr>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Agreements.</w:t>
            </w:r>
          </w:p>
        </w:tc>
      </w:tr>
      <w:tr>
        <w:trPr>
          <w:trHeight w:val="386"/>
        </w:trPr>
        <w:tc>
          <w:tcPr>
            <w:tcW w:w="140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7"/>
                <w:szCs w:val="17"/>
                <w:color w:val="auto"/>
              </w:rPr>
              <w:t>7.1.2</w:t>
            </w:r>
          </w:p>
        </w:tc>
        <w:tc>
          <w:tcPr>
            <w:tcW w:w="8800" w:type="dxa"/>
            <w:vAlign w:val="bottom"/>
          </w:tcPr>
          <w:p>
            <w:pPr>
              <w:ind w:left="340"/>
              <w:spacing w:after="0"/>
              <w:rPr>
                <w:sz w:val="20"/>
                <w:szCs w:val="20"/>
                <w:color w:val="auto"/>
              </w:rPr>
            </w:pPr>
            <w:r>
              <w:rPr>
                <w:rFonts w:ascii="Arial" w:cs="Arial" w:eastAsia="Arial" w:hAnsi="Arial"/>
                <w:sz w:val="17"/>
                <w:szCs w:val="17"/>
                <w:color w:val="auto"/>
                <w:w w:val="90"/>
              </w:rPr>
              <w:t>Any representation, warranty or undertaking made by the Pledgors under Section 5 or 6 above is substantially misleading or</w:t>
            </w:r>
          </w:p>
        </w:tc>
      </w:tr>
      <w:tr>
        <w:trPr>
          <w:trHeight w:val="199"/>
        </w:trPr>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w w:val="89"/>
              </w:rPr>
              <w:t>incorrect, and/or the Pledgors violates any representation, warranty or undertaking made by the Pledgors under Section 5 or 6</w:t>
            </w:r>
          </w:p>
        </w:tc>
      </w:tr>
      <w:tr>
        <w:trPr>
          <w:trHeight w:val="212"/>
        </w:trPr>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above.</w:t>
            </w:r>
          </w:p>
        </w:tc>
      </w:tr>
      <w:tr>
        <w:trPr>
          <w:trHeight w:val="399"/>
        </w:trPr>
        <w:tc>
          <w:tcPr>
            <w:tcW w:w="140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7"/>
                <w:szCs w:val="17"/>
                <w:color w:val="auto"/>
              </w:rPr>
              <w:t>7.1.3</w:t>
            </w:r>
          </w:p>
        </w:tc>
        <w:tc>
          <w:tcPr>
            <w:tcW w:w="8800" w:type="dxa"/>
            <w:vAlign w:val="bottom"/>
          </w:tcPr>
          <w:p>
            <w:pPr>
              <w:ind w:left="340"/>
              <w:spacing w:after="0"/>
              <w:rPr>
                <w:sz w:val="20"/>
                <w:szCs w:val="20"/>
                <w:color w:val="auto"/>
              </w:rPr>
            </w:pPr>
            <w:r>
              <w:rPr>
                <w:rFonts w:ascii="Arial" w:cs="Arial" w:eastAsia="Arial" w:hAnsi="Arial"/>
                <w:sz w:val="17"/>
                <w:szCs w:val="17"/>
                <w:color w:val="auto"/>
              </w:rPr>
              <w:t>The Pledgors or Party C violates any provision of this Agreement.</w:t>
            </w:r>
          </w:p>
        </w:tc>
      </w:tr>
      <w:tr>
        <w:trPr>
          <w:trHeight w:val="386"/>
        </w:trPr>
        <w:tc>
          <w:tcPr>
            <w:tcW w:w="140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7"/>
                <w:szCs w:val="17"/>
                <w:color w:val="auto"/>
              </w:rPr>
              <w:t>7.1.4</w:t>
            </w:r>
          </w:p>
        </w:tc>
        <w:tc>
          <w:tcPr>
            <w:tcW w:w="8800" w:type="dxa"/>
            <w:vAlign w:val="bottom"/>
          </w:tcPr>
          <w:p>
            <w:pPr>
              <w:ind w:left="340"/>
              <w:spacing w:after="0"/>
              <w:rPr>
                <w:sz w:val="20"/>
                <w:szCs w:val="20"/>
                <w:color w:val="auto"/>
              </w:rPr>
            </w:pPr>
            <w:r>
              <w:rPr>
                <w:rFonts w:ascii="Arial" w:cs="Arial" w:eastAsia="Arial" w:hAnsi="Arial"/>
                <w:sz w:val="17"/>
                <w:szCs w:val="17"/>
                <w:color w:val="auto"/>
                <w:w w:val="89"/>
              </w:rPr>
              <w:t>Except as otherwise agreed in Section 6.1.1 above, the Pledgors transfer or otherwise dispose the pledged Equity without the</w:t>
            </w:r>
          </w:p>
        </w:tc>
      </w:tr>
      <w:tr>
        <w:trPr>
          <w:trHeight w:val="212"/>
        </w:trPr>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Pledgee’s written consent.</w:t>
            </w:r>
          </w:p>
        </w:tc>
      </w:tr>
      <w:tr>
        <w:trPr>
          <w:trHeight w:val="386"/>
        </w:trPr>
        <w:tc>
          <w:tcPr>
            <w:tcW w:w="140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7"/>
                <w:szCs w:val="17"/>
                <w:color w:val="auto"/>
              </w:rPr>
              <w:t>7.1.5</w:t>
            </w:r>
          </w:p>
        </w:tc>
        <w:tc>
          <w:tcPr>
            <w:tcW w:w="8800" w:type="dxa"/>
            <w:vAlign w:val="bottom"/>
          </w:tcPr>
          <w:p>
            <w:pPr>
              <w:ind w:left="340"/>
              <w:spacing w:after="0"/>
              <w:rPr>
                <w:sz w:val="20"/>
                <w:szCs w:val="20"/>
                <w:color w:val="auto"/>
              </w:rPr>
            </w:pPr>
            <w:r>
              <w:rPr>
                <w:rFonts w:ascii="Arial" w:cs="Arial" w:eastAsia="Arial" w:hAnsi="Arial"/>
                <w:sz w:val="17"/>
                <w:szCs w:val="17"/>
                <w:color w:val="auto"/>
                <w:w w:val="93"/>
              </w:rPr>
              <w:t>Any of the Pledgors’ external borrowings, security, compensation, undertaking or other debt or liability shall be repaid or</w:t>
            </w:r>
          </w:p>
        </w:tc>
      </w:tr>
      <w:tr>
        <w:trPr>
          <w:trHeight w:val="199"/>
        </w:trPr>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w w:val="89"/>
              </w:rPr>
              <w:t>performed in advance or is due but cannot be repaid or performed on schedule, which makes the Pledgee reasonably believe</w:t>
            </w:r>
          </w:p>
        </w:tc>
      </w:tr>
      <w:tr>
        <w:trPr>
          <w:trHeight w:val="212"/>
        </w:trPr>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w w:val="99"/>
              </w:rPr>
              <w:t>that the Pledgors’ ability to perform any of their obligations is affected, which further affect the Pledgee’s interest.</w:t>
            </w:r>
          </w:p>
        </w:tc>
      </w:tr>
      <w:tr>
        <w:trPr>
          <w:trHeight w:val="399"/>
        </w:trPr>
        <w:tc>
          <w:tcPr>
            <w:tcW w:w="140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7"/>
                <w:szCs w:val="17"/>
                <w:color w:val="auto"/>
              </w:rPr>
              <w:t>7.1.6</w:t>
            </w:r>
          </w:p>
        </w:tc>
        <w:tc>
          <w:tcPr>
            <w:tcW w:w="8800" w:type="dxa"/>
            <w:vAlign w:val="bottom"/>
          </w:tcPr>
          <w:p>
            <w:pPr>
              <w:ind w:left="340"/>
              <w:spacing w:after="0"/>
              <w:rPr>
                <w:sz w:val="20"/>
                <w:szCs w:val="20"/>
                <w:color w:val="auto"/>
              </w:rPr>
            </w:pPr>
            <w:r>
              <w:rPr>
                <w:rFonts w:ascii="Arial" w:cs="Arial" w:eastAsia="Arial" w:hAnsi="Arial"/>
                <w:sz w:val="17"/>
                <w:szCs w:val="17"/>
                <w:color w:val="auto"/>
              </w:rPr>
              <w:t>The Pledgors cannot perform any of their general debt or other debt, which further affects the Pledgee’s interest.</w:t>
            </w:r>
          </w:p>
        </w:tc>
      </w:tr>
      <w:tr>
        <w:trPr>
          <w:trHeight w:val="386"/>
        </w:trPr>
        <w:tc>
          <w:tcPr>
            <w:tcW w:w="140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7"/>
                <w:szCs w:val="17"/>
                <w:color w:val="auto"/>
              </w:rPr>
              <w:t>7.1.7</w:t>
            </w:r>
          </w:p>
        </w:tc>
        <w:tc>
          <w:tcPr>
            <w:tcW w:w="8800" w:type="dxa"/>
            <w:vAlign w:val="bottom"/>
          </w:tcPr>
          <w:p>
            <w:pPr>
              <w:ind w:left="340"/>
              <w:spacing w:after="0"/>
              <w:rPr>
                <w:sz w:val="20"/>
                <w:szCs w:val="20"/>
                <w:color w:val="auto"/>
              </w:rPr>
            </w:pPr>
            <w:r>
              <w:rPr>
                <w:rFonts w:ascii="Arial" w:cs="Arial" w:eastAsia="Arial" w:hAnsi="Arial"/>
                <w:sz w:val="17"/>
                <w:szCs w:val="17"/>
                <w:color w:val="auto"/>
                <w:w w:val="90"/>
              </w:rPr>
              <w:t>The promulgation of any law results in invalidation of this Agreement or inability of the Pledgors to continuously perform any</w:t>
            </w:r>
          </w:p>
        </w:tc>
      </w:tr>
      <w:tr>
        <w:trPr>
          <w:trHeight w:val="212"/>
        </w:trPr>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of their obligations hereunder.</w:t>
            </w:r>
          </w:p>
        </w:tc>
      </w:tr>
      <w:tr>
        <w:trPr>
          <w:trHeight w:val="386"/>
        </w:trPr>
        <w:tc>
          <w:tcPr>
            <w:tcW w:w="140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7"/>
                <w:szCs w:val="17"/>
                <w:color w:val="auto"/>
              </w:rPr>
              <w:t>7.1.8</w:t>
            </w:r>
          </w:p>
        </w:tc>
        <w:tc>
          <w:tcPr>
            <w:tcW w:w="8800" w:type="dxa"/>
            <w:vAlign w:val="bottom"/>
          </w:tcPr>
          <w:p>
            <w:pPr>
              <w:ind w:left="340"/>
              <w:spacing w:after="0"/>
              <w:rPr>
                <w:sz w:val="20"/>
                <w:szCs w:val="20"/>
                <w:color w:val="auto"/>
              </w:rPr>
            </w:pPr>
            <w:r>
              <w:rPr>
                <w:rFonts w:ascii="Arial" w:cs="Arial" w:eastAsia="Arial" w:hAnsi="Arial"/>
                <w:sz w:val="17"/>
                <w:szCs w:val="17"/>
                <w:color w:val="auto"/>
                <w:w w:val="89"/>
              </w:rPr>
              <w:t>The consent, permit, approval or authorization of any governmental department necessary to legalize, validate or enforce this</w:t>
            </w:r>
          </w:p>
        </w:tc>
      </w:tr>
      <w:tr>
        <w:trPr>
          <w:trHeight w:val="212"/>
        </w:trPr>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Agreement is withdrawn, suspended, invalidated or substantially amended.</w:t>
            </w:r>
          </w:p>
        </w:tc>
      </w:tr>
      <w:tr>
        <w:trPr>
          <w:trHeight w:val="386"/>
        </w:trPr>
        <w:tc>
          <w:tcPr>
            <w:tcW w:w="140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7"/>
                <w:szCs w:val="17"/>
                <w:color w:val="auto"/>
              </w:rPr>
              <w:t>7.1.9</w:t>
            </w:r>
          </w:p>
        </w:tc>
        <w:tc>
          <w:tcPr>
            <w:tcW w:w="8800" w:type="dxa"/>
            <w:vAlign w:val="bottom"/>
          </w:tcPr>
          <w:p>
            <w:pPr>
              <w:ind w:left="340"/>
              <w:spacing w:after="0"/>
              <w:rPr>
                <w:sz w:val="20"/>
                <w:szCs w:val="20"/>
                <w:color w:val="auto"/>
              </w:rPr>
            </w:pPr>
            <w:r>
              <w:rPr>
                <w:rFonts w:ascii="Arial" w:cs="Arial" w:eastAsia="Arial" w:hAnsi="Arial"/>
                <w:sz w:val="17"/>
                <w:szCs w:val="17"/>
                <w:color w:val="auto"/>
                <w:w w:val="92"/>
              </w:rPr>
              <w:t>There occurs any adverse change to any of the assets owned by the Pledgors, which makes the Pledgee believe that the</w:t>
            </w:r>
          </w:p>
        </w:tc>
      </w:tr>
      <w:tr>
        <w:trPr>
          <w:trHeight w:val="212"/>
        </w:trPr>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Pledgors’ ability to perform any of their obligations is affected.</w:t>
            </w:r>
          </w:p>
        </w:tc>
      </w:tr>
      <w:tr>
        <w:trPr>
          <w:trHeight w:val="399"/>
        </w:trPr>
        <w:tc>
          <w:tcPr>
            <w:tcW w:w="140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7"/>
                <w:szCs w:val="17"/>
                <w:color w:val="auto"/>
              </w:rPr>
              <w:t>7.1.10</w:t>
            </w:r>
          </w:p>
        </w:tc>
        <w:tc>
          <w:tcPr>
            <w:tcW w:w="8800" w:type="dxa"/>
            <w:vAlign w:val="bottom"/>
          </w:tcPr>
          <w:p>
            <w:pPr>
              <w:ind w:left="340"/>
              <w:spacing w:after="0"/>
              <w:rPr>
                <w:sz w:val="20"/>
                <w:szCs w:val="20"/>
                <w:color w:val="auto"/>
              </w:rPr>
            </w:pPr>
            <w:r>
              <w:rPr>
                <w:rFonts w:ascii="Arial" w:cs="Arial" w:eastAsia="Arial" w:hAnsi="Arial"/>
                <w:sz w:val="17"/>
                <w:szCs w:val="17"/>
                <w:color w:val="auto"/>
                <w:w w:val="94"/>
              </w:rPr>
              <w:t>Any other event that the Pledgee cannot exercise or otherwise dispose of the Pledge Rights under the applicable laws.</w:t>
            </w:r>
          </w:p>
        </w:tc>
      </w:tr>
      <w:tr>
        <w:trPr>
          <w:trHeight w:val="386"/>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7.2</w:t>
            </w:r>
          </w:p>
        </w:tc>
        <w:tc>
          <w:tcPr>
            <w:tcW w:w="9880" w:type="dxa"/>
            <w:vAlign w:val="bottom"/>
            <w:gridSpan w:val="2"/>
          </w:tcPr>
          <w:p>
            <w:pPr>
              <w:ind w:left="340"/>
              <w:spacing w:after="0"/>
              <w:rPr>
                <w:sz w:val="20"/>
                <w:szCs w:val="20"/>
                <w:color w:val="auto"/>
              </w:rPr>
            </w:pPr>
            <w:r>
              <w:rPr>
                <w:rFonts w:ascii="Arial" w:cs="Arial" w:eastAsia="Arial" w:hAnsi="Arial"/>
                <w:sz w:val="17"/>
                <w:szCs w:val="17"/>
                <w:color w:val="auto"/>
                <w:w w:val="88"/>
              </w:rPr>
              <w:t>The Pledgors and/or Party C shall immediately notify the Pledgee in writing any of the events described in Section 7.1 above or the occurrence</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40"/>
              <w:spacing w:after="0"/>
              <w:rPr>
                <w:sz w:val="20"/>
                <w:szCs w:val="20"/>
                <w:color w:val="auto"/>
              </w:rPr>
            </w:pPr>
            <w:r>
              <w:rPr>
                <w:rFonts w:ascii="Arial" w:cs="Arial" w:eastAsia="Arial" w:hAnsi="Arial"/>
                <w:sz w:val="17"/>
                <w:szCs w:val="17"/>
                <w:color w:val="auto"/>
              </w:rPr>
              <w:t>or potential occurrence thereof the Pledgors and/or Party C becomes aware of or discovers.</w:t>
            </w:r>
          </w:p>
        </w:tc>
      </w:tr>
      <w:tr>
        <w:trPr>
          <w:trHeight w:val="797"/>
        </w:trPr>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0" w:type="dxa"/>
            <w:vAlign w:val="bottom"/>
          </w:tcPr>
          <w:p>
            <w:pPr>
              <w:ind w:left="3100"/>
              <w:spacing w:after="0"/>
              <w:rPr>
                <w:sz w:val="20"/>
                <w:szCs w:val="20"/>
                <w:color w:val="auto"/>
              </w:rPr>
            </w:pPr>
            <w:r>
              <w:rPr>
                <w:rFonts w:ascii="Arial" w:cs="Arial" w:eastAsia="Arial" w:hAnsi="Arial"/>
                <w:sz w:val="17"/>
                <w:szCs w:val="17"/>
                <w:color w:val="auto"/>
              </w:rPr>
              <w:t>5</w:t>
            </w:r>
          </w:p>
        </w:tc>
      </w:tr>
      <w:tr>
        <w:trPr>
          <w:trHeight w:val="104"/>
        </w:trPr>
        <w:tc>
          <w:tcPr>
            <w:tcW w:w="1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176" w:name="page177"/>
    <w:bookmarkEnd w:id="176"/>
    <w:p>
      <w:pPr>
        <w:jc w:val="both"/>
        <w:ind w:left="1700" w:hanging="859"/>
        <w:spacing w:after="0" w:line="267" w:lineRule="auto"/>
        <w:tabs>
          <w:tab w:leader="none" w:pos="168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6"/>
          <w:szCs w:val="16"/>
          <w:color w:val="auto"/>
        </w:rPr>
        <w:t>Unless the default events listed in Section 7.1 above have been perfectly settled to the Pledgee’s satisfaction, the Pledgee may, upon the occurrence of such default event or at any time following the occurrence thereof, issue a written default notice to the Pledgors and/or Party C, requesting the Pledgors and/or Party C to immediately pay the money owned or other payables under the Exclusive Technical Consultation and Service Agreement or to timely perform the obligations under the Individual Agreements. In case the Pledgors or Party C fails to timely correct their defaults, or take necessary remedies, within Ten (10) business days following the issuance of such written notice, the Pledgee may exercise the Pledge Rights pursuant to Section 8 below.</w:t>
      </w:r>
    </w:p>
    <w:p>
      <w:pPr>
        <w:spacing w:after="0" w:line="163" w:lineRule="exact"/>
        <w:rPr>
          <w:sz w:val="20"/>
          <w:szCs w:val="20"/>
          <w:color w:val="auto"/>
        </w:rPr>
      </w:pPr>
    </w:p>
    <w:p>
      <w:pPr>
        <w:ind w:left="860" w:hanging="851"/>
        <w:spacing w:after="0"/>
        <w:tabs>
          <w:tab w:leader="none" w:pos="86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Pledge Rights</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40"/>
              <w:spacing w:after="0"/>
              <w:rPr>
                <w:sz w:val="20"/>
                <w:szCs w:val="20"/>
                <w:color w:val="auto"/>
              </w:rPr>
            </w:pPr>
            <w:r>
              <w:rPr>
                <w:rFonts w:ascii="Arial" w:cs="Arial" w:eastAsia="Arial" w:hAnsi="Arial"/>
                <w:sz w:val="17"/>
                <w:szCs w:val="17"/>
                <w:color w:val="auto"/>
                <w:w w:val="97"/>
              </w:rPr>
              <w:t>The Pledgee shall issue a default notice to the Pledgors as described in Section 7.3 above upon its exercise of the Pledge Rights.</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Subject to Section 7.3 above, the Pledgee may exercise the Pledge Rights at any time following its issuance of the default notice as described</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in Section 7.3.</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The Pledgee shall have the right to convert into money and sell all or part of the Equity hereunder subject to the statutory procedures, or to be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3"/>
              </w:rPr>
              <w:t>paid in priority from the money gained from auction or sale of such Equity, until full offset of the service costs and other payables unpaid</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under the Individual Agreements and full performance of other obligations under the Individual Agreements.</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40"/>
              <w:spacing w:after="0"/>
              <w:rPr>
                <w:sz w:val="20"/>
                <w:szCs w:val="20"/>
                <w:color w:val="auto"/>
              </w:rPr>
            </w:pPr>
            <w:r>
              <w:rPr>
                <w:rFonts w:ascii="Arial" w:cs="Arial" w:eastAsia="Arial" w:hAnsi="Arial"/>
                <w:sz w:val="17"/>
                <w:szCs w:val="17"/>
                <w:color w:val="auto"/>
                <w:w w:val="93"/>
              </w:rPr>
              <w:t>When the Pledgee exercises the Pledge Rights pursuant to this Agreement, the Pledgors and/or Party C shall not create any barrier or</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hindrance but shall offer necessary assistance, so as to facilitate the Pledgee’s realization of its Pledge Rights.</w:t>
            </w:r>
          </w:p>
        </w:tc>
      </w:tr>
    </w:tbl>
    <w:p>
      <w:pPr>
        <w:spacing w:after="0" w:line="183" w:lineRule="exact"/>
        <w:rPr>
          <w:sz w:val="20"/>
          <w:szCs w:val="20"/>
          <w:color w:val="auto"/>
        </w:rPr>
      </w:pPr>
    </w:p>
    <w:p>
      <w:pPr>
        <w:ind w:left="860" w:hanging="851"/>
        <w:spacing w:after="0"/>
        <w:tabs>
          <w:tab w:leader="none" w:pos="86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Transfer</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9.1</w:t>
            </w: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The Pledgors shall not transfer to any third party any of their rights or obligations hereunder without the Pledgee’s prior written and explicit</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consent.</w:t>
            </w:r>
          </w:p>
        </w:tc>
      </w:tr>
      <w:tr>
        <w:trPr>
          <w:trHeight w:val="3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9.2</w:t>
            </w:r>
          </w:p>
        </w:tc>
        <w:tc>
          <w:tcPr>
            <w:tcW w:w="9840" w:type="dxa"/>
            <w:vAlign w:val="bottom"/>
          </w:tcPr>
          <w:p>
            <w:pPr>
              <w:ind w:left="340"/>
              <w:spacing w:after="0"/>
              <w:rPr>
                <w:sz w:val="20"/>
                <w:szCs w:val="20"/>
                <w:color w:val="auto"/>
              </w:rPr>
            </w:pPr>
            <w:r>
              <w:rPr>
                <w:rFonts w:ascii="Arial" w:cs="Arial" w:eastAsia="Arial" w:hAnsi="Arial"/>
                <w:sz w:val="17"/>
                <w:szCs w:val="17"/>
                <w:color w:val="auto"/>
              </w:rPr>
              <w:t>This Agreement shall be binding upon the Pledgors and their successors and the Pledgee and its successors or assignees.</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9.3</w:t>
            </w: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The Pledgee may at any time transfer any or all of its rights or obligations under the Individual Agreements to any third party it specified,</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7"/>
              </w:rPr>
              <w:t>under which circumstance, the assignee shall accordingly have and bear the rights and obligations which the Pledgee have and bear hereunder.</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7"/>
              </w:rPr>
              <w:t>Upon the transfer by the Pledgee of the rights or obligations hereunder, the Pledgors shall, as requested by the Pledgee, sign the corresponding</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agreements and/or documents regarding the transfer thereof.</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9.4</w:t>
            </w:r>
          </w:p>
        </w:tc>
        <w:tc>
          <w:tcPr>
            <w:tcW w:w="9840" w:type="dxa"/>
            <w:vAlign w:val="bottom"/>
          </w:tcPr>
          <w:p>
            <w:pPr>
              <w:ind w:left="340"/>
              <w:spacing w:after="0"/>
              <w:rPr>
                <w:sz w:val="20"/>
                <w:szCs w:val="20"/>
                <w:color w:val="auto"/>
              </w:rPr>
            </w:pPr>
            <w:r>
              <w:rPr>
                <w:rFonts w:ascii="Arial" w:cs="Arial" w:eastAsia="Arial" w:hAnsi="Arial"/>
                <w:sz w:val="17"/>
                <w:szCs w:val="17"/>
                <w:color w:val="auto"/>
                <w:w w:val="87"/>
              </w:rPr>
              <w:t>In case there is a change of the Pledgee due to the transfer of the rights or obligations as described in Section 9.3 above, the substitute Pledgee</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and the Pledgors shall re-sign the pledge agreement and the Pledgors shall be responsible for handling all applicable registration formalities.</w:t>
            </w:r>
          </w:p>
        </w:tc>
      </w:tr>
    </w:tbl>
    <w:p>
      <w:pPr>
        <w:spacing w:after="0" w:line="183" w:lineRule="exact"/>
        <w:rPr>
          <w:sz w:val="20"/>
          <w:szCs w:val="20"/>
          <w:color w:val="auto"/>
        </w:rPr>
      </w:pPr>
    </w:p>
    <w:p>
      <w:pPr>
        <w:ind w:left="860" w:hanging="851"/>
        <w:spacing w:after="0"/>
        <w:tabs>
          <w:tab w:leader="none" w:pos="86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Charges and Other Costs</w:t>
      </w:r>
    </w:p>
    <w:p>
      <w:pPr>
        <w:spacing w:after="0" w:line="207" w:lineRule="exact"/>
        <w:rPr>
          <w:sz w:val="20"/>
          <w:szCs w:val="20"/>
          <w:color w:val="auto"/>
        </w:rPr>
      </w:pPr>
    </w:p>
    <w:p>
      <w:pPr>
        <w:ind w:left="840"/>
        <w:spacing w:after="0" w:line="264" w:lineRule="auto"/>
        <w:rPr>
          <w:sz w:val="20"/>
          <w:szCs w:val="20"/>
          <w:color w:val="auto"/>
        </w:rPr>
      </w:pPr>
      <w:r>
        <w:rPr>
          <w:rFonts w:ascii="Arial" w:cs="Arial" w:eastAsia="Arial" w:hAnsi="Arial"/>
          <w:sz w:val="17"/>
          <w:szCs w:val="17"/>
          <w:color w:val="auto"/>
        </w:rPr>
        <w:t>All costs and actual expenses related to this Agreement, including but not limited to the legal costs, print costs, stamp duty and any other tax and charges, shall be equally borne by the Pledgee and Party C.</w:t>
      </w:r>
    </w:p>
    <w:p>
      <w:pPr>
        <w:spacing w:after="0" w:line="164" w:lineRule="exact"/>
        <w:rPr>
          <w:sz w:val="20"/>
          <w:szCs w:val="20"/>
          <w:color w:val="auto"/>
        </w:rPr>
      </w:pPr>
    </w:p>
    <w:p>
      <w:pPr>
        <w:ind w:left="860" w:hanging="851"/>
        <w:spacing w:after="0"/>
        <w:tabs>
          <w:tab w:leader="none" w:pos="86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60960</wp:posOffset>
            </wp:positionV>
            <wp:extent cx="7184390"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00"/>
          </w:cols>
          <w:pgMar w:left="360" w:top="326" w:right="339" w:bottom="1440" w:gutter="0" w:footer="0" w:header="0"/>
        </w:sectPr>
      </w:pPr>
    </w:p>
    <w:bookmarkStart w:id="177" w:name="page178"/>
    <w:bookmarkEnd w:id="177"/>
    <w:tbl>
      <w:tblPr>
        <w:tblLayout w:type="fixed"/>
        <w:tblInd w:w="840" w:type="dxa"/>
        <w:tblCellMar>
          <w:top w:w="0" w:type="dxa"/>
          <w:left w:w="0" w:type="dxa"/>
          <w:bottom w:w="0" w:type="dxa"/>
          <w:right w:w="0" w:type="dxa"/>
        </w:tblCellMar>
      </w:tblPr>
      <w:tr>
        <w:trPr>
          <w:trHeight w:val="203"/>
        </w:trPr>
        <w:tc>
          <w:tcPr>
            <w:tcW w:w="560" w:type="dxa"/>
            <w:vAlign w:val="bottom"/>
          </w:tcPr>
          <w:p>
            <w:pPr>
              <w:jc w:val="right"/>
              <w:ind w:right="197"/>
              <w:spacing w:after="0"/>
              <w:rPr>
                <w:sz w:val="20"/>
                <w:szCs w:val="20"/>
                <w:color w:val="auto"/>
              </w:rPr>
            </w:pPr>
            <w:r>
              <w:rPr>
                <w:rFonts w:ascii="Arial" w:cs="Arial" w:eastAsia="Arial" w:hAnsi="Arial"/>
                <w:sz w:val="17"/>
                <w:szCs w:val="17"/>
                <w:color w:val="auto"/>
                <w:w w:val="78"/>
              </w:rPr>
              <w:t>11.1</w:t>
            </w:r>
          </w:p>
        </w:tc>
        <w:tc>
          <w:tcPr>
            <w:tcW w:w="9800" w:type="dxa"/>
            <w:vAlign w:val="bottom"/>
          </w:tcPr>
          <w:p>
            <w:pPr>
              <w:ind w:left="3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Force Majeure Events</w:t>
            </w:r>
            <w:r>
              <w:rPr>
                <w:rFonts w:ascii="Arial" w:cs="Arial" w:eastAsia="Arial" w:hAnsi="Arial"/>
                <w:sz w:val="17"/>
                <w:szCs w:val="17"/>
                <w:color w:val="auto"/>
                <w:w w:val="94"/>
              </w:rPr>
              <w:t>” mean any events beyond the reasonable control of one Party that are unavoidable by the affected Party with</w:t>
            </w:r>
          </w:p>
        </w:tc>
      </w:tr>
      <w:tr>
        <w:trPr>
          <w:trHeight w:val="199"/>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90"/>
              </w:rPr>
              <w:t>reasonable care, including but not limited to any acts of government, natural force, fire, explosion, storm, flood, earthquake, tide, lightning or</w:t>
            </w:r>
          </w:p>
        </w:tc>
      </w:tr>
      <w:tr>
        <w:trPr>
          <w:trHeight w:val="199"/>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87"/>
              </w:rPr>
              <w:t>war, provided that any credit, capital or financing shortage shall not be deemed to be the event beyond the reasonable control of one Party. The</w:t>
            </w:r>
          </w:p>
        </w:tc>
      </w:tr>
      <w:tr>
        <w:trPr>
          <w:trHeight w:val="195"/>
        </w:trPr>
        <w:tc>
          <w:tcPr>
            <w:tcW w:w="560" w:type="dxa"/>
            <w:vAlign w:val="bottom"/>
          </w:tcPr>
          <w:p>
            <w:pPr>
              <w:spacing w:after="0"/>
              <w:rPr>
                <w:sz w:val="16"/>
                <w:szCs w:val="16"/>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rPr>
              <w:t>Party affected by any Force Majeure Events (hereinafter</w:t>
            </w:r>
          </w:p>
        </w:tc>
      </w:tr>
      <w:tr>
        <w:trPr>
          <w:trHeight w:val="203"/>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91"/>
              </w:rPr>
              <w:t>referred to as “</w:t>
            </w:r>
            <w:r>
              <w:rPr>
                <w:rFonts w:ascii="Arial" w:cs="Arial" w:eastAsia="Arial" w:hAnsi="Arial"/>
                <w:sz w:val="17"/>
                <w:szCs w:val="17"/>
                <w:b w:val="1"/>
                <w:bCs w:val="1"/>
                <w:color w:val="auto"/>
                <w:w w:val="91"/>
              </w:rPr>
              <w:t>Affected Party</w:t>
            </w:r>
            <w:r>
              <w:rPr>
                <w:rFonts w:ascii="Arial" w:cs="Arial" w:eastAsia="Arial" w:hAnsi="Arial"/>
                <w:sz w:val="17"/>
                <w:szCs w:val="17"/>
                <w:color w:val="auto"/>
                <w:w w:val="91"/>
              </w:rPr>
              <w:t>”) shall be exempted from its responsibility in whole or in part according to the effects of such Force Majeure</w:t>
            </w:r>
          </w:p>
        </w:tc>
      </w:tr>
      <w:tr>
        <w:trPr>
          <w:trHeight w:val="199"/>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90"/>
              </w:rPr>
              <w:t>Events on this Agreement, and the Affected Party who seeks exemption from its responsibility for the performance of this Agreement due to</w:t>
            </w:r>
          </w:p>
        </w:tc>
      </w:tr>
      <w:tr>
        <w:trPr>
          <w:trHeight w:val="199"/>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91"/>
              </w:rPr>
              <w:t>such Force Majeure Events shall notify the other Party of such Force Majeure Events not later than Ten (10) days after occurrence of such</w:t>
            </w:r>
          </w:p>
        </w:tc>
      </w:tr>
      <w:tr>
        <w:trPr>
          <w:trHeight w:val="199"/>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91"/>
              </w:rPr>
              <w:t>Force Majeure Events so that the Parties hereto negotiate about the amendment to this Agreement according to the effects of such Force</w:t>
            </w:r>
          </w:p>
        </w:tc>
      </w:tr>
      <w:tr>
        <w:trPr>
          <w:trHeight w:val="212"/>
        </w:trPr>
        <w:tc>
          <w:tcPr>
            <w:tcW w:w="56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rPr>
              <w:t>Majeure Events and exempt in whole or in part the Affected Party from its obligations under this Agreement.</w:t>
            </w:r>
          </w:p>
        </w:tc>
      </w:tr>
      <w:tr>
        <w:trPr>
          <w:trHeight w:val="386"/>
        </w:trPr>
        <w:tc>
          <w:tcPr>
            <w:tcW w:w="560" w:type="dxa"/>
            <w:vAlign w:val="bottom"/>
          </w:tcPr>
          <w:p>
            <w:pPr>
              <w:jc w:val="right"/>
              <w:ind w:right="197"/>
              <w:spacing w:after="0"/>
              <w:rPr>
                <w:sz w:val="20"/>
                <w:szCs w:val="20"/>
                <w:color w:val="auto"/>
              </w:rPr>
            </w:pPr>
            <w:r>
              <w:rPr>
                <w:rFonts w:ascii="Arial" w:cs="Arial" w:eastAsia="Arial" w:hAnsi="Arial"/>
                <w:sz w:val="17"/>
                <w:szCs w:val="17"/>
                <w:color w:val="auto"/>
                <w:w w:val="78"/>
              </w:rPr>
              <w:t>11.2</w:t>
            </w:r>
          </w:p>
        </w:tc>
        <w:tc>
          <w:tcPr>
            <w:tcW w:w="9800" w:type="dxa"/>
            <w:vAlign w:val="bottom"/>
          </w:tcPr>
          <w:p>
            <w:pPr>
              <w:ind w:left="30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88"/>
              </w:rPr>
              <w:t>performance of its obligations delayed or hindered by such Force Majeure Events. Once such Force Majeure Events are eliminated, the Parties</w:t>
            </w:r>
          </w:p>
        </w:tc>
      </w:tr>
      <w:tr>
        <w:trPr>
          <w:trHeight w:val="212"/>
        </w:trPr>
        <w:tc>
          <w:tcPr>
            <w:tcW w:w="56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98"/>
              </w:rPr>
              <w:t>hereto agree that they shall use their best efforts to restore the performance of their rights and obligations under this Agreement.</w:t>
            </w:r>
          </w:p>
        </w:tc>
      </w:tr>
    </w:tbl>
    <w:p>
      <w:pPr>
        <w:spacing w:after="0" w:line="183" w:lineRule="exact"/>
        <w:rPr>
          <w:sz w:val="20"/>
          <w:szCs w:val="20"/>
          <w:color w:val="auto"/>
        </w:rPr>
      </w:pPr>
    </w:p>
    <w:p>
      <w:pPr>
        <w:ind w:left="860" w:hanging="851"/>
        <w:spacing w:after="0"/>
        <w:tabs>
          <w:tab w:leader="none" w:pos="86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Settlement</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560" w:type="dxa"/>
            <w:vAlign w:val="bottom"/>
          </w:tcPr>
          <w:p>
            <w:pPr>
              <w:jc w:val="right"/>
              <w:ind w:right="197"/>
              <w:spacing w:after="0"/>
              <w:rPr>
                <w:sz w:val="20"/>
                <w:szCs w:val="20"/>
                <w:color w:val="auto"/>
              </w:rPr>
            </w:pPr>
            <w:r>
              <w:rPr>
                <w:rFonts w:ascii="Arial" w:cs="Arial" w:eastAsia="Arial" w:hAnsi="Arial"/>
                <w:sz w:val="17"/>
                <w:szCs w:val="17"/>
                <w:color w:val="auto"/>
                <w:w w:val="78"/>
              </w:rPr>
              <w:t>12.1</w:t>
            </w:r>
          </w:p>
        </w:tc>
        <w:tc>
          <w:tcPr>
            <w:tcW w:w="9800" w:type="dxa"/>
            <w:vAlign w:val="bottom"/>
          </w:tcPr>
          <w:p>
            <w:pPr>
              <w:ind w:left="30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tc>
      </w:tr>
      <w:tr>
        <w:trPr>
          <w:trHeight w:val="386"/>
        </w:trPr>
        <w:tc>
          <w:tcPr>
            <w:tcW w:w="560" w:type="dxa"/>
            <w:vAlign w:val="bottom"/>
          </w:tcPr>
          <w:p>
            <w:pPr>
              <w:jc w:val="right"/>
              <w:ind w:right="197"/>
              <w:spacing w:after="0"/>
              <w:rPr>
                <w:sz w:val="20"/>
                <w:szCs w:val="20"/>
                <w:color w:val="auto"/>
              </w:rPr>
            </w:pPr>
            <w:r>
              <w:rPr>
                <w:rFonts w:ascii="Arial" w:cs="Arial" w:eastAsia="Arial" w:hAnsi="Arial"/>
                <w:sz w:val="17"/>
                <w:szCs w:val="17"/>
                <w:color w:val="auto"/>
                <w:w w:val="78"/>
              </w:rPr>
              <w:t>12.2</w:t>
            </w:r>
          </w:p>
        </w:tc>
        <w:tc>
          <w:tcPr>
            <w:tcW w:w="9800" w:type="dxa"/>
            <w:vAlign w:val="bottom"/>
          </w:tcPr>
          <w:p>
            <w:pPr>
              <w:ind w:left="30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88"/>
              </w:rPr>
              <w:t>resolve such disputes through consultation in good faith. If such disputes cannot be resolved through consultation, any Party may submit such</w:t>
            </w:r>
          </w:p>
        </w:tc>
      </w:tr>
      <w:tr>
        <w:trPr>
          <w:trHeight w:val="199"/>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95"/>
              </w:rPr>
              <w:t>arbitration rules of such Commission in force. The place of arbitration shall be Beijing, and the language to be used in the arbitration</w:t>
            </w:r>
          </w:p>
        </w:tc>
      </w:tr>
      <w:tr>
        <w:trPr>
          <w:trHeight w:val="199"/>
        </w:trPr>
        <w:tc>
          <w:tcPr>
            <w:tcW w:w="560" w:type="dxa"/>
            <w:vAlign w:val="bottom"/>
          </w:tcPr>
          <w:p>
            <w:pPr>
              <w:spacing w:after="0"/>
              <w:rPr>
                <w:sz w:val="17"/>
                <w:szCs w:val="17"/>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Section shall be affected by</w:t>
            </w:r>
          </w:p>
        </w:tc>
      </w:tr>
      <w:tr>
        <w:trPr>
          <w:trHeight w:val="212"/>
        </w:trPr>
        <w:tc>
          <w:tcPr>
            <w:tcW w:w="56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60" w:type="dxa"/>
            <w:vAlign w:val="bottom"/>
          </w:tcPr>
          <w:p>
            <w:pPr>
              <w:jc w:val="right"/>
              <w:ind w:right="197"/>
              <w:spacing w:after="0"/>
              <w:rPr>
                <w:sz w:val="20"/>
                <w:szCs w:val="20"/>
                <w:color w:val="auto"/>
              </w:rPr>
            </w:pPr>
            <w:r>
              <w:rPr>
                <w:rFonts w:ascii="Arial" w:cs="Arial" w:eastAsia="Arial" w:hAnsi="Arial"/>
                <w:sz w:val="17"/>
                <w:szCs w:val="17"/>
                <w:color w:val="auto"/>
                <w:w w:val="78"/>
              </w:rPr>
              <w:t>12.3</w:t>
            </w:r>
          </w:p>
        </w:tc>
        <w:tc>
          <w:tcPr>
            <w:tcW w:w="9800" w:type="dxa"/>
            <w:vAlign w:val="bottom"/>
          </w:tcPr>
          <w:p>
            <w:pPr>
              <w:ind w:left="300"/>
              <w:spacing w:after="0"/>
              <w:rPr>
                <w:sz w:val="20"/>
                <w:szCs w:val="20"/>
                <w:color w:val="auto"/>
              </w:rPr>
            </w:pPr>
            <w:r>
              <w:rPr>
                <w:rFonts w:ascii="Arial" w:cs="Arial" w:eastAsia="Arial" w:hAnsi="Arial"/>
                <w:sz w:val="17"/>
                <w:szCs w:val="17"/>
                <w:color w:val="auto"/>
                <w:w w:val="92"/>
              </w:rPr>
              <w:t>Except for any matters disputed by the Parties hereto, the Parties hereto shall continue to perform their respective obligations under this</w:t>
            </w:r>
          </w:p>
        </w:tc>
      </w:tr>
      <w:tr>
        <w:trPr>
          <w:trHeight w:val="212"/>
        </w:trPr>
        <w:tc>
          <w:tcPr>
            <w:tcW w:w="56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51"/>
        <w:spacing w:after="0"/>
        <w:tabs>
          <w:tab w:leader="none" w:pos="86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sz w:val="20"/>
          <w:szCs w:val="20"/>
          <w:color w:val="auto"/>
        </w:rPr>
      </w:pPr>
    </w:p>
    <w:p>
      <w:pPr>
        <w:jc w:val="both"/>
        <w:ind w:left="840"/>
        <w:spacing w:after="0" w:line="254" w:lineRule="auto"/>
        <w:rPr>
          <w:sz w:val="20"/>
          <w:szCs w:val="20"/>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200" w:lineRule="exact"/>
        <w:rPr>
          <w:sz w:val="20"/>
          <w:szCs w:val="20"/>
          <w:color w:val="auto"/>
        </w:rPr>
      </w:pPr>
    </w:p>
    <w:p>
      <w:pPr>
        <w:spacing w:after="0" w:line="20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Party A,</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Address: No. 36 Courtyard, Chuangyuan Road, Building No. 6, Laiguangying, Chaoyang District, Beijing, China</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Tel.:</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Attn.: LIU Tongbo</w:t>
      </w:r>
    </w:p>
    <w:p>
      <w:pPr>
        <w:spacing w:after="0" w:line="200" w:lineRule="exact"/>
        <w:rPr>
          <w:sz w:val="20"/>
          <w:szCs w:val="20"/>
          <w:color w:val="auto"/>
        </w:rPr>
      </w:pPr>
    </w:p>
    <w:p>
      <w:pPr>
        <w:spacing w:after="0" w:line="20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Party B and Party C:</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Address: Building No. 4, Chaolai Science and Technology Park, Laiguangying, Chaoyang District, Beijing, China</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Tel.:</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Attn.: CHENG Xinhui</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60960</wp:posOffset>
            </wp:positionV>
            <wp:extent cx="7184390"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00"/>
          </w:cols>
          <w:pgMar w:left="360" w:top="322" w:right="339" w:bottom="1440" w:gutter="0" w:footer="0" w:header="0"/>
        </w:sectPr>
      </w:pPr>
    </w:p>
    <w:bookmarkStart w:id="178" w:name="page179"/>
    <w:bookmarkEnd w:id="178"/>
    <w:p>
      <w:pPr>
        <w:ind w:left="860" w:hanging="851"/>
        <w:spacing w:after="0"/>
        <w:tabs>
          <w:tab w:leader="none" w:pos="86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Annex</w:t>
      </w:r>
    </w:p>
    <w:p>
      <w:pPr>
        <w:spacing w:after="0" w:line="20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annexes hereto shall form part of this Agreement.</w:t>
      </w:r>
    </w:p>
    <w:p>
      <w:pPr>
        <w:spacing w:after="0" w:line="199" w:lineRule="exact"/>
        <w:rPr>
          <w:sz w:val="20"/>
          <w:szCs w:val="20"/>
          <w:color w:val="auto"/>
        </w:rPr>
      </w:pPr>
    </w:p>
    <w:p>
      <w:pPr>
        <w:ind w:left="860" w:hanging="851"/>
        <w:spacing w:after="0"/>
        <w:tabs>
          <w:tab w:leader="none" w:pos="86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207" w:lineRule="exact"/>
        <w:rPr>
          <w:sz w:val="20"/>
          <w:szCs w:val="20"/>
          <w:color w:val="auto"/>
        </w:rPr>
      </w:pPr>
    </w:p>
    <w:p>
      <w:pPr>
        <w:jc w:val="both"/>
        <w:ind w:left="840"/>
        <w:spacing w:after="0" w:line="254" w:lineRule="auto"/>
        <w:rPr>
          <w:sz w:val="20"/>
          <w:szCs w:val="20"/>
          <w:color w:val="auto"/>
        </w:rPr>
      </w:pPr>
      <w:r>
        <w:rPr>
          <w:rFonts w:ascii="Arial" w:cs="Arial" w:eastAsia="Arial" w:hAnsi="Arial"/>
          <w:sz w:val="17"/>
          <w:szCs w:val="17"/>
          <w:color w:val="auto"/>
        </w:rPr>
        <w:t>The Pledgee’s failure to exercise or delayed exercise of any rights, remedies, powers or privileges hereunder shall not be deemed to be waiver of such rights, remedies, powers or privileges. The Pledgee’s single or partial exercise of any rights, remedies, powers or privileges shall not exclude its exercise of any other rights, remedies, powers or privileges.</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rights, remedies, powers and privileges hereunder are cumulative and in addition to any other rights, remedies, powers and privileges under any law.</w:t>
      </w:r>
    </w:p>
    <w:p>
      <w:pPr>
        <w:spacing w:after="0" w:line="222" w:lineRule="exact"/>
        <w:rPr>
          <w:sz w:val="20"/>
          <w:szCs w:val="20"/>
          <w:color w:val="auto"/>
        </w:rPr>
      </w:pPr>
    </w:p>
    <w:p>
      <w:pPr>
        <w:ind w:left="860" w:hanging="851"/>
        <w:spacing w:after="0"/>
        <w:tabs>
          <w:tab w:leader="none" w:pos="86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p>
      <w:pPr>
        <w:jc w:val="both"/>
        <w:ind w:left="1700" w:hanging="859"/>
        <w:spacing w:after="0" w:line="264" w:lineRule="auto"/>
        <w:tabs>
          <w:tab w:leader="none" w:pos="168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7"/>
          <w:szCs w:val="17"/>
          <w:color w:val="auto"/>
        </w:rPr>
        <w:t>Any modification or supplementation of or amendment to this Agreement shall be in writing and be effective only after being sealed and signed by the Parties hereto.</w:t>
      </w:r>
    </w:p>
    <w:p>
      <w:pPr>
        <w:spacing w:after="0" w:line="168" w:lineRule="exact"/>
        <w:rPr>
          <w:sz w:val="20"/>
          <w:szCs w:val="20"/>
          <w:color w:val="auto"/>
        </w:rPr>
      </w:pPr>
    </w:p>
    <w:p>
      <w:pPr>
        <w:jc w:val="both"/>
        <w:ind w:left="1700" w:hanging="859"/>
        <w:spacing w:after="0" w:line="251" w:lineRule="auto"/>
        <w:tabs>
          <w:tab w:leader="none" w:pos="168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7"/>
          <w:szCs w:val="17"/>
          <w:color w:val="auto"/>
        </w:rPr>
        <w:t>The Parties hereby acknowledge that this Agreement shall be a fair and reasonable agreement reached by the Parties hereto on the basis of equality and mutual benefit. In case any provision hereof becomes invalid or cannot be enforced due to conflict with any applicable law, such provision shall be invalid or unenforceable to the sole extent of the jurisdiction of such applicable law and shall in no way influence the legal force of the remaining provisions of this Agreement.</w:t>
      </w:r>
    </w:p>
    <w:p>
      <w:pPr>
        <w:spacing w:after="0" w:line="179" w:lineRule="exact"/>
        <w:rPr>
          <w:sz w:val="20"/>
          <w:szCs w:val="20"/>
          <w:color w:val="auto"/>
        </w:rPr>
      </w:pPr>
    </w:p>
    <w:p>
      <w:pPr>
        <w:jc w:val="both"/>
        <w:ind w:left="1700" w:hanging="859"/>
        <w:spacing w:after="0" w:line="251" w:lineRule="auto"/>
        <w:tabs>
          <w:tab w:leader="none" w:pos="168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7"/>
          <w:szCs w:val="17"/>
          <w:color w:val="auto"/>
        </w:rPr>
        <w:t>The Parties hereto agree that in case of any change to Party C’s shareholding structure or any addition or deduction of any of Party C’s shareholders, Party A, Party C and Party C’s then-current shareholders shall re-sign this Agreement, and as of the effective date of the Equity Interest Pledge Agreement re-entered into by and among the foregoing parties, this Agreement will automatically terminate and become invalid.</w:t>
      </w:r>
    </w:p>
    <w:p>
      <w:pPr>
        <w:spacing w:after="0" w:line="179" w:lineRule="exact"/>
        <w:rPr>
          <w:sz w:val="20"/>
          <w:szCs w:val="20"/>
          <w:color w:val="auto"/>
        </w:rPr>
      </w:pPr>
    </w:p>
    <w:p>
      <w:pPr>
        <w:ind w:left="840"/>
        <w:spacing w:after="0"/>
        <w:tabs>
          <w:tab w:leader="none" w:pos="168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5"/>
          <w:szCs w:val="15"/>
          <w:color w:val="auto"/>
        </w:rPr>
        <w:t>This Agreement is written in Chinese and is executed in Four (4) original copies.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60960</wp:posOffset>
            </wp:positionV>
            <wp:extent cx="7184390"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00"/>
          </w:cols>
          <w:pgMar w:left="360" w:top="721" w:right="339" w:bottom="1440" w:gutter="0" w:footer="0" w:header="0"/>
        </w:sectPr>
      </w:pPr>
    </w:p>
    <w:bookmarkStart w:id="179" w:name="page180"/>
    <w:bookmarkEnd w:id="179"/>
    <w:p>
      <w:pPr>
        <w:jc w:val="right"/>
        <w:ind w:right="1919"/>
        <w:spacing w:after="0"/>
        <w:rPr>
          <w:sz w:val="20"/>
          <w:szCs w:val="20"/>
          <w:color w:val="auto"/>
        </w:rPr>
      </w:pPr>
      <w:r>
        <w:rPr>
          <w:rFonts w:ascii="Arial" w:cs="Arial" w:eastAsia="Arial" w:hAnsi="Arial"/>
          <w:sz w:val="17"/>
          <w:szCs w:val="17"/>
          <w:b w:val="1"/>
          <w:bCs w:val="1"/>
          <w:color w:val="auto"/>
        </w:rPr>
        <w:t>[This page is the signature page to the Equity Interest Pledge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CHENG Xinhui</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CHENG Xinhui</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JIANG Tao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JIANG Tao</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CHENG Xinhui</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946785</wp:posOffset>
            </wp:positionV>
            <wp:extent cx="7184390"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180" w:name="page181"/>
    <w:bookmarkEnd w:id="180"/>
    <w:p>
      <w:pPr>
        <w:jc w:val="center"/>
        <w:ind w:right="40"/>
        <w:spacing w:after="0"/>
        <w:rPr>
          <w:sz w:val="20"/>
          <w:szCs w:val="20"/>
          <w:color w:val="auto"/>
        </w:rPr>
      </w:pPr>
      <w:r>
        <w:rPr>
          <w:rFonts w:ascii="Arial" w:cs="Arial" w:eastAsia="Arial" w:hAnsi="Arial"/>
          <w:sz w:val="17"/>
          <w:szCs w:val="17"/>
          <w:b w:val="1"/>
          <w:bCs w:val="1"/>
          <w:color w:val="auto"/>
        </w:rPr>
        <w:t>Equity Interest Pledge Agreement - Signature Page</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Annex I Pledgor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6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7"/>
                <w:szCs w:val="17"/>
                <w:color w:val="auto"/>
              </w:rPr>
              <w:t>ID Card No.</w:t>
            </w:r>
          </w:p>
        </w:tc>
        <w:tc>
          <w:tcPr>
            <w:tcW w:w="2840" w:type="dxa"/>
            <w:vAlign w:val="bottom"/>
          </w:tcPr>
          <w:p>
            <w:pPr>
              <w:spacing w:after="0"/>
              <w:rPr>
                <w:sz w:val="20"/>
                <w:szCs w:val="20"/>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CHENG Xinhui</w:t>
            </w:r>
          </w:p>
        </w:tc>
        <w:tc>
          <w:tcPr>
            <w:tcW w:w="216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JIANG Tao</w:t>
            </w:r>
          </w:p>
        </w:tc>
        <w:tc>
          <w:tcPr>
            <w:tcW w:w="216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695"/>
        </w:trPr>
        <w:tc>
          <w:tcPr>
            <w:tcW w:w="2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181" w:name="page182"/>
    <w:bookmarkEnd w:id="181"/>
    <w:p>
      <w:pPr>
        <w:jc w:val="center"/>
        <w:ind w:right="40"/>
        <w:spacing w:after="0"/>
        <w:rPr>
          <w:sz w:val="20"/>
          <w:szCs w:val="20"/>
          <w:color w:val="auto"/>
        </w:rPr>
      </w:pPr>
      <w:r>
        <w:rPr>
          <w:rFonts w:ascii="Arial" w:cs="Arial" w:eastAsia="Arial" w:hAnsi="Arial"/>
          <w:sz w:val="17"/>
          <w:szCs w:val="17"/>
          <w:b w:val="1"/>
          <w:bCs w:val="1"/>
          <w:color w:val="auto"/>
        </w:rPr>
        <w:t>Annex II Shareholding Structure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Amount of Contribution</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20"/>
                <w:szCs w:val="20"/>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CHENG Xinhui</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190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JIANG Tao</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Total</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200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894"/>
        </w:trPr>
        <w:tc>
          <w:tcPr>
            <w:tcW w:w="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182" w:name="page183"/>
    <w:bookmarkEnd w:id="182"/>
    <w:p>
      <w:pPr>
        <w:ind w:left="3780"/>
        <w:spacing w:after="0"/>
        <w:rPr>
          <w:sz w:val="20"/>
          <w:szCs w:val="20"/>
          <w:color w:val="auto"/>
        </w:rPr>
      </w:pPr>
      <w:r>
        <w:rPr>
          <w:rFonts w:ascii="Arial" w:cs="Arial" w:eastAsia="Arial" w:hAnsi="Arial"/>
          <w:sz w:val="17"/>
          <w:szCs w:val="17"/>
          <w:b w:val="1"/>
          <w:bCs w:val="1"/>
          <w:color w:val="auto"/>
        </w:rPr>
        <w:t>Annex III Form of Party C’s Shareholders’ Register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Company: Tianjin Shangde Online Education Technology Co., Ltd.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04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Full name of the</w:t>
            </w: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right w:val="single" w:sz="8" w:color="auto"/>
            </w:tcBorders>
            <w:gridSpan w:val="3"/>
          </w:tcPr>
          <w:p>
            <w:pPr>
              <w:jc w:val="right"/>
              <w:ind w:right="117"/>
              <w:spacing w:after="0"/>
              <w:rPr>
                <w:sz w:val="20"/>
                <w:szCs w:val="20"/>
                <w:color w:val="auto"/>
              </w:rPr>
            </w:pPr>
            <w:r>
              <w:rPr>
                <w:rFonts w:ascii="Arial" w:cs="Arial" w:eastAsia="Arial" w:hAnsi="Arial"/>
                <w:sz w:val="17"/>
                <w:szCs w:val="17"/>
                <w:b w:val="1"/>
                <w:bCs w:val="1"/>
                <w:color w:val="auto"/>
                <w:w w:val="95"/>
              </w:rPr>
              <w:t>[CHENG Xinhui]</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80" w:type="dxa"/>
            <w:vAlign w:val="bottom"/>
            <w:tcBorders>
              <w:top w:val="single" w:sz="8" w:color="auto"/>
              <w:right w:val="single" w:sz="8" w:color="auto"/>
            </w:tcBorders>
            <w:gridSpan w:val="5"/>
          </w:tcPr>
          <w:p>
            <w:pPr>
              <w:jc w:val="center"/>
              <w:ind w:right="117"/>
              <w:spacing w:after="0"/>
              <w:rPr>
                <w:sz w:val="20"/>
                <w:szCs w:val="20"/>
                <w:color w:val="auto"/>
              </w:rPr>
            </w:pPr>
            <w:r>
              <w:rPr>
                <w:rFonts w:ascii="Arial" w:cs="Arial" w:eastAsia="Arial" w:hAnsi="Arial"/>
                <w:sz w:val="17"/>
                <w:szCs w:val="17"/>
                <w:b w:val="1"/>
                <w:bCs w:val="1"/>
                <w:color w:val="auto"/>
                <w:w w:val="91"/>
              </w:rPr>
              <w:t>ID Card No./ Registration</w:t>
            </w: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0"/>
              </w:rPr>
              <w:t>[Occupa tion/]</w:t>
            </w:r>
          </w:p>
        </w:tc>
        <w:tc>
          <w:tcPr>
            <w:tcW w:w="160" w:type="dxa"/>
            <w:vAlign w:val="bottom"/>
            <w:tcBorders>
              <w:top w:val="single" w:sz="8" w:color="auto"/>
              <w:right w:val="single" w:sz="8" w:color="auto"/>
            </w:tcBorders>
          </w:tcPr>
          <w:p>
            <w:pPr>
              <w:spacing w:after="0"/>
              <w:rPr>
                <w:sz w:val="21"/>
                <w:szCs w:val="21"/>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Identity</w:t>
            </w:r>
          </w:p>
        </w:tc>
        <w:tc>
          <w:tcPr>
            <w:tcW w:w="24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Executive Director</w:t>
            </w: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Shareholder</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87"/>
              </w:rPr>
              <w:t>No.</w:t>
            </w: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42"/>
        </w:trPr>
        <w:tc>
          <w:tcPr>
            <w:tcW w:w="2040" w:type="dxa"/>
            <w:vAlign w:val="bottom"/>
            <w:tcBorders>
              <w:left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98"/>
              </w:rPr>
              <w:t>Address of Domicile</w:t>
            </w:r>
          </w:p>
        </w:tc>
        <w:tc>
          <w:tcPr>
            <w:tcW w:w="140" w:type="dxa"/>
            <w:vAlign w:val="bottom"/>
            <w:tcBorders>
              <w:right w:val="single" w:sz="8" w:color="auto"/>
            </w:tcBorders>
          </w:tcPr>
          <w:p>
            <w:pPr>
              <w:spacing w:after="0"/>
              <w:rPr>
                <w:sz w:val="21"/>
                <w:szCs w:val="21"/>
                <w:color w:val="auto"/>
              </w:rPr>
            </w:pPr>
          </w:p>
        </w:tc>
        <w:tc>
          <w:tcPr>
            <w:tcW w:w="200" w:type="dxa"/>
            <w:vAlign w:val="bottom"/>
            <w:gridSpan w:val="2"/>
          </w:tcPr>
          <w:p>
            <w:pPr>
              <w:jc w:val="right"/>
              <w:ind w:right="17"/>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737"/>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42"/>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2900" w:type="dxa"/>
            <w:vAlign w:val="bottom"/>
            <w:gridSpan w:val="7"/>
          </w:tcPr>
          <w:p>
            <w:pPr>
              <w:ind w:left="260"/>
              <w:spacing w:after="0"/>
              <w:rPr>
                <w:sz w:val="20"/>
                <w:szCs w:val="20"/>
                <w:color w:val="auto"/>
              </w:rPr>
            </w:pPr>
            <w:r>
              <w:rPr>
                <w:rFonts w:ascii="Arial" w:cs="Arial" w:eastAsia="Arial" w:hAnsi="Arial"/>
                <w:sz w:val="17"/>
                <w:szCs w:val="17"/>
                <w:b w:val="1"/>
                <w:bCs w:val="1"/>
                <w:color w:val="auto"/>
                <w:w w:val="88"/>
              </w:rPr>
              <w:t>Contribution Amount/ Consideration</w:t>
            </w:r>
          </w:p>
        </w:tc>
        <w:tc>
          <w:tcPr>
            <w:tcW w:w="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60" w:type="dxa"/>
            <w:vAlign w:val="bottom"/>
            <w:tcBorders>
              <w:right w:val="single" w:sz="8" w:color="auto"/>
            </w:tcBorders>
            <w:gridSpan w:val="5"/>
          </w:tcPr>
          <w:p>
            <w:pPr>
              <w:jc w:val="right"/>
              <w:ind w:right="417"/>
              <w:spacing w:after="0"/>
              <w:rPr>
                <w:sz w:val="20"/>
                <w:szCs w:val="20"/>
                <w:color w:val="auto"/>
              </w:rPr>
            </w:pPr>
            <w:r>
              <w:rPr>
                <w:rFonts w:ascii="Arial" w:cs="Arial" w:eastAsia="Arial" w:hAnsi="Arial"/>
                <w:sz w:val="17"/>
                <w:szCs w:val="17"/>
                <w:b w:val="1"/>
                <w:bCs w:val="1"/>
                <w:color w:val="auto"/>
              </w:rPr>
              <w:t>Shareholding Percentage</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Note</w:t>
            </w:r>
          </w:p>
        </w:tc>
        <w:tc>
          <w:tcPr>
            <w:tcW w:w="156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760" w:type="dxa"/>
            <w:vAlign w:val="bottom"/>
            <w:gridSpan w:val="6"/>
          </w:tcPr>
          <w:p>
            <w:pPr>
              <w:jc w:val="right"/>
              <w:ind w:right="940"/>
              <w:spacing w:after="0"/>
              <w:rPr>
                <w:sz w:val="20"/>
                <w:szCs w:val="20"/>
                <w:color w:val="auto"/>
              </w:rPr>
            </w:pPr>
            <w:r>
              <w:rPr>
                <w:rFonts w:ascii="Arial" w:cs="Arial" w:eastAsia="Arial" w:hAnsi="Arial"/>
                <w:sz w:val="17"/>
                <w:szCs w:val="17"/>
                <w:color w:val="auto"/>
              </w:rPr>
              <w:t>CNY [190]</w:t>
            </w:r>
          </w:p>
        </w:tc>
        <w:tc>
          <w:tcPr>
            <w:tcW w:w="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95]%</w:t>
            </w:r>
          </w:p>
        </w:tc>
        <w:tc>
          <w:tcPr>
            <w:tcW w:w="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3"/>
          </w:tcPr>
          <w:p>
            <w:pPr>
              <w:ind w:left="20"/>
              <w:spacing w:after="0"/>
              <w:rPr>
                <w:sz w:val="20"/>
                <w:szCs w:val="20"/>
                <w:color w:val="auto"/>
              </w:rPr>
            </w:pPr>
            <w:r>
              <w:rPr>
                <w:rFonts w:ascii="Arial" w:cs="Arial" w:eastAsia="Arial" w:hAnsi="Arial"/>
                <w:sz w:val="17"/>
                <w:szCs w:val="17"/>
                <w:color w:val="auto"/>
                <w:w w:val="91"/>
              </w:rPr>
              <w:t>100% of the equity being pledged to [</w:t>
            </w:r>
          </w:p>
        </w:tc>
        <w:tc>
          <w:tcPr>
            <w:tcW w:w="1560" w:type="dxa"/>
            <w:vAlign w:val="bottom"/>
            <w:tcBorders>
              <w:right w:val="single" w:sz="8" w:color="auto"/>
            </w:tcBorders>
          </w:tcPr>
          <w:p>
            <w:pPr>
              <w:jc w:val="right"/>
              <w:ind w:right="277"/>
              <w:spacing w:after="0"/>
              <w:rPr>
                <w:sz w:val="20"/>
                <w:szCs w:val="20"/>
                <w:color w:val="auto"/>
              </w:rPr>
            </w:pPr>
            <w:r>
              <w:rPr>
                <w:rFonts w:ascii="Arial" w:cs="Arial" w:eastAsia="Arial" w:hAnsi="Arial"/>
                <w:sz w:val="17"/>
                <w:szCs w:val="17"/>
                <w:color w:val="auto"/>
                <w:w w:val="98"/>
              </w:rPr>
              <w:t>Tianjin Studyvip</w:t>
            </w: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
          </w:tcPr>
          <w:p>
            <w:pPr>
              <w:ind w:left="780"/>
              <w:spacing w:after="0"/>
              <w:rPr>
                <w:sz w:val="20"/>
                <w:szCs w:val="20"/>
                <w:color w:val="auto"/>
              </w:rPr>
            </w:pPr>
            <w:r>
              <w:rPr>
                <w:rFonts w:ascii="Arial" w:cs="Arial" w:eastAsia="Arial" w:hAnsi="Arial"/>
                <w:sz w:val="17"/>
                <w:szCs w:val="17"/>
                <w:color w:val="auto"/>
                <w:w w:val="97"/>
              </w:rPr>
              <w:t>Education Co., Limited</w:t>
            </w:r>
          </w:p>
        </w:tc>
        <w:tc>
          <w:tcPr>
            <w:tcW w:w="1560" w:type="dxa"/>
            <w:vAlign w:val="bottom"/>
            <w:tcBorders>
              <w:right w:val="single" w:sz="8" w:color="auto"/>
            </w:tcBorders>
          </w:tcPr>
          <w:p>
            <w:pPr>
              <w:jc w:val="right"/>
              <w:ind w:right="1197"/>
              <w:spacing w:after="0"/>
              <w:rPr>
                <w:sz w:val="20"/>
                <w:szCs w:val="20"/>
                <w:color w:val="auto"/>
              </w:rPr>
            </w:pPr>
            <w:r>
              <w:rPr>
                <w:rFonts w:ascii="Arial" w:cs="Arial" w:eastAsia="Arial" w:hAnsi="Arial"/>
                <w:sz w:val="17"/>
                <w:szCs w:val="17"/>
                <w:color w:val="auto"/>
              </w:rPr>
              <w:t>]</w:t>
            </w: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491"/>
        </w:trPr>
        <w:tc>
          <w:tcPr>
            <w:tcW w:w="204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Full name of the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[JIANG Tao]</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6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7"/>
                <w:szCs w:val="17"/>
                <w:b w:val="1"/>
                <w:bCs w:val="1"/>
                <w:color w:val="auto"/>
                <w:w w:val="91"/>
              </w:rPr>
              <w:t>ID Card No./ Registration</w:t>
            </w:r>
          </w:p>
        </w:tc>
        <w:tc>
          <w:tcPr>
            <w:tcW w:w="60" w:type="dxa"/>
            <w:vAlign w:val="bottom"/>
          </w:tcPr>
          <w:p>
            <w:pPr>
              <w:spacing w:after="0"/>
              <w:rPr>
                <w:sz w:val="19"/>
                <w:szCs w:val="19"/>
                <w:color w:val="auto"/>
              </w:rPr>
            </w:pPr>
          </w:p>
        </w:tc>
        <w:tc>
          <w:tcPr>
            <w:tcW w:w="820" w:type="dxa"/>
            <w:vAlign w:val="bottom"/>
          </w:tcPr>
          <w:p>
            <w:pPr>
              <w:jc w:val="right"/>
              <w:ind w:right="377"/>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ind w:right="142"/>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Occupation/</w:t>
            </w:r>
          </w:p>
        </w:tc>
        <w:tc>
          <w:tcPr>
            <w:tcW w:w="90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Shareholder</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center"/>
              <w:ind w:left="37"/>
              <w:spacing w:after="0"/>
              <w:rPr>
                <w:sz w:val="20"/>
                <w:szCs w:val="20"/>
                <w:color w:val="auto"/>
              </w:rPr>
            </w:pPr>
            <w:r>
              <w:rPr>
                <w:rFonts w:ascii="Arial" w:cs="Arial" w:eastAsia="Arial" w:hAnsi="Arial"/>
                <w:sz w:val="17"/>
                <w:szCs w:val="17"/>
                <w:b w:val="1"/>
                <w:bCs w:val="1"/>
                <w:color w:val="auto"/>
                <w:w w:val="87"/>
              </w:rPr>
              <w:t>No.</w:t>
            </w:r>
          </w:p>
        </w:tc>
        <w:tc>
          <w:tcPr>
            <w:tcW w:w="5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Identity</w:t>
            </w:r>
          </w:p>
        </w:tc>
        <w:tc>
          <w:tcPr>
            <w:tcW w:w="9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50"/>
        </w:trPr>
        <w:tc>
          <w:tcPr>
            <w:tcW w:w="20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4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42"/>
        </w:trPr>
        <w:tc>
          <w:tcPr>
            <w:tcW w:w="2040" w:type="dxa"/>
            <w:vAlign w:val="bottom"/>
            <w:tcBorders>
              <w:left w:val="single" w:sz="8" w:color="auto"/>
            </w:tcBorders>
            <w:gridSpan w:val="2"/>
          </w:tcPr>
          <w:p>
            <w:pPr>
              <w:ind w:left="400"/>
              <w:spacing w:after="0"/>
              <w:rPr>
                <w:sz w:val="20"/>
                <w:szCs w:val="20"/>
                <w:color w:val="auto"/>
              </w:rPr>
            </w:pPr>
            <w:r>
              <w:rPr>
                <w:rFonts w:ascii="Arial" w:cs="Arial" w:eastAsia="Arial" w:hAnsi="Arial"/>
                <w:sz w:val="17"/>
                <w:szCs w:val="17"/>
                <w:b w:val="1"/>
                <w:bCs w:val="1"/>
                <w:color w:val="auto"/>
                <w:w w:val="97"/>
              </w:rPr>
              <w:t>Address of Domicile</w:t>
            </w:r>
          </w:p>
        </w:tc>
        <w:tc>
          <w:tcPr>
            <w:tcW w:w="1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657"/>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gridSpan w:val="2"/>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42"/>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2960" w:type="dxa"/>
            <w:vAlign w:val="bottom"/>
            <w:gridSpan w:val="8"/>
          </w:tcPr>
          <w:p>
            <w:pPr>
              <w:ind w:left="300"/>
              <w:spacing w:after="0"/>
              <w:rPr>
                <w:sz w:val="20"/>
                <w:szCs w:val="20"/>
                <w:color w:val="auto"/>
              </w:rPr>
            </w:pPr>
            <w:r>
              <w:rPr>
                <w:rFonts w:ascii="Arial" w:cs="Arial" w:eastAsia="Arial" w:hAnsi="Arial"/>
                <w:sz w:val="17"/>
                <w:szCs w:val="17"/>
                <w:b w:val="1"/>
                <w:bCs w:val="1"/>
                <w:color w:val="auto"/>
                <w:w w:val="89"/>
              </w:rPr>
              <w:t>Contribution Amount/ Consideration</w:t>
            </w:r>
          </w:p>
        </w:tc>
        <w:tc>
          <w:tcPr>
            <w:tcW w:w="2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gridSpan w:val="5"/>
          </w:tcPr>
          <w:p>
            <w:pPr>
              <w:jc w:val="right"/>
              <w:ind w:right="377"/>
              <w:spacing w:after="0"/>
              <w:rPr>
                <w:sz w:val="20"/>
                <w:szCs w:val="20"/>
                <w:color w:val="auto"/>
              </w:rPr>
            </w:pPr>
            <w:r>
              <w:rPr>
                <w:rFonts w:ascii="Arial" w:cs="Arial" w:eastAsia="Arial" w:hAnsi="Arial"/>
                <w:sz w:val="17"/>
                <w:szCs w:val="17"/>
                <w:b w:val="1"/>
                <w:bCs w:val="1"/>
                <w:color w:val="auto"/>
              </w:rPr>
              <w:t>Shareholding Percentage</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Arial" w:cs="Arial" w:eastAsia="Arial" w:hAnsi="Arial"/>
                <w:sz w:val="17"/>
                <w:szCs w:val="17"/>
                <w:b w:val="1"/>
                <w:bCs w:val="1"/>
                <w:color w:val="auto"/>
              </w:rPr>
              <w:t>Note</w:t>
            </w:r>
          </w:p>
        </w:tc>
        <w:tc>
          <w:tcPr>
            <w:tcW w:w="156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gridSpan w:val="2"/>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5"/>
          </w:tcPr>
          <w:p>
            <w:pPr>
              <w:jc w:val="right"/>
              <w:ind w:right="940"/>
              <w:spacing w:after="0"/>
              <w:rPr>
                <w:sz w:val="20"/>
                <w:szCs w:val="20"/>
                <w:color w:val="auto"/>
              </w:rPr>
            </w:pPr>
            <w:r>
              <w:rPr>
                <w:rFonts w:ascii="Arial" w:cs="Arial" w:eastAsia="Arial" w:hAnsi="Arial"/>
                <w:sz w:val="17"/>
                <w:szCs w:val="17"/>
                <w:color w:val="auto"/>
                <w:w w:val="95"/>
              </w:rPr>
              <w:t>CNY [10]</w:t>
            </w:r>
          </w:p>
        </w:tc>
        <w:tc>
          <w:tcPr>
            <w:tcW w:w="60" w:type="dxa"/>
            <w:vAlign w:val="bottom"/>
          </w:tcPr>
          <w:p>
            <w:pPr>
              <w:spacing w:after="0"/>
              <w:rPr>
                <w:sz w:val="19"/>
                <w:szCs w:val="19"/>
                <w:color w:val="auto"/>
              </w:rPr>
            </w:pPr>
          </w:p>
        </w:tc>
        <w:tc>
          <w:tcPr>
            <w:tcW w:w="280" w:type="dxa"/>
            <w:vAlign w:val="bottom"/>
            <w:tcBorders>
              <w:right w:val="single" w:sz="8" w:color="auto"/>
            </w:tcBorders>
            <w:gridSpan w:val="2"/>
          </w:tcPr>
          <w:p>
            <w:pPr>
              <w:spacing w:after="0"/>
              <w:rPr>
                <w:sz w:val="19"/>
                <w:szCs w:val="19"/>
                <w:color w:val="auto"/>
              </w:rPr>
            </w:pPr>
          </w:p>
        </w:tc>
        <w:tc>
          <w:tcPr>
            <w:tcW w:w="120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7"/>
                <w:szCs w:val="17"/>
                <w:color w:val="auto"/>
              </w:rPr>
              <w:t>5 ]%</w:t>
            </w:r>
          </w:p>
        </w:tc>
        <w:tc>
          <w:tcPr>
            <w:tcW w:w="8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3"/>
          </w:tcPr>
          <w:p>
            <w:pPr>
              <w:ind w:left="20"/>
              <w:spacing w:after="0"/>
              <w:rPr>
                <w:sz w:val="20"/>
                <w:szCs w:val="20"/>
                <w:color w:val="auto"/>
              </w:rPr>
            </w:pPr>
            <w:r>
              <w:rPr>
                <w:rFonts w:ascii="Arial" w:cs="Arial" w:eastAsia="Arial" w:hAnsi="Arial"/>
                <w:sz w:val="17"/>
                <w:szCs w:val="17"/>
                <w:color w:val="auto"/>
                <w:w w:val="91"/>
              </w:rPr>
              <w:t>100% of the equity being pledged to [</w:t>
            </w:r>
          </w:p>
        </w:tc>
        <w:tc>
          <w:tcPr>
            <w:tcW w:w="1560" w:type="dxa"/>
            <w:vAlign w:val="bottom"/>
            <w:tcBorders>
              <w:right w:val="single" w:sz="8" w:color="auto"/>
            </w:tcBorders>
          </w:tcPr>
          <w:p>
            <w:pPr>
              <w:jc w:val="right"/>
              <w:ind w:right="237"/>
              <w:spacing w:after="0"/>
              <w:rPr>
                <w:sz w:val="20"/>
                <w:szCs w:val="20"/>
                <w:color w:val="auto"/>
              </w:rPr>
            </w:pPr>
            <w:r>
              <w:rPr>
                <w:rFonts w:ascii="Arial" w:cs="Arial" w:eastAsia="Arial" w:hAnsi="Arial"/>
                <w:sz w:val="17"/>
                <w:szCs w:val="17"/>
                <w:color w:val="auto"/>
              </w:rPr>
              <w:t>Tianjin Studyvip</w:t>
            </w: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
          </w:tcPr>
          <w:p>
            <w:pPr>
              <w:ind w:left="760"/>
              <w:spacing w:after="0"/>
              <w:rPr>
                <w:sz w:val="20"/>
                <w:szCs w:val="20"/>
                <w:color w:val="auto"/>
              </w:rPr>
            </w:pPr>
            <w:r>
              <w:rPr>
                <w:rFonts w:ascii="Arial" w:cs="Arial" w:eastAsia="Arial" w:hAnsi="Arial"/>
                <w:sz w:val="17"/>
                <w:szCs w:val="17"/>
                <w:color w:val="auto"/>
                <w:w w:val="98"/>
              </w:rPr>
              <w:t>Education Co., Limited</w:t>
            </w:r>
          </w:p>
        </w:tc>
        <w:tc>
          <w:tcPr>
            <w:tcW w:w="1560" w:type="dxa"/>
            <w:vAlign w:val="bottom"/>
            <w:tcBorders>
              <w:right w:val="single" w:sz="8" w:color="auto"/>
            </w:tcBorders>
          </w:tcPr>
          <w:p>
            <w:pPr>
              <w:jc w:val="right"/>
              <w:ind w:right="1137"/>
              <w:spacing w:after="0"/>
              <w:rPr>
                <w:sz w:val="20"/>
                <w:szCs w:val="20"/>
                <w:color w:val="auto"/>
              </w:rPr>
            </w:pPr>
            <w:r>
              <w:rPr>
                <w:rFonts w:ascii="Arial" w:cs="Arial" w:eastAsia="Arial" w:hAnsi="Arial"/>
                <w:sz w:val="17"/>
                <w:szCs w:val="17"/>
                <w:color w:val="auto"/>
              </w:rPr>
              <w:t>]</w:t>
            </w: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Annotation:</w:t>
      </w:r>
    </w:p>
    <w:p>
      <w:pPr>
        <w:spacing w:after="0" w:line="203" w:lineRule="exact"/>
        <w:rPr>
          <w:sz w:val="20"/>
          <w:szCs w:val="20"/>
          <w:color w:val="auto"/>
        </w:rPr>
      </w:pPr>
    </w:p>
    <w:p>
      <w:pPr>
        <w:ind w:right="100"/>
        <w:spacing w:after="0" w:line="257" w:lineRule="auto"/>
        <w:tabs>
          <w:tab w:leader="none" w:pos="166"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This Shareholders’ Register is prepared as per the Articles of Association of Beijing Feibian Education Technology Co., Ltd. and the Equity Interest Pledge Agreement (the “Pledge Agreement”) was made as of 21st day of February, 2021 and entered into by and among Beijing Feibian Education Technology Co., Ltd. and its shareholders and Tianjin Studyvip Education Co., Limited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w:t>
      </w:r>
    </w:p>
    <w:p>
      <w:pPr>
        <w:spacing w:after="0" w:line="20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This Shareholders’ Register is made in ONE (1) original and ONE (1) true and same photocopy of such original. Such ONE (1) original is placed at Tianjin Shangde Online</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Education Technology Co., Ltd.; and such ONE (1) photocopy being sealed by Tianjin Shangde Online Education Technology Co., Ltd. is handed over to Tianjin Studyvip Education Co., Limited for custody.</w:t>
      </w:r>
    </w:p>
    <w:p>
      <w:pPr>
        <w:spacing w:after="0" w:line="359"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Beijing Feibian Education Technology Co., Ltd. (Seal)</w:t>
      </w:r>
    </w:p>
    <w:p>
      <w:pPr>
        <w:spacing w:after="0" w:line="207" w:lineRule="exact"/>
        <w:rPr>
          <w:sz w:val="20"/>
          <w:szCs w:val="20"/>
          <w:color w:val="auto"/>
        </w:rPr>
      </w:pPr>
    </w:p>
    <w:p>
      <w:pPr>
        <w:spacing w:after="0"/>
        <w:tabs>
          <w:tab w:leader="none" w:pos="3240" w:val="left"/>
        </w:tabs>
        <w:rPr>
          <w:sz w:val="20"/>
          <w:szCs w:val="20"/>
          <w:color w:val="auto"/>
        </w:rPr>
      </w:pPr>
      <w:r>
        <w:rPr>
          <w:rFonts w:ascii="Arial" w:cs="Arial" w:eastAsia="Arial" w:hAnsi="Arial"/>
          <w:sz w:val="17"/>
          <w:szCs w:val="17"/>
          <w:color w:val="auto"/>
        </w:rPr>
        <w:t>Legal Representative (Signature):</w:t>
      </w:r>
      <w:r>
        <w:rPr>
          <w:sz w:val="20"/>
          <w:szCs w:val="20"/>
          <w:color w:val="auto"/>
        </w:rPr>
        <w:tab/>
      </w:r>
      <w:r>
        <w:rPr>
          <w:rFonts w:ascii="Arial" w:cs="Arial" w:eastAsia="Arial" w:hAnsi="Arial"/>
          <w:sz w:val="15"/>
          <w:szCs w:val="15"/>
          <w:color w:val="auto"/>
        </w:rPr>
        <w:t>/s/ CHENG Xinhui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10160</wp:posOffset>
            </wp:positionV>
            <wp:extent cx="151066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151066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7"/>
          <w:szCs w:val="17"/>
          <w:b w:val="1"/>
          <w:bCs w:val="1"/>
          <w:color w:val="auto"/>
        </w:rPr>
        <w:t>Exhibit 4.21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Agreement</w:t>
      </w:r>
    </w:p>
    <w:p>
      <w:pPr>
        <w:spacing w:after="0" w:line="2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Option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21st day of February, 2021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Beijing Feibian Education Technology Co., Ltd.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Registered Address: 1063 Huihe South Street, M1161, 1</w:t>
      </w:r>
      <w:r>
        <w:rPr>
          <w:rFonts w:ascii="Arial" w:cs="Arial" w:eastAsia="Arial" w:hAnsi="Arial"/>
          <w:sz w:val="13"/>
          <w:szCs w:val="13"/>
          <w:color w:val="auto"/>
        </w:rPr>
        <w:t>st</w:t>
      </w:r>
      <w:r>
        <w:rPr>
          <w:rFonts w:ascii="Arial" w:cs="Arial" w:eastAsia="Arial" w:hAnsi="Arial"/>
          <w:sz w:val="16"/>
          <w:szCs w:val="16"/>
          <w:color w:val="auto"/>
        </w:rPr>
        <w:t xml:space="preserve"> Floor, Building No. 1, Banbidian Villiage, Gaobeidian County, Chaoyang District, Beijing, China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CHENG Xinhui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0" w:lineRule="exact"/>
        <w:rPr>
          <w:sz w:val="20"/>
          <w:szCs w:val="20"/>
          <w:color w:val="auto"/>
        </w:rPr>
      </w:pPr>
    </w:p>
    <w:p>
      <w:pPr>
        <w:spacing w:after="0" w:line="206" w:lineRule="exact"/>
        <w:rPr>
          <w:sz w:val="20"/>
          <w:szCs w:val="20"/>
          <w:color w:val="auto"/>
        </w:rPr>
      </w:pPr>
    </w:p>
    <w:p>
      <w:pPr>
        <w:ind w:left="540" w:hanging="491"/>
        <w:spacing w:after="0"/>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Party A is a wholly foreign-owned enterprise incorporated and existing under the laws of the PRC.</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Party C is a limited liability company incorporated and existing under the laws of the PRC.</w:t>
      </w:r>
    </w:p>
    <w:p>
      <w:pPr>
        <w:spacing w:after="0" w:line="199" w:lineRule="exact"/>
        <w:rPr>
          <w:rFonts w:ascii="Arial" w:cs="Arial" w:eastAsia="Arial" w:hAnsi="Arial"/>
          <w:sz w:val="17"/>
          <w:szCs w:val="17"/>
          <w:color w:val="auto"/>
        </w:rPr>
      </w:pPr>
    </w:p>
    <w:p>
      <w:pPr>
        <w:ind w:left="540" w:hanging="491"/>
        <w:spacing w:after="0"/>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Party B (“</w:t>
      </w:r>
      <w:r>
        <w:rPr>
          <w:rFonts w:ascii="Arial" w:cs="Arial" w:eastAsia="Arial" w:hAnsi="Arial"/>
          <w:sz w:val="17"/>
          <w:szCs w:val="17"/>
          <w:b w:val="1"/>
          <w:bCs w:val="1"/>
          <w:color w:val="auto"/>
        </w:rPr>
        <w:t>Grantors</w:t>
      </w:r>
      <w:r>
        <w:rPr>
          <w:rFonts w:ascii="Arial" w:cs="Arial" w:eastAsia="Arial" w:hAnsi="Arial"/>
          <w:sz w:val="17"/>
          <w:szCs w:val="17"/>
          <w:color w:val="auto"/>
        </w:rPr>
        <w:t>”) directly hold their interests in Party C, and the shareholdings are shown in Annex II hereto.</w:t>
      </w:r>
    </w:p>
    <w:p>
      <w:pPr>
        <w:spacing w:after="0" w:line="207" w:lineRule="exact"/>
        <w:rPr>
          <w:rFonts w:ascii="Arial" w:cs="Arial" w:eastAsia="Arial" w:hAnsi="Arial"/>
          <w:sz w:val="17"/>
          <w:szCs w:val="17"/>
          <w:color w:val="auto"/>
        </w:rPr>
      </w:pPr>
    </w:p>
    <w:p>
      <w:pPr>
        <w:ind w:left="540" w:hanging="491"/>
        <w:spacing w:after="0"/>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Parties hereto signed the Equity Pledge Agreement on the 21st day of February, 2021.</w:t>
      </w:r>
    </w:p>
    <w:p>
      <w:pPr>
        <w:spacing w:after="0" w:line="203" w:lineRule="exact"/>
        <w:rPr>
          <w:rFonts w:ascii="Arial" w:cs="Arial" w:eastAsia="Arial" w:hAnsi="Arial"/>
          <w:sz w:val="17"/>
          <w:szCs w:val="17"/>
          <w:color w:val="auto"/>
        </w:rPr>
      </w:pPr>
    </w:p>
    <w:p>
      <w:pPr>
        <w:ind w:left="540" w:hanging="491"/>
        <w:spacing w:after="0" w:line="264" w:lineRule="auto"/>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Party B intends to grant Party A or its designated qualified subject an exclusive option to purchase all or part of the shares/assets of Party C held by any or all of Grantors at any time subject to compliance with the requirements of Chinese laws.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Therefore, this Agreement is entered into by and among the Parties as follows:</w:t>
      </w:r>
    </w:p>
    <w:p>
      <w:pPr>
        <w:spacing w:after="0" w:line="199" w:lineRule="exact"/>
        <w:rPr>
          <w:sz w:val="20"/>
          <w:szCs w:val="20"/>
          <w:color w:val="auto"/>
        </w:rPr>
      </w:pPr>
    </w:p>
    <w:p>
      <w:pPr>
        <w:ind w:left="680" w:hanging="631"/>
        <w:spacing w:after="0"/>
        <w:tabs>
          <w:tab w:leader="none" w:pos="68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Granting of the Option</w:t>
      </w:r>
    </w:p>
    <w:p>
      <w:pPr>
        <w:spacing w:after="0" w:line="20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Granting</w:t>
      </w:r>
    </w:p>
    <w:p>
      <w:pPr>
        <w:spacing w:after="0" w:line="203" w:lineRule="exact"/>
        <w:rPr>
          <w:sz w:val="20"/>
          <w:szCs w:val="20"/>
          <w:color w:val="auto"/>
        </w:rPr>
      </w:pPr>
    </w:p>
    <w:p>
      <w:pPr>
        <w:jc w:val="both"/>
        <w:ind w:left="1520" w:firstLine="1"/>
        <w:spacing w:after="0" w:line="254" w:lineRule="auto"/>
        <w:rPr>
          <w:sz w:val="20"/>
          <w:szCs w:val="20"/>
          <w:color w:val="auto"/>
        </w:rPr>
      </w:pPr>
      <w:r>
        <w:rPr>
          <w:rFonts w:ascii="Arial" w:cs="Arial" w:eastAsia="Arial" w:hAnsi="Arial"/>
          <w:sz w:val="17"/>
          <w:szCs w:val="17"/>
          <w:color w:val="auto"/>
        </w:rPr>
        <w:t>Grantors agree that, on the date of signing this Agreement, they shall irrevocably grant Party A an option to purchase in installments or lump sum all their shares in Party C by Party A or its designated third party in such way of exercise as stipulated in Section 2.2 hereof. Such option shall be granted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184390"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4" w:name="page185"/>
    <w:bookmarkEnd w:id="184"/>
    <w:p>
      <w:pPr>
        <w:ind w:left="1471"/>
        <w:spacing w:after="0"/>
        <w:rPr>
          <w:sz w:val="20"/>
          <w:szCs w:val="20"/>
          <w:color w:val="auto"/>
        </w:rPr>
      </w:pPr>
      <w:r>
        <w:rPr>
          <w:rFonts w:ascii="Arial" w:cs="Arial" w:eastAsia="Arial" w:hAnsi="Arial"/>
          <w:sz w:val="16"/>
          <w:szCs w:val="16"/>
          <w:color w:val="auto"/>
        </w:rPr>
        <w:t>Party A after this Agreement is signed by the Parties hereto and shall be irrevocable within the term of this Agreement once granted.</w:t>
      </w:r>
    </w:p>
    <w:p>
      <w:pPr>
        <w:spacing w:after="0" w:line="215"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3"/>
          <w:szCs w:val="13"/>
          <w:color w:val="auto"/>
        </w:rPr>
        <w:t>Term</w:t>
      </w:r>
    </w:p>
    <w:p>
      <w:pPr>
        <w:spacing w:after="0" w:line="203" w:lineRule="exact"/>
        <w:rPr>
          <w:sz w:val="20"/>
          <w:szCs w:val="20"/>
          <w:color w:val="auto"/>
        </w:rPr>
      </w:pPr>
    </w:p>
    <w:p>
      <w:pPr>
        <w:ind w:left="1471" w:firstLine="1"/>
        <w:spacing w:after="0" w:line="264" w:lineRule="auto"/>
        <w:rPr>
          <w:sz w:val="20"/>
          <w:szCs w:val="20"/>
          <w:color w:val="auto"/>
        </w:rPr>
      </w:pPr>
      <w:r>
        <w:rPr>
          <w:rFonts w:ascii="Arial" w:cs="Arial" w:eastAsia="Arial" w:hAnsi="Arial"/>
          <w:sz w:val="17"/>
          <w:szCs w:val="17"/>
          <w:color w:val="auto"/>
        </w:rPr>
        <w:t>This Agreement shall take effect after being signed and/or sealed by the parties hereto, and shall not be terminated until Party A acquires all shares of Party C held by Grantors subject to the applicable laws of the PRC.</w:t>
      </w:r>
    </w:p>
    <w:p>
      <w:pPr>
        <w:spacing w:after="0" w:line="164" w:lineRule="exact"/>
        <w:rPr>
          <w:sz w:val="20"/>
          <w:szCs w:val="20"/>
          <w:color w:val="auto"/>
        </w:rPr>
      </w:pPr>
    </w:p>
    <w:p>
      <w:pPr>
        <w:ind w:left="631" w:hanging="631"/>
        <w:spacing w:after="0"/>
        <w:tabs>
          <w:tab w:leader="none" w:pos="631"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Option and Delivery</w:t>
      </w:r>
    </w:p>
    <w:p>
      <w:pPr>
        <w:spacing w:after="0" w:line="203"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3"/>
          <w:szCs w:val="13"/>
          <w:b w:val="1"/>
          <w:bCs w:val="1"/>
          <w:color w:val="auto"/>
        </w:rPr>
        <w:t>Time of Exercise</w:t>
      </w:r>
    </w:p>
    <w:p>
      <w:pPr>
        <w:spacing w:after="0" w:line="207" w:lineRule="exact"/>
        <w:rPr>
          <w:sz w:val="20"/>
          <w:szCs w:val="20"/>
          <w:color w:val="auto"/>
        </w:rPr>
      </w:pPr>
    </w:p>
    <w:p>
      <w:pPr>
        <w:jc w:val="both"/>
        <w:ind w:left="2331" w:hanging="859"/>
        <w:spacing w:after="0" w:line="264" w:lineRule="auto"/>
        <w:tabs>
          <w:tab w:leader="none" w:pos="231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Grantors unanimously agree that Party A may exercise the option in whole or in part at any time within the term of this Agreement subject to the applicable laws of the PRC;</w:t>
      </w:r>
    </w:p>
    <w:p>
      <w:pPr>
        <w:spacing w:after="0" w:line="168" w:lineRule="exact"/>
        <w:rPr>
          <w:sz w:val="20"/>
          <w:szCs w:val="20"/>
          <w:color w:val="auto"/>
        </w:rPr>
      </w:pPr>
    </w:p>
    <w:p>
      <w:pPr>
        <w:jc w:val="both"/>
        <w:ind w:left="2331" w:hanging="859"/>
        <w:spacing w:after="0" w:line="264" w:lineRule="auto"/>
        <w:tabs>
          <w:tab w:leader="none" w:pos="231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Grantors unanimously agree that there shall not be any restrictions on number of Party A’s exercise unless Party A has acquired all shares of Party C; and</w:t>
      </w:r>
    </w:p>
    <w:p>
      <w:pPr>
        <w:spacing w:after="0" w:line="168" w:lineRule="exact"/>
        <w:rPr>
          <w:sz w:val="20"/>
          <w:szCs w:val="20"/>
          <w:color w:val="auto"/>
        </w:rPr>
      </w:pPr>
    </w:p>
    <w:p>
      <w:pPr>
        <w:jc w:val="both"/>
        <w:ind w:left="2331" w:hanging="859"/>
        <w:spacing w:after="0" w:line="264" w:lineRule="auto"/>
        <w:tabs>
          <w:tab w:leader="none" w:pos="231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Grantors unanimously agree that Party A may designate any third party to exercise the option, provided that Party A shall inform in writing Grantors of such designation in advance.</w:t>
      </w:r>
    </w:p>
    <w:p>
      <w:pPr>
        <w:spacing w:after="0" w:line="168"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3"/>
          <w:szCs w:val="13"/>
          <w:color w:val="auto"/>
        </w:rPr>
        <w:t>Exercise Consideration</w:t>
      </w:r>
    </w:p>
    <w:p>
      <w:pPr>
        <w:spacing w:after="0" w:line="203" w:lineRule="exact"/>
        <w:rPr>
          <w:sz w:val="20"/>
          <w:szCs w:val="20"/>
          <w:color w:val="auto"/>
        </w:rPr>
      </w:pPr>
    </w:p>
    <w:p>
      <w:pPr>
        <w:ind w:left="1491" w:hanging="8"/>
        <w:spacing w:after="0" w:line="264" w:lineRule="auto"/>
        <w:rPr>
          <w:sz w:val="20"/>
          <w:szCs w:val="20"/>
          <w:color w:val="auto"/>
        </w:rPr>
      </w:pPr>
      <w:r>
        <w:rPr>
          <w:rFonts w:ascii="Arial" w:cs="Arial" w:eastAsia="Arial" w:hAnsi="Arial"/>
          <w:sz w:val="17"/>
          <w:szCs w:val="17"/>
          <w:color w:val="auto"/>
        </w:rPr>
        <w:t>Unless otherwise agreed by the Parties hereto, Grantors unanimously agree that, when Party A or its designated third party exercises the option, all exercise</w:t>
      </w:r>
    </w:p>
    <w:p>
      <w:pPr>
        <w:spacing w:after="0" w:line="200" w:lineRule="exact"/>
        <w:rPr>
          <w:sz w:val="20"/>
          <w:szCs w:val="20"/>
          <w:color w:val="auto"/>
        </w:rPr>
      </w:pPr>
    </w:p>
    <w:p>
      <w:pPr>
        <w:spacing w:after="0" w:line="367" w:lineRule="exact"/>
        <w:rPr>
          <w:sz w:val="20"/>
          <w:szCs w:val="20"/>
          <w:color w:val="auto"/>
        </w:rPr>
      </w:pPr>
    </w:p>
    <w:p>
      <w:pPr>
        <w:ind w:left="1491"/>
        <w:spacing w:after="0"/>
        <w:rPr>
          <w:sz w:val="20"/>
          <w:szCs w:val="20"/>
          <w:color w:val="auto"/>
        </w:rPr>
      </w:pPr>
      <w:r>
        <w:rPr>
          <w:rFonts w:ascii="Arial" w:cs="Arial" w:eastAsia="Arial" w:hAnsi="Arial"/>
          <w:sz w:val="17"/>
          <w:szCs w:val="17"/>
          <w:color w:val="auto"/>
        </w:rPr>
        <w:t>considerations obtained by Grantors therefor shall be immediately given to Party A or its designated third party free of charge.</w:t>
      </w:r>
    </w:p>
    <w:p>
      <w:pPr>
        <w:spacing w:after="0" w:line="203"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Transfer</w:t>
      </w:r>
    </w:p>
    <w:p>
      <w:pPr>
        <w:spacing w:after="0" w:line="203" w:lineRule="exact"/>
        <w:rPr>
          <w:sz w:val="20"/>
          <w:szCs w:val="20"/>
          <w:color w:val="auto"/>
        </w:rPr>
      </w:pPr>
    </w:p>
    <w:p>
      <w:pPr>
        <w:jc w:val="both"/>
        <w:ind w:left="1471" w:firstLine="1"/>
        <w:spacing w:after="0" w:line="251" w:lineRule="auto"/>
        <w:rPr>
          <w:sz w:val="20"/>
          <w:szCs w:val="20"/>
          <w:color w:val="auto"/>
        </w:rPr>
      </w:pPr>
      <w:r>
        <w:rPr>
          <w:rFonts w:ascii="Arial" w:cs="Arial" w:eastAsia="Arial" w:hAnsi="Arial"/>
          <w:sz w:val="17"/>
          <w:szCs w:val="17"/>
          <w:color w:val="auto"/>
        </w:rPr>
        <w:t>Grantors unanimously agree that Party A may transfer its option under this Agreement to any third party in whole or in part without separate approval of Grantors, and such transferees shall be deemed to be a party to this Agreement and may exercise the option according to this Agreement in respect of the share of the option acquired by it and shall enjoy and bear all of Party A’s rights and obligations under this Agreement.</w:t>
      </w:r>
    </w:p>
    <w:p>
      <w:pPr>
        <w:spacing w:after="0" w:line="179"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Notice on Exercise</w:t>
      </w:r>
    </w:p>
    <w:p>
      <w:pPr>
        <w:spacing w:after="0" w:line="203" w:lineRule="exact"/>
        <w:rPr>
          <w:sz w:val="20"/>
          <w:szCs w:val="20"/>
          <w:color w:val="auto"/>
        </w:rPr>
      </w:pPr>
    </w:p>
    <w:p>
      <w:pPr>
        <w:jc w:val="both"/>
        <w:ind w:left="2331" w:hanging="859"/>
        <w:spacing w:after="0" w:line="264" w:lineRule="auto"/>
        <w:tabs>
          <w:tab w:leader="none" w:pos="231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If Party A exercises the option hereunder, it shall notify in writing Grantors of such exercise Ten (10) working days prior to the delivery date (as defined below), and such notice shall specify the following terms:</w:t>
      </w:r>
    </w:p>
    <w:p>
      <w:pPr>
        <w:spacing w:after="0" w:line="164" w:lineRule="exact"/>
        <w:rPr>
          <w:sz w:val="20"/>
          <w:szCs w:val="20"/>
          <w:color w:val="auto"/>
        </w:rPr>
      </w:pPr>
    </w:p>
    <w:p>
      <w:pPr>
        <w:ind w:left="2991" w:hanging="661"/>
        <w:spacing w:after="0" w:line="337" w:lineRule="auto"/>
        <w:tabs>
          <w:tab w:leader="none" w:pos="2991" w:val="left"/>
        </w:tabs>
        <w:numPr>
          <w:ilvl w:val="0"/>
          <w:numId w:val="143"/>
        </w:numPr>
        <w:rPr>
          <w:rFonts w:ascii="Arial" w:cs="Arial" w:eastAsia="Arial" w:hAnsi="Arial"/>
          <w:sz w:val="15"/>
          <w:szCs w:val="15"/>
          <w:color w:val="auto"/>
        </w:rPr>
      </w:pPr>
      <w:r>
        <w:rPr>
          <w:rFonts w:ascii="Arial" w:cs="Arial" w:eastAsia="Arial" w:hAnsi="Arial"/>
          <w:sz w:val="15"/>
          <w:szCs w:val="15"/>
          <w:color w:val="auto"/>
        </w:rPr>
        <w:t>Effective delivery date (“</w:t>
      </w:r>
      <w:r>
        <w:rPr>
          <w:rFonts w:ascii="Arial" w:cs="Arial" w:eastAsia="Arial" w:hAnsi="Arial"/>
          <w:sz w:val="15"/>
          <w:szCs w:val="15"/>
          <w:b w:val="1"/>
          <w:bCs w:val="1"/>
          <w:color w:val="auto"/>
        </w:rPr>
        <w:t>Delivery Date</w:t>
      </w:r>
      <w:r>
        <w:rPr>
          <w:rFonts w:ascii="Arial" w:cs="Arial" w:eastAsia="Arial" w:hAnsi="Arial"/>
          <w:sz w:val="15"/>
          <w:szCs w:val="15"/>
          <w:color w:val="auto"/>
        </w:rPr>
        <w:t>”) of the shares after the option is exercised, namely the date on which a formal application for share change registration is filed to the relevant administrative department of industry and commerce;</w:t>
      </w:r>
    </w:p>
    <w:p>
      <w:pPr>
        <w:spacing w:after="0" w:line="117" w:lineRule="exact"/>
        <w:rPr>
          <w:rFonts w:ascii="Arial" w:cs="Arial" w:eastAsia="Arial" w:hAnsi="Arial"/>
          <w:sz w:val="15"/>
          <w:szCs w:val="15"/>
          <w:color w:val="auto"/>
        </w:rPr>
      </w:pPr>
    </w:p>
    <w:p>
      <w:pPr>
        <w:ind w:left="2991" w:hanging="661"/>
        <w:spacing w:after="0"/>
        <w:tabs>
          <w:tab w:leader="none" w:pos="299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Name of the registered holder of the shares after the option is exercised;</w:t>
      </w:r>
    </w:p>
    <w:p>
      <w:pPr>
        <w:spacing w:after="0" w:line="203" w:lineRule="exact"/>
        <w:rPr>
          <w:rFonts w:ascii="Arial" w:cs="Arial" w:eastAsia="Arial" w:hAnsi="Arial"/>
          <w:sz w:val="17"/>
          <w:szCs w:val="17"/>
          <w:color w:val="auto"/>
        </w:rPr>
      </w:pPr>
    </w:p>
    <w:p>
      <w:pPr>
        <w:ind w:left="2991" w:hanging="661"/>
        <w:spacing w:after="0"/>
        <w:tabs>
          <w:tab w:leader="none" w:pos="299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Number of the shares purchased from Grantors;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60960</wp:posOffset>
            </wp:positionV>
            <wp:extent cx="7184390"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127" w:right="339" w:bottom="1440" w:gutter="0" w:footer="0" w:header="0"/>
        </w:sectPr>
      </w:pPr>
    </w:p>
    <w:bookmarkStart w:id="185" w:name="page186"/>
    <w:bookmarkEnd w:id="185"/>
    <w:p>
      <w:pPr>
        <w:ind w:left="2991" w:hanging="661"/>
        <w:spacing w:after="0"/>
        <w:tabs>
          <w:tab w:leader="none" w:pos="299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Exercise consideration and its payment method; and</w:t>
      </w:r>
    </w:p>
    <w:p>
      <w:pPr>
        <w:spacing w:after="0" w:line="203" w:lineRule="exact"/>
        <w:rPr>
          <w:rFonts w:ascii="Arial" w:cs="Arial" w:eastAsia="Arial" w:hAnsi="Arial"/>
          <w:sz w:val="17"/>
          <w:szCs w:val="17"/>
          <w:color w:val="auto"/>
        </w:rPr>
      </w:pPr>
    </w:p>
    <w:p>
      <w:pPr>
        <w:ind w:left="2991" w:hanging="661"/>
        <w:spacing w:after="0"/>
        <w:tabs>
          <w:tab w:leader="none" w:pos="299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Power of attorney (if exercised by any third party on its behalf).</w:t>
      </w:r>
    </w:p>
    <w:p>
      <w:pPr>
        <w:spacing w:after="0" w:line="203" w:lineRule="exact"/>
        <w:rPr>
          <w:sz w:val="20"/>
          <w:szCs w:val="20"/>
          <w:color w:val="auto"/>
        </w:rPr>
      </w:pPr>
    </w:p>
    <w:p>
      <w:pPr>
        <w:jc w:val="both"/>
        <w:ind w:left="2331" w:hanging="859"/>
        <w:spacing w:after="0" w:line="272" w:lineRule="auto"/>
        <w:tabs>
          <w:tab w:leader="none" w:pos="231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6"/>
          <w:szCs w:val="16"/>
          <w:color w:val="auto"/>
        </w:rPr>
        <w:t>The Parties hereto agree that Party A may designate at any time any third party to exercise the option and acquire and register the shares in the name of such third party. Grantors agree that, as long as Party A or its designated third party requests to exercise the option, Grantors shall, within Ten (10) working days after receipt of a notice on exercise, sign a share transfer agreement and other relevant documents according to the notice on exercise and this Agreement.</w:t>
      </w:r>
    </w:p>
    <w:p>
      <w:pPr>
        <w:spacing w:after="0" w:line="200" w:lineRule="exact"/>
        <w:rPr>
          <w:sz w:val="20"/>
          <w:szCs w:val="20"/>
          <w:color w:val="auto"/>
        </w:rPr>
      </w:pPr>
    </w:p>
    <w:p>
      <w:pPr>
        <w:spacing w:after="0" w:line="361" w:lineRule="exact"/>
        <w:rPr>
          <w:sz w:val="20"/>
          <w:szCs w:val="20"/>
          <w:color w:val="auto"/>
        </w:rPr>
      </w:pPr>
    </w:p>
    <w:p>
      <w:pPr>
        <w:ind w:left="711"/>
        <w:spacing w:after="0"/>
        <w:tabs>
          <w:tab w:leader="none" w:pos="139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Transfer of Shares and Delivery</w:t>
      </w:r>
    </w:p>
    <w:p>
      <w:pPr>
        <w:spacing w:after="0" w:line="203" w:lineRule="exact"/>
        <w:rPr>
          <w:sz w:val="20"/>
          <w:szCs w:val="20"/>
          <w:color w:val="auto"/>
        </w:rPr>
      </w:pPr>
    </w:p>
    <w:p>
      <w:pPr>
        <w:jc w:val="both"/>
        <w:ind w:left="2331" w:hanging="859"/>
        <w:spacing w:after="0" w:line="264" w:lineRule="auto"/>
        <w:tabs>
          <w:tab w:leader="none" w:pos="231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Whenever Party A exercises the option, within Ten (10) working days from the date of receipt of a notice on exercise sent by Party A according to the Section 2.4 hereof;</w:t>
      </w:r>
    </w:p>
    <w:p>
      <w:pPr>
        <w:spacing w:after="0" w:line="168" w:lineRule="exact"/>
        <w:rPr>
          <w:sz w:val="20"/>
          <w:szCs w:val="20"/>
          <w:color w:val="auto"/>
        </w:rPr>
      </w:pPr>
    </w:p>
    <w:p>
      <w:pPr>
        <w:ind w:left="3031" w:hanging="689"/>
        <w:spacing w:after="0" w:line="296" w:lineRule="auto"/>
        <w:tabs>
          <w:tab w:leader="none" w:pos="3031" w:val="left"/>
        </w:tabs>
        <w:numPr>
          <w:ilvl w:val="1"/>
          <w:numId w:val="145"/>
        </w:numPr>
        <w:rPr>
          <w:rFonts w:ascii="Arial" w:cs="Arial" w:eastAsia="Arial" w:hAnsi="Arial"/>
          <w:sz w:val="16"/>
          <w:szCs w:val="16"/>
          <w:color w:val="auto"/>
        </w:rPr>
      </w:pPr>
      <w:r>
        <w:rPr>
          <w:rFonts w:ascii="Arial" w:cs="Arial" w:eastAsia="Arial" w:hAnsi="Arial"/>
          <w:sz w:val="16"/>
          <w:szCs w:val="16"/>
          <w:color w:val="auto"/>
        </w:rPr>
        <w:t>Grantors shall cause Party C to promptly hold a shareholders’ meeting at which a shareholder resolution on the approval of the transfer of shares by Grantors to Party A and/or its designated third party shall be adopted; and</w:t>
      </w:r>
    </w:p>
    <w:p>
      <w:pPr>
        <w:spacing w:after="0" w:line="144" w:lineRule="exact"/>
        <w:rPr>
          <w:rFonts w:ascii="Arial" w:cs="Arial" w:eastAsia="Arial" w:hAnsi="Arial"/>
          <w:sz w:val="16"/>
          <w:szCs w:val="16"/>
          <w:color w:val="auto"/>
        </w:rPr>
      </w:pPr>
    </w:p>
    <w:p>
      <w:pPr>
        <w:jc w:val="both"/>
        <w:ind w:left="3031" w:hanging="689"/>
        <w:spacing w:after="0" w:line="265" w:lineRule="auto"/>
        <w:tabs>
          <w:tab w:leader="none" w:pos="3031" w:val="left"/>
        </w:tabs>
        <w:numPr>
          <w:ilvl w:val="1"/>
          <w:numId w:val="145"/>
        </w:numPr>
        <w:rPr>
          <w:rFonts w:ascii="Arial" w:cs="Arial" w:eastAsia="Arial" w:hAnsi="Arial"/>
          <w:sz w:val="16"/>
          <w:szCs w:val="16"/>
          <w:color w:val="auto"/>
        </w:rPr>
      </w:pPr>
      <w:r>
        <w:rPr>
          <w:rFonts w:ascii="Arial" w:cs="Arial" w:eastAsia="Arial" w:hAnsi="Arial"/>
          <w:sz w:val="16"/>
          <w:szCs w:val="16"/>
          <w:color w:val="auto"/>
        </w:rPr>
        <w:t>Grantors shall sign all necessary contracts, agreements or documents, obtain all necessary government approvals and consents and take all necessary actions to transfer to Party A and/or its designated third party the ownership and all ancillary rights of the shares designated by Party A to be purchased without any security interests (other than the pledge under the Equity Pledge Agreement) and shall cause Party A and/or its designated third party to become the registered owner of the purchased shares and deliver to Party A and/or its designated third party the latest business license, articles of association, approval certificates (if applicable) and other relevant documents that are issued or registered by the relevant Chinese authorities, and such documents shall reflect any changes of Party C’s shares, directors and legal representative and other matters (if applicable).</w:t>
      </w:r>
    </w:p>
    <w:p>
      <w:pPr>
        <w:spacing w:after="0" w:line="164" w:lineRule="exact"/>
        <w:rPr>
          <w:rFonts w:ascii="Arial" w:cs="Arial" w:eastAsia="Arial" w:hAnsi="Arial"/>
          <w:sz w:val="16"/>
          <w:szCs w:val="16"/>
          <w:color w:val="auto"/>
        </w:rPr>
      </w:pPr>
    </w:p>
    <w:p>
      <w:pPr>
        <w:ind w:left="631" w:hanging="631"/>
        <w:spacing w:after="0"/>
        <w:tabs>
          <w:tab w:leader="none" w:pos="631"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and Undertakings</w:t>
      </w:r>
    </w:p>
    <w:p>
      <w:pPr>
        <w:spacing w:after="0" w:line="20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Grantors jointly and severally make the following representations and warranties:</w:t>
      </w:r>
    </w:p>
    <w:p>
      <w:pPr>
        <w:spacing w:after="0" w:line="203" w:lineRule="exact"/>
        <w:rPr>
          <w:sz w:val="20"/>
          <w:szCs w:val="20"/>
          <w:color w:val="auto"/>
        </w:rPr>
      </w:pPr>
    </w:p>
    <w:p>
      <w:pPr>
        <w:jc w:val="both"/>
        <w:ind w:left="2531" w:hanging="858"/>
        <w:spacing w:after="0" w:line="254" w:lineRule="auto"/>
        <w:tabs>
          <w:tab w:leader="none" w:pos="251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On the date of signing this Agreement and each Delivery Date, Grantors have the powers, rights, authority and ability to sign and deliver this Agreement and any share transfer agreement (hereinafter referred to as “</w:t>
      </w:r>
      <w:r>
        <w:rPr>
          <w:rFonts w:ascii="Arial" w:cs="Arial" w:eastAsia="Arial" w:hAnsi="Arial"/>
          <w:sz w:val="17"/>
          <w:szCs w:val="17"/>
          <w:b w:val="1"/>
          <w:bCs w:val="1"/>
          <w:color w:val="auto"/>
        </w:rPr>
        <w:t>Transfer Agreement</w:t>
      </w:r>
      <w:r>
        <w:rPr>
          <w:rFonts w:ascii="Arial" w:cs="Arial" w:eastAsia="Arial" w:hAnsi="Arial"/>
          <w:sz w:val="17"/>
          <w:szCs w:val="17"/>
          <w:color w:val="auto"/>
        </w:rPr>
        <w:t>”) signed by them as a party</w:t>
      </w:r>
    </w:p>
    <w:p>
      <w:pPr>
        <w:spacing w:after="0" w:line="200" w:lineRule="exact"/>
        <w:rPr>
          <w:sz w:val="20"/>
          <w:szCs w:val="20"/>
          <w:color w:val="auto"/>
        </w:rPr>
      </w:pPr>
    </w:p>
    <w:p>
      <w:pPr>
        <w:spacing w:after="0" w:line="375" w:lineRule="exact"/>
        <w:rPr>
          <w:sz w:val="20"/>
          <w:szCs w:val="20"/>
          <w:color w:val="auto"/>
        </w:rPr>
      </w:pPr>
    </w:p>
    <w:p>
      <w:pPr>
        <w:jc w:val="both"/>
        <w:ind w:left="2551"/>
        <w:spacing w:after="0" w:line="278" w:lineRule="auto"/>
        <w:rPr>
          <w:sz w:val="20"/>
          <w:szCs w:val="20"/>
          <w:color w:val="auto"/>
        </w:rPr>
      </w:pPr>
      <w:r>
        <w:rPr>
          <w:rFonts w:ascii="Arial" w:cs="Arial" w:eastAsia="Arial" w:hAnsi="Arial"/>
          <w:sz w:val="16"/>
          <w:szCs w:val="16"/>
          <w:color w:val="auto"/>
        </w:rPr>
        <w:t>thereto for each share transfer according to this Agreement and to perform their obligations under this Agreement and any Transfer Agreement. This Agreement and any Transfer Agreement to which they are a party shall constitute their legal, effective and binding obligations that are enforceable on them according to the provisions thereof once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158750</wp:posOffset>
            </wp:positionV>
            <wp:extent cx="7184390"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326" w:right="339" w:bottom="1440" w:gutter="0" w:footer="0" w:header="0"/>
        </w:sectPr>
      </w:pPr>
    </w:p>
    <w:bookmarkStart w:id="186" w:name="page187"/>
    <w:bookmarkEnd w:id="186"/>
    <w:p>
      <w:pPr>
        <w:ind w:left="1920" w:hanging="858"/>
        <w:spacing w:after="0" w:line="252" w:lineRule="auto"/>
        <w:tabs>
          <w:tab w:leader="none" w:pos="19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No signing and delivery of this Agreement or any Transfer Agreement and no performance by Grantors of their obligations under this Agreement or any Transfer Agreement shall (i)</w:t>
      </w:r>
    </w:p>
    <w:p>
      <w:pPr>
        <w:spacing w:after="0" w:line="1" w:lineRule="exact"/>
        <w:rPr>
          <w:sz w:val="20"/>
          <w:szCs w:val="20"/>
          <w:color w:val="auto"/>
        </w:rPr>
      </w:pPr>
    </w:p>
    <w:p>
      <w:pPr>
        <w:jc w:val="both"/>
        <w:ind w:left="1920"/>
        <w:spacing w:after="0" w:line="245" w:lineRule="auto"/>
        <w:rPr>
          <w:sz w:val="20"/>
          <w:szCs w:val="20"/>
          <w:color w:val="auto"/>
        </w:rPr>
      </w:pPr>
      <w:r>
        <w:rPr>
          <w:rFonts w:ascii="Arial" w:cs="Arial" w:eastAsia="Arial" w:hAnsi="Arial"/>
          <w:sz w:val="17"/>
          <w:szCs w:val="17"/>
          <w:color w:val="auto"/>
        </w:rPr>
        <w:t>result in any violation of any relevant laws and regulations of the PRC; (ii) conflict with the articles of association or other organizational documents; (iii) result in any breach of any binding agreements or instruments to which they are a party or constitute any breach of contract under any binding agreements or instruments to which they are a party; (iv) result in any breach of any licenses or approvals issued by the relevant competent government departments to them; or (v) cause any licenses or approvals issued by the relevant competent government departments to them to be suspended or revoked or attached with any conditions;</w:t>
      </w:r>
    </w:p>
    <w:p>
      <w:pPr>
        <w:spacing w:after="0" w:line="185" w:lineRule="exact"/>
        <w:rPr>
          <w:sz w:val="20"/>
          <w:szCs w:val="20"/>
          <w:color w:val="auto"/>
        </w:rPr>
      </w:pPr>
    </w:p>
    <w:p>
      <w:pPr>
        <w:jc w:val="both"/>
        <w:ind w:left="1920" w:hanging="858"/>
        <w:spacing w:after="0" w:line="264" w:lineRule="auto"/>
        <w:tabs>
          <w:tab w:leader="none" w:pos="190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There is no suit, arbitration or other judicial or administrative proceedings that are pending or may have a substantial impact on the performance of this Agreement or any Transfer Agreement.</w:t>
      </w:r>
    </w:p>
    <w:p>
      <w:pPr>
        <w:spacing w:after="0" w:line="168" w:lineRule="exact"/>
        <w:rPr>
          <w:sz w:val="20"/>
          <w:szCs w:val="20"/>
          <w:color w:val="auto"/>
        </w:rPr>
      </w:pPr>
    </w:p>
    <w:p>
      <w:pPr>
        <w:jc w:val="both"/>
        <w:ind w:left="1920" w:hanging="858"/>
        <w:spacing w:after="0" w:line="296" w:lineRule="auto"/>
        <w:tabs>
          <w:tab w:leader="none" w:pos="190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6"/>
          <w:szCs w:val="16"/>
          <w:color w:val="auto"/>
        </w:rPr>
        <w:t>Grantors have good and marketable ownership of all shares of Party C. There are no pledges, liabilities and other third party encumbrances on Party C’s shares held by Grantors other than the pledge under the Equity Pledge Agreement.</w:t>
      </w:r>
    </w:p>
    <w:p>
      <w:pPr>
        <w:spacing w:after="0" w:line="144" w:lineRule="exact"/>
        <w:rPr>
          <w:sz w:val="20"/>
          <w:szCs w:val="20"/>
          <w:color w:val="auto"/>
        </w:rPr>
      </w:pPr>
    </w:p>
    <w:p>
      <w:pPr>
        <w:jc w:val="both"/>
        <w:ind w:left="1920" w:hanging="858"/>
        <w:spacing w:after="0" w:line="264" w:lineRule="auto"/>
        <w:tabs>
          <w:tab w:leader="none" w:pos="190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color w:val="auto"/>
        </w:rPr>
        <w:t>Grantors have disclosed to Party A all circumstances that may have a material adverse effect on the performance of this Agreement.</w:t>
      </w:r>
    </w:p>
    <w:p>
      <w:pPr>
        <w:spacing w:after="0" w:line="168" w:lineRule="exact"/>
        <w:rPr>
          <w:sz w:val="20"/>
          <w:szCs w:val="20"/>
          <w:color w:val="auto"/>
        </w:rPr>
      </w:pPr>
    </w:p>
    <w:p>
      <w:pPr>
        <w:jc w:val="both"/>
        <w:ind w:left="1920" w:hanging="858"/>
        <w:spacing w:after="0" w:line="264" w:lineRule="auto"/>
        <w:tabs>
          <w:tab w:leader="none" w:pos="190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The option granted by Grantors to Party A is exclusive, and Grantors have not otherwise granted any third party any other options or similar rights before or when granting the option to Party A.</w:t>
      </w:r>
    </w:p>
    <w:p>
      <w:pPr>
        <w:spacing w:after="0" w:line="200" w:lineRule="exact"/>
        <w:rPr>
          <w:sz w:val="20"/>
          <w:szCs w:val="20"/>
          <w:color w:val="auto"/>
        </w:rPr>
      </w:pPr>
    </w:p>
    <w:p>
      <w:pPr>
        <w:spacing w:after="0" w:line="36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Grantors jointly and severally make the following undertakings:</w:t>
      </w:r>
    </w:p>
    <w:p>
      <w:pPr>
        <w:spacing w:after="0" w:line="203" w:lineRule="exact"/>
        <w:rPr>
          <w:sz w:val="20"/>
          <w:szCs w:val="20"/>
          <w:color w:val="auto"/>
        </w:rPr>
      </w:pPr>
    </w:p>
    <w:p>
      <w:pPr>
        <w:jc w:val="both"/>
        <w:ind w:left="1920" w:hanging="858"/>
        <w:spacing w:after="0" w:line="304" w:lineRule="auto"/>
        <w:tabs>
          <w:tab w:leader="none" w:pos="19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Within the term of this Agreement, Grantors will not create any pledges, liabilities and any other third party encumbrances on Party C’s shares held by them other than those under the Equity Pledge Agreement separately signed by Grantors and Party A nor transfer, donate or otherwise dispose of any shares held by them to any third party other than the Parties to this Agreement.</w:t>
      </w:r>
    </w:p>
    <w:p>
      <w:pPr>
        <w:spacing w:after="0" w:line="142" w:lineRule="exact"/>
        <w:rPr>
          <w:sz w:val="20"/>
          <w:szCs w:val="20"/>
          <w:color w:val="auto"/>
        </w:rPr>
      </w:pPr>
    </w:p>
    <w:p>
      <w:pPr>
        <w:ind w:left="1060"/>
        <w:spacing w:after="0"/>
        <w:tabs>
          <w:tab w:leader="none" w:pos="190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Within the term of this Agreement, Grantors will not otherwise grant any other options or similar rights to any third party.</w:t>
      </w:r>
    </w:p>
    <w:p>
      <w:pPr>
        <w:spacing w:after="0" w:line="203" w:lineRule="exact"/>
        <w:rPr>
          <w:sz w:val="20"/>
          <w:szCs w:val="20"/>
          <w:color w:val="auto"/>
        </w:rPr>
      </w:pPr>
    </w:p>
    <w:p>
      <w:pPr>
        <w:jc w:val="both"/>
        <w:ind w:left="1920" w:hanging="858"/>
        <w:spacing w:after="0" w:line="251" w:lineRule="auto"/>
        <w:tabs>
          <w:tab w:leader="none" w:pos="190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Within the term of this Agreement, Grantors will cause and ensure that the business carried out by Party C conforms to the applicable laws, regulations, rules and other management regulations and documents issued by the competent government departments and that there are no breach of the above provisions that results in a major adverse impact on the business or assets of the company.</w:t>
      </w:r>
    </w:p>
    <w:p>
      <w:pPr>
        <w:spacing w:after="0" w:line="179" w:lineRule="exact"/>
        <w:rPr>
          <w:sz w:val="20"/>
          <w:szCs w:val="20"/>
          <w:color w:val="auto"/>
        </w:rPr>
      </w:pPr>
    </w:p>
    <w:p>
      <w:pPr>
        <w:jc w:val="both"/>
        <w:ind w:left="1920" w:hanging="858"/>
        <w:spacing w:after="0" w:line="251" w:lineRule="auto"/>
        <w:tabs>
          <w:tab w:leader="none" w:pos="190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Grantors will maintain the valid existence of Party C in accordance with good financial and commercial standards and practices, operate their business and deal with affairs in a prudent and efficient manner, use their best efforts to obtain and maintain any permits, licenses and approvals necessary for Party C’s continuous operation and ensure that any such permits, licenses and approvals will not be canceled, withdrawn or declared null and void.</w:t>
      </w:r>
    </w:p>
    <w:p>
      <w:pPr>
        <w:spacing w:after="0" w:line="179" w:lineRule="exact"/>
        <w:rPr>
          <w:sz w:val="20"/>
          <w:szCs w:val="20"/>
          <w:color w:val="auto"/>
        </w:rPr>
      </w:pPr>
    </w:p>
    <w:p>
      <w:pPr>
        <w:ind w:left="1060"/>
        <w:spacing w:after="0"/>
        <w:tabs>
          <w:tab w:leader="none" w:pos="190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5"/>
          <w:szCs w:val="15"/>
          <w:color w:val="auto"/>
        </w:rPr>
        <w:t>Grantors will provide Party A with all Party C’s operation and financial information at Party A’s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187325</wp:posOffset>
            </wp:positionV>
            <wp:extent cx="7184390"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580"/>
          </w:cols>
          <w:pgMar w:left="980" w:top="127" w:right="339" w:bottom="1440" w:gutter="0" w:footer="0" w:header="0"/>
        </w:sectPr>
      </w:pPr>
    </w:p>
    <w:bookmarkStart w:id="187" w:name="page188"/>
    <w:bookmarkEnd w:id="187"/>
    <w:p>
      <w:pPr>
        <w:ind w:left="600"/>
        <w:spacing w:after="0"/>
        <w:tabs>
          <w:tab w:leader="none" w:pos="1440"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5"/>
          <w:szCs w:val="15"/>
          <w:color w:val="auto"/>
        </w:rPr>
        <w:t>Except as expressly agreed by Party A (or its designated third party) in writing, before Party A (or its designated third party)</w:t>
      </w:r>
    </w:p>
    <w:p>
      <w:pPr>
        <w:spacing w:after="0" w:line="16"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exercises its option and obtains all of Party C’s shares or assets, Grantors shall not jointly or individually:</w:t>
      </w:r>
    </w:p>
    <w:p>
      <w:pPr>
        <w:spacing w:after="0" w:line="191" w:lineRule="exact"/>
        <w:rPr>
          <w:sz w:val="20"/>
          <w:szCs w:val="20"/>
          <w:color w:val="auto"/>
        </w:rPr>
      </w:pPr>
    </w:p>
    <w:p>
      <w:pPr>
        <w:ind w:left="1960" w:hanging="763"/>
        <w:spacing w:after="0" w:line="264" w:lineRule="auto"/>
        <w:tabs>
          <w:tab w:leader="none" w:pos="19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Supplement or modify Party C’s constitutional documents in any form, and such supplements, alterations or modifications will</w:t>
      </w:r>
    </w:p>
    <w:p>
      <w:pPr>
        <w:spacing w:after="0" w:line="200" w:lineRule="exact"/>
        <w:rPr>
          <w:rFonts w:ascii="Arial" w:cs="Arial" w:eastAsia="Arial" w:hAnsi="Arial"/>
          <w:sz w:val="17"/>
          <w:szCs w:val="17"/>
          <w:color w:val="auto"/>
        </w:rPr>
      </w:pPr>
    </w:p>
    <w:p>
      <w:pPr>
        <w:spacing w:after="0" w:line="366" w:lineRule="exact"/>
        <w:rPr>
          <w:rFonts w:ascii="Arial" w:cs="Arial" w:eastAsia="Arial" w:hAnsi="Arial"/>
          <w:sz w:val="17"/>
          <w:szCs w:val="17"/>
          <w:color w:val="auto"/>
        </w:rPr>
      </w:pPr>
    </w:p>
    <w:p>
      <w:pPr>
        <w:jc w:val="both"/>
        <w:ind w:left="1940"/>
        <w:spacing w:after="0" w:line="278" w:lineRule="auto"/>
        <w:rPr>
          <w:rFonts w:ascii="Arial" w:cs="Arial" w:eastAsia="Arial" w:hAnsi="Arial"/>
          <w:sz w:val="17"/>
          <w:szCs w:val="17"/>
          <w:color w:val="auto"/>
        </w:rPr>
      </w:pPr>
      <w:r>
        <w:rPr>
          <w:rFonts w:ascii="Arial" w:cs="Arial" w:eastAsia="Arial" w:hAnsi="Arial"/>
          <w:sz w:val="16"/>
          <w:szCs w:val="16"/>
          <w:color w:val="auto"/>
        </w:rPr>
        <w:t>have substantial adverse effects on any assets, responsibilities, operation, shares and other legal rights of Party C (excluding the same proportion of capital increase for the purpose of meeting the legal requirements) or may affect the effective performance of this Agreement and other agreements signed by Party A, Grantors and Party C.</w:t>
      </w:r>
    </w:p>
    <w:p>
      <w:pPr>
        <w:spacing w:after="0" w:line="157" w:lineRule="exact"/>
        <w:rPr>
          <w:rFonts w:ascii="Arial" w:cs="Arial" w:eastAsia="Arial" w:hAnsi="Arial"/>
          <w:sz w:val="17"/>
          <w:szCs w:val="17"/>
          <w:color w:val="auto"/>
        </w:rPr>
      </w:pPr>
    </w:p>
    <w:p>
      <w:pPr>
        <w:jc w:val="both"/>
        <w:ind w:left="1960" w:hanging="763"/>
        <w:spacing w:after="0" w:line="254" w:lineRule="auto"/>
        <w:tabs>
          <w:tab w:leader="none" w:pos="19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Cause Party C to enter into or do any transactions or acts (excluding those that arise in the ordinary or daily business course or have been disclosed to and agreed by Party A expressly in writing in advance) that will have materially adverse effects on its assets, liabilities, operation, shares and other legitimate rights.</w:t>
      </w:r>
    </w:p>
    <w:p>
      <w:pPr>
        <w:spacing w:after="0" w:line="176" w:lineRule="exact"/>
        <w:rPr>
          <w:rFonts w:ascii="Arial" w:cs="Arial" w:eastAsia="Arial" w:hAnsi="Arial"/>
          <w:sz w:val="17"/>
          <w:szCs w:val="17"/>
          <w:color w:val="auto"/>
        </w:rPr>
      </w:pPr>
    </w:p>
    <w:p>
      <w:pPr>
        <w:ind w:left="1960" w:hanging="763"/>
        <w:spacing w:after="0"/>
        <w:tabs>
          <w:tab w:leader="none" w:pos="19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Cause any resolutions on the distribution of dividends or bonuses to be adopted at the shareholders’ meeting of Party C.</w:t>
      </w:r>
    </w:p>
    <w:p>
      <w:pPr>
        <w:spacing w:after="0" w:line="226" w:lineRule="exact"/>
        <w:rPr>
          <w:rFonts w:ascii="Arial" w:cs="Arial" w:eastAsia="Arial" w:hAnsi="Arial"/>
          <w:sz w:val="15"/>
          <w:szCs w:val="15"/>
          <w:color w:val="auto"/>
        </w:rPr>
      </w:pPr>
    </w:p>
    <w:p>
      <w:pPr>
        <w:ind w:left="1960" w:hanging="763"/>
        <w:spacing w:after="0" w:line="264" w:lineRule="auto"/>
        <w:tabs>
          <w:tab w:leader="none" w:pos="19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Sell, assign, mortgage or otherwise dispose of any legal or beneficial interests on Party C’s shares or allow to create any other security interests thereon at any time from the effective date of this Agreement.</w:t>
      </w:r>
    </w:p>
    <w:p>
      <w:pPr>
        <w:spacing w:after="0" w:line="167" w:lineRule="exact"/>
        <w:rPr>
          <w:rFonts w:ascii="Arial" w:cs="Arial" w:eastAsia="Arial" w:hAnsi="Arial"/>
          <w:sz w:val="17"/>
          <w:szCs w:val="17"/>
          <w:color w:val="auto"/>
        </w:rPr>
      </w:pPr>
    </w:p>
    <w:p>
      <w:pPr>
        <w:jc w:val="both"/>
        <w:ind w:left="1960" w:hanging="763"/>
        <w:spacing w:after="0" w:line="251" w:lineRule="auto"/>
        <w:tabs>
          <w:tab w:leader="none" w:pos="19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Cause any sales, transfer, mortgage or otherwise disposal of any legal or beneficial interests on shares to be approved at the shareholders’ meeting of Party C, or allow to create any other security interests thereon, or adopt a shareholder resolution on the increase or decrease of Party C’s registered capital or otherwise modify the structure of the registered capital.</w:t>
      </w:r>
    </w:p>
    <w:p>
      <w:pPr>
        <w:spacing w:after="0" w:line="178" w:lineRule="exact"/>
        <w:rPr>
          <w:rFonts w:ascii="Arial" w:cs="Arial" w:eastAsia="Arial" w:hAnsi="Arial"/>
          <w:sz w:val="17"/>
          <w:szCs w:val="17"/>
          <w:color w:val="auto"/>
        </w:rPr>
      </w:pPr>
    </w:p>
    <w:p>
      <w:pPr>
        <w:jc w:val="both"/>
        <w:ind w:left="1960" w:hanging="763"/>
        <w:spacing w:after="0" w:line="420" w:lineRule="auto"/>
        <w:tabs>
          <w:tab w:leader="none" w:pos="19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Cause any merger or association of Party C with any persons to be approved at the shareholders’ meeting of Party C, or acquire investments from any persons or make an investment to any persons, or carry out reorganization in any other form.</w:t>
      </w:r>
    </w:p>
    <w:p>
      <w:pPr>
        <w:spacing w:after="0" w:line="74" w:lineRule="exact"/>
        <w:rPr>
          <w:rFonts w:ascii="Arial" w:cs="Arial" w:eastAsia="Arial" w:hAnsi="Arial"/>
          <w:sz w:val="13"/>
          <w:szCs w:val="13"/>
          <w:color w:val="auto"/>
        </w:rPr>
      </w:pPr>
    </w:p>
    <w:p>
      <w:pPr>
        <w:ind w:left="1960" w:hanging="763"/>
        <w:spacing w:after="0" w:line="264" w:lineRule="auto"/>
        <w:tabs>
          <w:tab w:leader="none" w:pos="19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Cause any winding-up, liquidation or dissolution and other matters of Party C to be approved at the shareholders’ meeting of Party C.</w:t>
      </w:r>
    </w:p>
    <w:p>
      <w:pPr>
        <w:spacing w:after="0" w:line="200" w:lineRule="exact"/>
        <w:rPr>
          <w:sz w:val="20"/>
          <w:szCs w:val="20"/>
          <w:color w:val="auto"/>
        </w:rPr>
      </w:pPr>
    </w:p>
    <w:p>
      <w:pPr>
        <w:spacing w:after="0" w:line="367" w:lineRule="exact"/>
        <w:rPr>
          <w:sz w:val="20"/>
          <w:szCs w:val="20"/>
          <w:color w:val="auto"/>
        </w:rPr>
      </w:pPr>
    </w:p>
    <w:p>
      <w:pPr>
        <w:ind w:left="1460" w:hanging="858"/>
        <w:spacing w:after="0" w:line="264" w:lineRule="auto"/>
        <w:tabs>
          <w:tab w:leader="none" w:pos="1440" w:val="left"/>
        </w:tabs>
        <w:rPr>
          <w:sz w:val="20"/>
          <w:szCs w:val="20"/>
          <w:color w:val="auto"/>
        </w:rPr>
      </w:pPr>
      <w:r>
        <w:rPr>
          <w:rFonts w:ascii="Arial" w:cs="Arial" w:eastAsia="Arial" w:hAnsi="Arial"/>
          <w:sz w:val="17"/>
          <w:szCs w:val="17"/>
          <w:color w:val="auto"/>
        </w:rPr>
        <w:t>3.2.7</w:t>
      </w:r>
      <w:r>
        <w:rPr>
          <w:sz w:val="20"/>
          <w:szCs w:val="20"/>
          <w:color w:val="auto"/>
        </w:rPr>
        <w:tab/>
      </w:r>
      <w:r>
        <w:rPr>
          <w:rFonts w:ascii="Arial" w:cs="Arial" w:eastAsia="Arial" w:hAnsi="Arial"/>
          <w:sz w:val="17"/>
          <w:szCs w:val="17"/>
          <w:color w:val="auto"/>
        </w:rPr>
        <w:t>Before Party A (or its designated third party) exercises its option and obtains all of Party C’s shares or assets, Grantors undertake that:</w:t>
      </w:r>
    </w:p>
    <w:p>
      <w:pPr>
        <w:spacing w:after="0" w:line="168" w:lineRule="exact"/>
        <w:rPr>
          <w:sz w:val="20"/>
          <w:szCs w:val="20"/>
          <w:color w:val="auto"/>
        </w:rPr>
      </w:pPr>
    </w:p>
    <w:p>
      <w:pPr>
        <w:ind w:left="1960" w:hanging="676"/>
        <w:spacing w:after="0" w:line="332" w:lineRule="auto"/>
        <w:tabs>
          <w:tab w:leader="none" w:pos="19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They will forthwith notify Party A in writing of any suits, arbitration or administrative proceedings that have arisen or may arise in relation to the shares owned by them or of any circumstances that may have any adverse effect on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135255</wp:posOffset>
            </wp:positionV>
            <wp:extent cx="7184390"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188" w:name="page189"/>
    <w:bookmarkEnd w:id="188"/>
    <w:p>
      <w:pPr>
        <w:jc w:val="both"/>
        <w:ind w:left="2420" w:hanging="676"/>
        <w:spacing w:after="0" w:line="248" w:lineRule="auto"/>
        <w:tabs>
          <w:tab w:leader="none" w:pos="24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They will cause the shareholders’ meeting of Party C to examine and approve the transfer of the purchased shares as specified in this Agreement, cause Party C to amend its articles of association so as to reflect any changes of Party C’s shares after Party A and/or its designated third party exercises the option according to this Agreement and other changes as set forth herein and immediately apply to the</w:t>
      </w:r>
    </w:p>
    <w:p>
      <w:pPr>
        <w:spacing w:after="0" w:line="1" w:lineRule="exact"/>
        <w:rPr>
          <w:rFonts w:ascii="Arial" w:cs="Arial" w:eastAsia="Arial" w:hAnsi="Arial"/>
          <w:sz w:val="17"/>
          <w:szCs w:val="17"/>
          <w:color w:val="auto"/>
        </w:rPr>
      </w:pPr>
    </w:p>
    <w:p>
      <w:pPr>
        <w:jc w:val="both"/>
        <w:ind w:left="2420"/>
        <w:spacing w:after="0" w:line="247" w:lineRule="auto"/>
        <w:rPr>
          <w:rFonts w:ascii="Arial" w:cs="Arial" w:eastAsia="Arial" w:hAnsi="Arial"/>
          <w:sz w:val="17"/>
          <w:szCs w:val="17"/>
          <w:color w:val="auto"/>
        </w:rPr>
      </w:pPr>
      <w:r>
        <w:rPr>
          <w:rFonts w:ascii="Arial" w:cs="Arial" w:eastAsia="Arial" w:hAnsi="Arial"/>
          <w:sz w:val="17"/>
          <w:szCs w:val="17"/>
          <w:color w:val="auto"/>
        </w:rPr>
        <w:t>authorities of the PRC for approval (if required by law) and change of registration, and cause the shareholders’ meeting of Party C to approve and appoint such persons as designated by Party A and/or its designated third party as Party C’s director and legal representative (if necessary).</w:t>
      </w:r>
    </w:p>
    <w:p>
      <w:pPr>
        <w:spacing w:after="0" w:line="181" w:lineRule="exact"/>
        <w:rPr>
          <w:rFonts w:ascii="Arial" w:cs="Arial" w:eastAsia="Arial" w:hAnsi="Arial"/>
          <w:sz w:val="17"/>
          <w:szCs w:val="17"/>
          <w:color w:val="auto"/>
        </w:rPr>
      </w:pPr>
    </w:p>
    <w:p>
      <w:pPr>
        <w:jc w:val="both"/>
        <w:ind w:left="2420" w:hanging="676"/>
        <w:spacing w:after="0" w:line="251" w:lineRule="auto"/>
        <w:tabs>
          <w:tab w:leader="none" w:pos="24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Before Party A and/or its designated third party exercises the option, they will enter into all necessary or appropriate documents, take all necessary or appropriate actions and make all necessary or appropriate accusations or make all necessary and appropriate defenses for all claims in order to maintain their lawful and effective ownership over the appropriate shares.</w:t>
      </w:r>
    </w:p>
    <w:p>
      <w:pPr>
        <w:spacing w:after="0" w:line="178" w:lineRule="exact"/>
        <w:rPr>
          <w:rFonts w:ascii="Arial" w:cs="Arial" w:eastAsia="Arial" w:hAnsi="Arial"/>
          <w:sz w:val="17"/>
          <w:szCs w:val="17"/>
          <w:color w:val="auto"/>
        </w:rPr>
      </w:pPr>
    </w:p>
    <w:p>
      <w:pPr>
        <w:jc w:val="both"/>
        <w:ind w:left="2420" w:hanging="676"/>
        <w:spacing w:after="0" w:line="278" w:lineRule="auto"/>
        <w:tabs>
          <w:tab w:leader="none" w:pos="24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Upon Party A’s request at any time, they will unconditionally transfer their shares to Party A and/or its designated third party at the time specified by Party A and waive their right of first refusal against any other shareholders of Party C in respect of the above transfer of shares by them according to Party A’s instructions.</w:t>
      </w:r>
    </w:p>
    <w:p>
      <w:pPr>
        <w:spacing w:after="0" w:line="157" w:lineRule="exact"/>
        <w:rPr>
          <w:rFonts w:ascii="Arial" w:cs="Arial" w:eastAsia="Arial" w:hAnsi="Arial"/>
          <w:sz w:val="16"/>
          <w:szCs w:val="16"/>
          <w:color w:val="auto"/>
        </w:rPr>
      </w:pPr>
    </w:p>
    <w:p>
      <w:pPr>
        <w:ind w:left="2420" w:hanging="676"/>
        <w:spacing w:after="0" w:line="264" w:lineRule="auto"/>
        <w:tabs>
          <w:tab w:leader="none" w:pos="24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They will strictly abide by this Agreement and other agreements jointly or severally entered into by and between Grantors and</w:t>
      </w:r>
    </w:p>
    <w:p>
      <w:pPr>
        <w:spacing w:after="0" w:line="200" w:lineRule="exact"/>
        <w:rPr>
          <w:sz w:val="20"/>
          <w:szCs w:val="20"/>
          <w:color w:val="auto"/>
        </w:rPr>
      </w:pPr>
    </w:p>
    <w:p>
      <w:pPr>
        <w:spacing w:after="0" w:line="367" w:lineRule="exact"/>
        <w:rPr>
          <w:sz w:val="20"/>
          <w:szCs w:val="20"/>
          <w:color w:val="auto"/>
        </w:rPr>
      </w:pPr>
    </w:p>
    <w:p>
      <w:pPr>
        <w:ind w:left="2420"/>
        <w:spacing w:after="0" w:line="264" w:lineRule="auto"/>
        <w:rPr>
          <w:sz w:val="20"/>
          <w:szCs w:val="20"/>
          <w:color w:val="auto"/>
        </w:rPr>
      </w:pPr>
      <w:r>
        <w:rPr>
          <w:rFonts w:ascii="Arial" w:cs="Arial" w:eastAsia="Arial" w:hAnsi="Arial"/>
          <w:sz w:val="17"/>
          <w:szCs w:val="17"/>
          <w:color w:val="auto"/>
        </w:rPr>
        <w:t>Party A, conscientiously perform their obligations under such agreements and will not do any acts/omissions that are likely to affect the validity and enforceability of such agreements.</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Party C and Grantors hereby jointly and severally make the following representations, warranties and undertakings to Party A:</w:t>
      </w:r>
    </w:p>
    <w:p>
      <w:pPr>
        <w:spacing w:after="0" w:line="203" w:lineRule="exact"/>
        <w:rPr>
          <w:sz w:val="20"/>
          <w:szCs w:val="20"/>
          <w:color w:val="auto"/>
        </w:rPr>
      </w:pPr>
    </w:p>
    <w:p>
      <w:pPr>
        <w:ind w:left="1920" w:hanging="858"/>
        <w:spacing w:after="0" w:line="264" w:lineRule="auto"/>
        <w:tabs>
          <w:tab w:leader="none" w:pos="190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Except as agreed by Party A (or its designated third party) in writing, before Party A (or its designated third party) exercises its option and obtains all of Party C’s shares or interests, Party C shall not:</w:t>
      </w:r>
    </w:p>
    <w:p>
      <w:pPr>
        <w:spacing w:after="0" w:line="168" w:lineRule="exact"/>
        <w:rPr>
          <w:sz w:val="20"/>
          <w:szCs w:val="20"/>
          <w:color w:val="auto"/>
        </w:rPr>
      </w:pPr>
    </w:p>
    <w:p>
      <w:pPr>
        <w:jc w:val="both"/>
        <w:ind w:left="2600" w:hanging="657"/>
        <w:spacing w:after="0" w:line="254" w:lineRule="auto"/>
        <w:tabs>
          <w:tab w:leader="none" w:pos="26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Sell, assign, mortgage or otherwise dispose of any assets, business or incomes or allow to create any other security interests thereon (excluding those that arise in the ordinary or daily business course or have been disclosed to and agreed by Party A expressly in writing in advance);</w:t>
      </w:r>
    </w:p>
    <w:p>
      <w:pPr>
        <w:spacing w:after="0" w:line="176" w:lineRule="exact"/>
        <w:rPr>
          <w:rFonts w:ascii="Arial" w:cs="Arial" w:eastAsia="Arial" w:hAnsi="Arial"/>
          <w:sz w:val="17"/>
          <w:szCs w:val="17"/>
          <w:color w:val="auto"/>
        </w:rPr>
      </w:pPr>
    </w:p>
    <w:p>
      <w:pPr>
        <w:jc w:val="both"/>
        <w:ind w:left="2600" w:hanging="657"/>
        <w:spacing w:after="0" w:line="254" w:lineRule="auto"/>
        <w:tabs>
          <w:tab w:leader="none" w:pos="26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Enter into any transactions (excluding those that arise in the ordinary or daily business course or have been disclosed to and agreed by Party A expressly in writing in advance) that will or may have materially adverse effects on its assets, liabilities, operation, shares and other legitimate rights;</w:t>
      </w:r>
    </w:p>
    <w:p>
      <w:pPr>
        <w:spacing w:after="0" w:line="176" w:lineRule="exact"/>
        <w:rPr>
          <w:rFonts w:ascii="Arial" w:cs="Arial" w:eastAsia="Arial" w:hAnsi="Arial"/>
          <w:sz w:val="17"/>
          <w:szCs w:val="17"/>
          <w:color w:val="auto"/>
        </w:rPr>
      </w:pPr>
    </w:p>
    <w:p>
      <w:pPr>
        <w:ind w:left="2600" w:hanging="657"/>
        <w:spacing w:after="0"/>
        <w:tabs>
          <w:tab w:leader="none" w:pos="26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Distribute any dividends or bonuses to each shareholder in any form;</w:t>
      </w:r>
    </w:p>
    <w:p>
      <w:pPr>
        <w:spacing w:after="0" w:line="203" w:lineRule="exact"/>
        <w:rPr>
          <w:rFonts w:ascii="Arial" w:cs="Arial" w:eastAsia="Arial" w:hAnsi="Arial"/>
          <w:sz w:val="17"/>
          <w:szCs w:val="17"/>
          <w:color w:val="auto"/>
        </w:rPr>
      </w:pPr>
    </w:p>
    <w:p>
      <w:pPr>
        <w:jc w:val="both"/>
        <w:ind w:left="2600" w:hanging="657"/>
        <w:spacing w:after="0" w:line="254" w:lineRule="auto"/>
        <w:tabs>
          <w:tab w:leader="none" w:pos="26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Incur, inherit, guarantee or allow the existence of any debts other than (i) any debts that arise in the ordinary or daily business course rather than by borrowing, and (ii) any debts that have been disclosed to and agreed by Party A expressly in writing in advance;</w:t>
      </w:r>
    </w:p>
    <w:p>
      <w:pPr>
        <w:spacing w:after="0" w:line="176" w:lineRule="exact"/>
        <w:rPr>
          <w:rFonts w:ascii="Arial" w:cs="Arial" w:eastAsia="Arial" w:hAnsi="Arial"/>
          <w:sz w:val="17"/>
          <w:szCs w:val="17"/>
          <w:color w:val="auto"/>
        </w:rPr>
      </w:pPr>
    </w:p>
    <w:p>
      <w:pPr>
        <w:ind w:left="2600" w:hanging="657"/>
        <w:spacing w:after="0" w:line="332" w:lineRule="auto"/>
        <w:tabs>
          <w:tab w:leader="none" w:pos="26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Sign any significant contracts other than those signed in the ordinary business course (for the purpose of this Article, if the amount under a contract is more than RMB50,000, such contract shall be deemed to be a significant contract);</w:t>
      </w:r>
    </w:p>
    <w:p>
      <w:pPr>
        <w:spacing w:after="0" w:line="120" w:lineRule="exact"/>
        <w:rPr>
          <w:rFonts w:ascii="Arial" w:cs="Arial" w:eastAsia="Arial" w:hAnsi="Arial"/>
          <w:sz w:val="15"/>
          <w:szCs w:val="15"/>
          <w:color w:val="auto"/>
        </w:rPr>
      </w:pPr>
    </w:p>
    <w:p>
      <w:pPr>
        <w:ind w:left="2600" w:hanging="657"/>
        <w:spacing w:after="0"/>
        <w:tabs>
          <w:tab w:leader="none" w:pos="26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Adopt a shareholder resolution on the increase or decrease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60960</wp:posOffset>
            </wp:positionV>
            <wp:extent cx="7184390"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580"/>
          </w:cols>
          <w:pgMar w:left="980" w:top="127" w:right="339" w:bottom="1440" w:gutter="0" w:footer="0" w:header="0"/>
        </w:sectPr>
      </w:pPr>
    </w:p>
    <w:bookmarkStart w:id="189" w:name="page190"/>
    <w:bookmarkEnd w:id="189"/>
    <w:p>
      <w:pPr>
        <w:ind w:left="3211"/>
        <w:spacing w:after="0"/>
        <w:rPr>
          <w:sz w:val="20"/>
          <w:szCs w:val="20"/>
          <w:color w:val="auto"/>
        </w:rPr>
      </w:pPr>
      <w:r>
        <w:rPr>
          <w:rFonts w:ascii="Arial" w:cs="Arial" w:eastAsia="Arial" w:hAnsi="Arial"/>
          <w:sz w:val="17"/>
          <w:szCs w:val="17"/>
          <w:color w:val="auto"/>
        </w:rPr>
        <w:t>Party C’s registered capital or otherwise modify the structure of the registered capital;</w:t>
      </w:r>
    </w:p>
    <w:p>
      <w:pPr>
        <w:spacing w:after="0" w:line="203" w:lineRule="exact"/>
        <w:rPr>
          <w:sz w:val="20"/>
          <w:szCs w:val="20"/>
          <w:color w:val="auto"/>
        </w:rPr>
      </w:pPr>
    </w:p>
    <w:p>
      <w:pPr>
        <w:ind w:left="3211" w:hanging="657"/>
        <w:spacing w:after="0"/>
        <w:tabs>
          <w:tab w:leader="none" w:pos="321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Supplement, modify or amend Party C’s articles of association in any form; and</w:t>
      </w:r>
    </w:p>
    <w:p>
      <w:pPr>
        <w:spacing w:after="0" w:line="203" w:lineRule="exact"/>
        <w:rPr>
          <w:rFonts w:ascii="Arial" w:cs="Arial" w:eastAsia="Arial" w:hAnsi="Arial"/>
          <w:sz w:val="17"/>
          <w:szCs w:val="17"/>
          <w:color w:val="auto"/>
        </w:rPr>
      </w:pPr>
    </w:p>
    <w:p>
      <w:pPr>
        <w:ind w:left="3211" w:hanging="657"/>
        <w:spacing w:after="0" w:line="264" w:lineRule="auto"/>
        <w:tabs>
          <w:tab w:leader="none" w:pos="321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Enter into merge or association with any persons, or acquire investments from any persons or make an investment to any persons.</w:t>
      </w:r>
    </w:p>
    <w:p>
      <w:pPr>
        <w:spacing w:after="0" w:line="168" w:lineRule="exact"/>
        <w:rPr>
          <w:sz w:val="20"/>
          <w:szCs w:val="20"/>
          <w:color w:val="auto"/>
        </w:rPr>
      </w:pPr>
    </w:p>
    <w:p>
      <w:pPr>
        <w:jc w:val="both"/>
        <w:ind w:left="2531" w:hanging="858"/>
        <w:spacing w:after="0" w:line="332" w:lineRule="auto"/>
        <w:tabs>
          <w:tab w:leader="none" w:pos="251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5"/>
          <w:szCs w:val="15"/>
          <w:color w:val="auto"/>
        </w:rPr>
        <w:t>On the date of signing this Agreement and each Delivery Date, Party C has no outstanding debts other than (i) any debts arising in its ordinary business course; and (ii) any debts that have been disclosed to and agreed by Party A expressly in writing in advance.</w:t>
      </w:r>
    </w:p>
    <w:p>
      <w:pPr>
        <w:spacing w:after="0" w:line="121" w:lineRule="exact"/>
        <w:rPr>
          <w:sz w:val="20"/>
          <w:szCs w:val="20"/>
          <w:color w:val="auto"/>
        </w:rPr>
      </w:pPr>
    </w:p>
    <w:p>
      <w:pPr>
        <w:jc w:val="both"/>
        <w:ind w:left="2531" w:hanging="858"/>
        <w:spacing w:after="0" w:line="304" w:lineRule="auto"/>
        <w:tabs>
          <w:tab w:leader="none" w:pos="251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5"/>
          <w:szCs w:val="15"/>
          <w:color w:val="auto"/>
        </w:rPr>
        <w:t>On the date of signing this Agreement and each Delivery Date, there is no suit, arbitration or administrative proceedings that are ongoing or may occur in relation to the shares, Party C’s assets or that may have a substantial impact on the performance of this Agreement by Party C other than those that have been disclosed to and agreed by Party A expressly in writing in advance.</w:t>
      </w:r>
    </w:p>
    <w:p>
      <w:pPr>
        <w:spacing w:after="0" w:line="142" w:lineRule="exact"/>
        <w:rPr>
          <w:sz w:val="20"/>
          <w:szCs w:val="20"/>
          <w:color w:val="auto"/>
        </w:rPr>
      </w:pPr>
    </w:p>
    <w:p>
      <w:pPr>
        <w:ind w:left="1671"/>
        <w:spacing w:after="0"/>
        <w:tabs>
          <w:tab w:leader="none" w:pos="2510"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3"/>
          <w:szCs w:val="13"/>
          <w:color w:val="auto"/>
        </w:rPr>
        <w:t>Party C has not been declared bankrupt.</w:t>
      </w:r>
    </w:p>
    <w:p>
      <w:pPr>
        <w:spacing w:after="0" w:line="203" w:lineRule="exact"/>
        <w:rPr>
          <w:sz w:val="20"/>
          <w:szCs w:val="20"/>
          <w:color w:val="auto"/>
        </w:rPr>
      </w:pPr>
    </w:p>
    <w:p>
      <w:pPr>
        <w:jc w:val="both"/>
        <w:ind w:left="2531" w:hanging="858"/>
        <w:spacing w:after="0" w:line="267" w:lineRule="auto"/>
        <w:tabs>
          <w:tab w:leader="none" w:pos="2510" w:val="left"/>
        </w:tabs>
        <w:rPr>
          <w:sz w:val="20"/>
          <w:szCs w:val="20"/>
          <w:color w:val="auto"/>
        </w:rPr>
      </w:pPr>
      <w:r>
        <w:rPr>
          <w:rFonts w:ascii="Arial" w:cs="Arial" w:eastAsia="Arial" w:hAnsi="Arial"/>
          <w:sz w:val="17"/>
          <w:szCs w:val="17"/>
          <w:color w:val="auto"/>
        </w:rPr>
        <w:t>3.3.5</w:t>
      </w:r>
      <w:r>
        <w:rPr>
          <w:sz w:val="20"/>
          <w:szCs w:val="20"/>
          <w:color w:val="auto"/>
        </w:rPr>
        <w:tab/>
      </w:r>
      <w:r>
        <w:rPr>
          <w:rFonts w:ascii="Arial" w:cs="Arial" w:eastAsia="Arial" w:hAnsi="Arial"/>
          <w:sz w:val="16"/>
          <w:szCs w:val="16"/>
          <w:color w:val="auto"/>
        </w:rPr>
        <w:t>Party C hereby undertakes to Party A that it will comply with all laws and regulations applicable to the acquisition of shares and assets within the term of this Agreement, bear all expenses arising out of the share transfer and handle all procedures necessary for enabling Party A or its designated third party to become Party C’s shareholder, including but not limited to assisting Party A in obtaining any necessary approvals in relation to the share transfer from the approval authorities, submitting the relevant applications required for handling the share change registration to the competent administrative department of industry and commerce and amending the register of shareholders.</w:t>
      </w:r>
    </w:p>
    <w:p>
      <w:pPr>
        <w:spacing w:after="0" w:line="200" w:lineRule="exact"/>
        <w:rPr>
          <w:sz w:val="20"/>
          <w:szCs w:val="20"/>
          <w:color w:val="auto"/>
        </w:rPr>
      </w:pPr>
    </w:p>
    <w:p>
      <w:pPr>
        <w:spacing w:after="0" w:line="362" w:lineRule="exact"/>
        <w:rPr>
          <w:sz w:val="20"/>
          <w:szCs w:val="20"/>
          <w:color w:val="auto"/>
        </w:rPr>
      </w:pPr>
    </w:p>
    <w:p>
      <w:pPr>
        <w:ind w:left="631" w:hanging="631"/>
        <w:spacing w:after="0"/>
        <w:tabs>
          <w:tab w:leader="none" w:pos="631"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207" w:lineRule="exact"/>
        <w:rPr>
          <w:sz w:val="20"/>
          <w:szCs w:val="20"/>
          <w:color w:val="auto"/>
        </w:rPr>
      </w:pPr>
    </w:p>
    <w:p>
      <w:pPr>
        <w:ind w:left="591"/>
        <w:spacing w:after="0"/>
        <w:rPr>
          <w:sz w:val="20"/>
          <w:szCs w:val="20"/>
          <w:color w:val="auto"/>
        </w:rPr>
      </w:pPr>
      <w:r>
        <w:rPr>
          <w:rFonts w:ascii="Arial" w:cs="Arial" w:eastAsia="Arial" w:hAnsi="Arial"/>
          <w:sz w:val="17"/>
          <w:szCs w:val="17"/>
          <w:color w:val="auto"/>
        </w:rPr>
        <w:t>All taxes arising out of the performance of this Agreement shall be borne by Party C.</w:t>
      </w:r>
    </w:p>
    <w:p>
      <w:pPr>
        <w:spacing w:after="0" w:line="199" w:lineRule="exact"/>
        <w:rPr>
          <w:sz w:val="20"/>
          <w:szCs w:val="20"/>
          <w:color w:val="auto"/>
        </w:rPr>
      </w:pPr>
    </w:p>
    <w:p>
      <w:pPr>
        <w:ind w:left="631" w:hanging="631"/>
        <w:spacing w:after="0"/>
        <w:tabs>
          <w:tab w:leader="none" w:pos="631"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Breach of Contract</w:t>
      </w:r>
    </w:p>
    <w:p>
      <w:pPr>
        <w:spacing w:after="0" w:line="207" w:lineRule="exact"/>
        <w:rPr>
          <w:sz w:val="20"/>
          <w:szCs w:val="20"/>
          <w:color w:val="auto"/>
        </w:rPr>
      </w:pPr>
    </w:p>
    <w:p>
      <w:pPr>
        <w:jc w:val="both"/>
        <w:ind w:left="591"/>
        <w:spacing w:after="0" w:line="254" w:lineRule="auto"/>
        <w:rPr>
          <w:sz w:val="20"/>
          <w:szCs w:val="20"/>
          <w:color w:val="auto"/>
        </w:rPr>
      </w:pPr>
      <w:r>
        <w:rPr>
          <w:rFonts w:ascii="Arial" w:cs="Arial" w:eastAsia="Arial" w:hAnsi="Arial"/>
          <w:sz w:val="17"/>
          <w:szCs w:val="17"/>
          <w:color w:val="auto"/>
        </w:rPr>
        <w:t>Except as otherwise stipulated herein, if any Party fails to fully perform or suspend the performance of its obligations under this Agreement and fails to correct such breach within Thirty (30) days from the date of receipt of a notice from the other Party, or any of its representations and warranties under this Agreement are untrue, inaccurate or misleading, such Party shall be deemed to have breached this Agreement.</w:t>
      </w:r>
    </w:p>
    <w:p>
      <w:pPr>
        <w:spacing w:after="0" w:line="177" w:lineRule="exact"/>
        <w:rPr>
          <w:sz w:val="20"/>
          <w:szCs w:val="20"/>
          <w:color w:val="auto"/>
        </w:rPr>
      </w:pPr>
    </w:p>
    <w:p>
      <w:pPr>
        <w:jc w:val="both"/>
        <w:ind w:left="591"/>
        <w:spacing w:after="0" w:line="295" w:lineRule="auto"/>
        <w:rPr>
          <w:sz w:val="20"/>
          <w:szCs w:val="20"/>
          <w:color w:val="auto"/>
        </w:rPr>
      </w:pPr>
      <w:r>
        <w:rPr>
          <w:rFonts w:ascii="Arial" w:cs="Arial" w:eastAsia="Arial" w:hAnsi="Arial"/>
          <w:sz w:val="15"/>
          <w:szCs w:val="15"/>
          <w:color w:val="auto"/>
        </w:rPr>
        <w:t>If any Party hereto breaches this Agreement or any of its representations and warranties under this Agreement, the non-breaching Party may notify in writing the breaching Party of correcting such breach within Ten (10) days from the date of receipt of a notice, taking appropriate measures to effectively and promptly avoid any damage and continuing to perform this Agreement. If any damage occurs, the breaching Party shall make compensation to the non-breaching Party so that the non-breaching Party can obtain all rights and interests that should have been obtained by it in the case of the performance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153035</wp:posOffset>
            </wp:positionV>
            <wp:extent cx="7184390"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725" w:right="339" w:bottom="1440" w:gutter="0" w:footer="0" w:header="0"/>
        </w:sectPr>
      </w:pPr>
    </w:p>
    <w:bookmarkStart w:id="190" w:name="page191"/>
    <w:bookmarkEnd w:id="190"/>
    <w:p>
      <w:pPr>
        <w:ind w:left="591"/>
        <w:spacing w:after="0" w:line="264" w:lineRule="auto"/>
        <w:rPr>
          <w:sz w:val="20"/>
          <w:szCs w:val="20"/>
          <w:color w:val="auto"/>
        </w:rPr>
      </w:pPr>
      <w:r>
        <w:rPr>
          <w:rFonts w:ascii="Arial" w:cs="Arial" w:eastAsia="Arial" w:hAnsi="Arial"/>
          <w:sz w:val="17"/>
          <w:szCs w:val="17"/>
          <w:color w:val="auto"/>
        </w:rPr>
        <w:t>If all of the Parties breach this Agreement, they shall determine the respective amount of compensation payable by them according to the degree of their respective breach.</w:t>
      </w:r>
    </w:p>
    <w:p>
      <w:pPr>
        <w:spacing w:after="0" w:line="164" w:lineRule="exact"/>
        <w:rPr>
          <w:sz w:val="20"/>
          <w:szCs w:val="20"/>
          <w:color w:val="auto"/>
        </w:rPr>
      </w:pPr>
    </w:p>
    <w:p>
      <w:pPr>
        <w:ind w:left="631" w:hanging="631"/>
        <w:spacing w:after="0"/>
        <w:tabs>
          <w:tab w:leader="none" w:pos="631"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20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Governing Law</w:t>
      </w:r>
    </w:p>
    <w:p>
      <w:pPr>
        <w:spacing w:after="0" w:line="203" w:lineRule="exact"/>
        <w:rPr>
          <w:sz w:val="20"/>
          <w:szCs w:val="20"/>
          <w:color w:val="auto"/>
        </w:rPr>
      </w:pPr>
    </w:p>
    <w:p>
      <w:pPr>
        <w:ind w:left="1471"/>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203"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Arbitration</w:t>
      </w:r>
    </w:p>
    <w:p>
      <w:pPr>
        <w:spacing w:after="0" w:line="203" w:lineRule="exact"/>
        <w:rPr>
          <w:sz w:val="20"/>
          <w:szCs w:val="20"/>
          <w:color w:val="auto"/>
        </w:rPr>
      </w:pPr>
    </w:p>
    <w:p>
      <w:pPr>
        <w:jc w:val="both"/>
        <w:ind w:left="1471"/>
        <w:spacing w:after="0" w:line="278" w:lineRule="auto"/>
        <w:rPr>
          <w:sz w:val="20"/>
          <w:szCs w:val="20"/>
          <w:color w:val="auto"/>
        </w:rPr>
      </w:pPr>
      <w:r>
        <w:rPr>
          <w:rFonts w:ascii="Arial" w:cs="Arial" w:eastAsia="Arial" w:hAnsi="Arial"/>
          <w:sz w:val="16"/>
          <w:szCs w:val="16"/>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w:t>
      </w:r>
    </w:p>
    <w:p>
      <w:pPr>
        <w:spacing w:after="0" w:line="200" w:lineRule="exact"/>
        <w:rPr>
          <w:sz w:val="20"/>
          <w:szCs w:val="20"/>
          <w:color w:val="auto"/>
        </w:rPr>
      </w:pPr>
    </w:p>
    <w:p>
      <w:pPr>
        <w:spacing w:after="0" w:line="357" w:lineRule="exact"/>
        <w:rPr>
          <w:sz w:val="20"/>
          <w:szCs w:val="20"/>
          <w:color w:val="auto"/>
        </w:rPr>
      </w:pPr>
    </w:p>
    <w:p>
      <w:pPr>
        <w:jc w:val="both"/>
        <w:ind w:left="1471"/>
        <w:spacing w:after="0" w:line="254" w:lineRule="auto"/>
        <w:rPr>
          <w:sz w:val="20"/>
          <w:szCs w:val="20"/>
          <w:color w:val="auto"/>
        </w:rPr>
      </w:pPr>
      <w:r>
        <w:rPr>
          <w:rFonts w:ascii="Arial" w:cs="Arial" w:eastAsia="Arial" w:hAnsi="Arial"/>
          <w:sz w:val="17"/>
          <w:szCs w:val="17"/>
          <w:color w:val="auto"/>
        </w:rPr>
        <w:t>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17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Continue to Perform</w:t>
      </w:r>
    </w:p>
    <w:p>
      <w:pPr>
        <w:spacing w:after="0" w:line="203" w:lineRule="exact"/>
        <w:rPr>
          <w:sz w:val="20"/>
          <w:szCs w:val="20"/>
          <w:color w:val="auto"/>
        </w:rPr>
      </w:pPr>
    </w:p>
    <w:p>
      <w:pPr>
        <w:jc w:val="both"/>
        <w:ind w:left="1471"/>
        <w:spacing w:after="0" w:line="264" w:lineRule="auto"/>
        <w:rPr>
          <w:sz w:val="20"/>
          <w:szCs w:val="20"/>
          <w:color w:val="auto"/>
        </w:rPr>
      </w:pP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64" w:lineRule="exact"/>
        <w:rPr>
          <w:sz w:val="20"/>
          <w:szCs w:val="20"/>
          <w:color w:val="auto"/>
        </w:rPr>
      </w:pPr>
    </w:p>
    <w:p>
      <w:pPr>
        <w:ind w:left="411" w:hanging="411"/>
        <w:spacing w:after="0"/>
        <w:tabs>
          <w:tab w:leader="none" w:pos="411"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Confidential Information</w:t>
      </w:r>
    </w:p>
    <w:p>
      <w:pPr>
        <w:spacing w:after="0" w:line="203" w:lineRule="exact"/>
        <w:rPr>
          <w:sz w:val="20"/>
          <w:szCs w:val="20"/>
          <w:color w:val="auto"/>
        </w:rPr>
      </w:pPr>
    </w:p>
    <w:p>
      <w:pPr>
        <w:jc w:val="both"/>
        <w:ind w:left="1471" w:firstLine="1"/>
        <w:spacing w:after="0" w:line="254" w:lineRule="auto"/>
        <w:rPr>
          <w:sz w:val="20"/>
          <w:szCs w:val="20"/>
          <w:color w:val="auto"/>
        </w:rPr>
      </w:pPr>
      <w:r>
        <w:rPr>
          <w:rFonts w:ascii="Arial" w:cs="Arial" w:eastAsia="Arial" w:hAnsi="Arial"/>
          <w:sz w:val="17"/>
          <w:szCs w:val="17"/>
          <w:color w:val="auto"/>
        </w:rPr>
        <w:t>Any contents of this Agreement and its annexes shall be kept confidential. Any Party shall not disclose to any third party any information contained herein (unless they obtain the prior written consent of the Parties hereto). These provisions hereof shall survive the termination of this Agreement.</w:t>
      </w:r>
    </w:p>
    <w:p>
      <w:pPr>
        <w:spacing w:after="0" w:line="17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color w:val="auto"/>
        </w:rPr>
        <w:t>Exceptions</w:t>
      </w:r>
    </w:p>
    <w:p>
      <w:pPr>
        <w:spacing w:after="0" w:line="203" w:lineRule="exact"/>
        <w:rPr>
          <w:sz w:val="20"/>
          <w:szCs w:val="20"/>
          <w:color w:val="auto"/>
        </w:rPr>
      </w:pPr>
    </w:p>
    <w:p>
      <w:pPr>
        <w:jc w:val="both"/>
        <w:ind w:left="1471" w:firstLine="1"/>
        <w:spacing w:after="0" w:line="264" w:lineRule="auto"/>
        <w:rPr>
          <w:sz w:val="20"/>
          <w:szCs w:val="20"/>
          <w:color w:val="auto"/>
        </w:rPr>
      </w:pPr>
      <w:r>
        <w:rPr>
          <w:rFonts w:ascii="Arial" w:cs="Arial" w:eastAsia="Arial" w:hAnsi="Arial"/>
          <w:sz w:val="17"/>
          <w:szCs w:val="17"/>
          <w:color w:val="auto"/>
        </w:rPr>
        <w:t>Any disclosure of any confidential information required by the laws, court judgments, arbitral awards and decisions of governmental authorities shall not constitute a breach of the Section 7.1 above.</w:t>
      </w:r>
    </w:p>
    <w:p>
      <w:pPr>
        <w:spacing w:after="0" w:line="164" w:lineRule="exact"/>
        <w:rPr>
          <w:sz w:val="20"/>
          <w:szCs w:val="20"/>
          <w:color w:val="auto"/>
        </w:rPr>
      </w:pPr>
    </w:p>
    <w:p>
      <w:pPr>
        <w:ind w:left="631" w:hanging="631"/>
        <w:spacing w:after="0"/>
        <w:tabs>
          <w:tab w:leader="none" w:pos="631"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Entire Agreement</w:t>
      </w:r>
    </w:p>
    <w:p>
      <w:pPr>
        <w:spacing w:after="0" w:line="203" w:lineRule="exact"/>
        <w:rPr>
          <w:sz w:val="20"/>
          <w:szCs w:val="20"/>
          <w:color w:val="auto"/>
        </w:rPr>
      </w:pPr>
    </w:p>
    <w:p>
      <w:pPr>
        <w:jc w:val="both"/>
        <w:ind w:left="1471"/>
        <w:spacing w:after="0" w:line="251" w:lineRule="auto"/>
        <w:rPr>
          <w:sz w:val="20"/>
          <w:szCs w:val="20"/>
          <w:color w:val="auto"/>
        </w:rPr>
      </w:pPr>
      <w:r>
        <w:rPr>
          <w:rFonts w:ascii="Arial" w:cs="Arial" w:eastAsia="Arial" w:hAnsi="Arial"/>
          <w:sz w:val="17"/>
          <w:szCs w:val="17"/>
          <w:color w:val="auto"/>
        </w:rPr>
        <w:t>This Agreement shall constitute an entire agreement among the Parties hereto in respect of the matters involved herein. In case of any discrepancies between any prior discussions, negotiations and agreement and this Agreement, this Agreement shall prevail. This Agreement shall be amended by the Parties in writing. Any annexes hereto shall form an integral part of this Agreement and be equally authentic as this Agreement.</w:t>
      </w:r>
    </w:p>
    <w:p>
      <w:pPr>
        <w:spacing w:after="0" w:line="179"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3"/>
          <w:szCs w:val="13"/>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60960</wp:posOffset>
            </wp:positionV>
            <wp:extent cx="7184390"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127" w:right="339" w:bottom="1440" w:gutter="0" w:footer="0" w:header="0"/>
        </w:sectPr>
      </w:pPr>
    </w:p>
    <w:bookmarkStart w:id="191" w:name="page192"/>
    <w:bookmarkEnd w:id="191"/>
    <w:tbl>
      <w:tblPr>
        <w:tblLayout w:type="fixed"/>
        <w:tblInd w:w="340" w:type="dxa"/>
        <w:tblCellMar>
          <w:top w:w="0" w:type="dxa"/>
          <w:left w:w="0" w:type="dxa"/>
          <w:bottom w:w="0" w:type="dxa"/>
          <w:right w:w="0" w:type="dxa"/>
        </w:tblCellMar>
      </w:tblPr>
      <w:tr>
        <w:trPr>
          <w:trHeight w:val="199"/>
        </w:trPr>
        <w:tc>
          <w:tcPr>
            <w:tcW w:w="960" w:type="dxa"/>
            <w:vAlign w:val="bottom"/>
          </w:tcPr>
          <w:p>
            <w:pPr>
              <w:jc w:val="right"/>
              <w:ind w:right="537"/>
              <w:spacing w:after="0"/>
              <w:rPr>
                <w:sz w:val="20"/>
                <w:szCs w:val="20"/>
                <w:color w:val="auto"/>
              </w:rPr>
            </w:pPr>
            <w:r>
              <w:rPr>
                <w:rFonts w:ascii="Arial" w:cs="Arial" w:eastAsia="Arial" w:hAnsi="Arial"/>
                <w:sz w:val="17"/>
                <w:szCs w:val="17"/>
                <w:color w:val="auto"/>
                <w:w w:val="84"/>
              </w:rPr>
              <w:t>8.2.1</w:t>
            </w:r>
          </w:p>
        </w:tc>
        <w:tc>
          <w:tcPr>
            <w:tcW w:w="9280" w:type="dxa"/>
            <w:vAlign w:val="bottom"/>
          </w:tcPr>
          <w:p>
            <w:pPr>
              <w:ind w:left="100"/>
              <w:spacing w:after="0"/>
              <w:rPr>
                <w:sz w:val="20"/>
                <w:szCs w:val="20"/>
                <w:color w:val="auto"/>
              </w:rPr>
            </w:pPr>
            <w:r>
              <w:rPr>
                <w:rFonts w:ascii="Arial" w:cs="Arial" w:eastAsia="Arial" w:hAnsi="Arial"/>
                <w:sz w:val="17"/>
                <w:szCs w:val="17"/>
                <w:color w:val="auto"/>
                <w:w w:val="90"/>
              </w:rPr>
              <w:t>Any notices sent by the Parties for the performance of their rights and obligations under this Agreement shall be made in writing and be</w:t>
            </w:r>
          </w:p>
        </w:tc>
      </w:tr>
      <w:tr>
        <w:trPr>
          <w:trHeight w:val="199"/>
        </w:trPr>
        <w:tc>
          <w:tcPr>
            <w:tcW w:w="960" w:type="dxa"/>
            <w:vAlign w:val="bottom"/>
          </w:tcPr>
          <w:p>
            <w:pPr>
              <w:spacing w:after="0"/>
              <w:rPr>
                <w:sz w:val="17"/>
                <w:szCs w:val="17"/>
                <w:color w:val="auto"/>
              </w:rPr>
            </w:pPr>
          </w:p>
        </w:tc>
        <w:tc>
          <w:tcPr>
            <w:tcW w:w="9280" w:type="dxa"/>
            <w:vAlign w:val="bottom"/>
          </w:tcPr>
          <w:p>
            <w:pPr>
              <w:ind w:left="100"/>
              <w:spacing w:after="0"/>
              <w:rPr>
                <w:sz w:val="20"/>
                <w:szCs w:val="20"/>
                <w:color w:val="auto"/>
              </w:rPr>
            </w:pPr>
            <w:r>
              <w:rPr>
                <w:rFonts w:ascii="Arial" w:cs="Arial" w:eastAsia="Arial" w:hAnsi="Arial"/>
                <w:sz w:val="17"/>
                <w:szCs w:val="17"/>
                <w:color w:val="auto"/>
                <w:w w:val="89"/>
              </w:rPr>
              <w:t>sent to the following addresses of one or all of the Parties hereto by personal delivery, registered mail, postage prepaid mail, recognized</w:t>
            </w:r>
          </w:p>
        </w:tc>
      </w:tr>
      <w:tr>
        <w:trPr>
          <w:trHeight w:val="212"/>
        </w:trPr>
        <w:tc>
          <w:tcPr>
            <w:tcW w:w="960" w:type="dxa"/>
            <w:vAlign w:val="bottom"/>
          </w:tcPr>
          <w:p>
            <w:pPr>
              <w:spacing w:after="0"/>
              <w:rPr>
                <w:sz w:val="18"/>
                <w:szCs w:val="18"/>
                <w:color w:val="auto"/>
              </w:rPr>
            </w:pPr>
          </w:p>
        </w:tc>
        <w:tc>
          <w:tcPr>
            <w:tcW w:w="9280" w:type="dxa"/>
            <w:vAlign w:val="bottom"/>
          </w:tcPr>
          <w:p>
            <w:pPr>
              <w:ind w:left="100"/>
              <w:spacing w:after="0"/>
              <w:rPr>
                <w:sz w:val="20"/>
                <w:szCs w:val="20"/>
                <w:color w:val="auto"/>
              </w:rPr>
            </w:pPr>
            <w:r>
              <w:rPr>
                <w:rFonts w:ascii="Arial" w:cs="Arial" w:eastAsia="Arial" w:hAnsi="Arial"/>
                <w:sz w:val="17"/>
                <w:szCs w:val="17"/>
                <w:color w:val="auto"/>
              </w:rPr>
              <w:t>express service or facsimile transmission:</w:t>
            </w:r>
          </w:p>
        </w:tc>
      </w:tr>
      <w:tr>
        <w:trPr>
          <w:trHeight w:val="598"/>
        </w:trPr>
        <w:tc>
          <w:tcPr>
            <w:tcW w:w="960" w:type="dxa"/>
            <w:vAlign w:val="bottom"/>
          </w:tcPr>
          <w:p>
            <w:pPr>
              <w:spacing w:after="0"/>
              <w:rPr>
                <w:sz w:val="24"/>
                <w:szCs w:val="24"/>
                <w:color w:val="auto"/>
              </w:rPr>
            </w:pPr>
          </w:p>
        </w:tc>
        <w:tc>
          <w:tcPr>
            <w:tcW w:w="9280" w:type="dxa"/>
            <w:vAlign w:val="bottom"/>
          </w:tcPr>
          <w:p>
            <w:pPr>
              <w:ind w:left="100"/>
              <w:spacing w:after="0"/>
              <w:rPr>
                <w:sz w:val="20"/>
                <w:szCs w:val="20"/>
                <w:color w:val="auto"/>
              </w:rPr>
            </w:pPr>
            <w:r>
              <w:rPr>
                <w:rFonts w:ascii="Arial" w:cs="Arial" w:eastAsia="Arial" w:hAnsi="Arial"/>
                <w:sz w:val="17"/>
                <w:szCs w:val="17"/>
                <w:b w:val="1"/>
                <w:bCs w:val="1"/>
                <w:color w:val="auto"/>
              </w:rPr>
              <w:t>Party A,</w:t>
            </w:r>
          </w:p>
        </w:tc>
      </w:tr>
      <w:tr>
        <w:trPr>
          <w:trHeight w:val="386"/>
        </w:trPr>
        <w:tc>
          <w:tcPr>
            <w:tcW w:w="960" w:type="dxa"/>
            <w:vAlign w:val="bottom"/>
          </w:tcPr>
          <w:p>
            <w:pPr>
              <w:spacing w:after="0"/>
              <w:rPr>
                <w:sz w:val="24"/>
                <w:szCs w:val="24"/>
                <w:color w:val="auto"/>
              </w:rPr>
            </w:pPr>
          </w:p>
        </w:tc>
        <w:tc>
          <w:tcPr>
            <w:tcW w:w="9280" w:type="dxa"/>
            <w:vAlign w:val="bottom"/>
          </w:tcPr>
          <w:p>
            <w:pPr>
              <w:ind w:left="100"/>
              <w:spacing w:after="0"/>
              <w:rPr>
                <w:sz w:val="20"/>
                <w:szCs w:val="20"/>
                <w:color w:val="auto"/>
              </w:rPr>
            </w:pPr>
            <w:r>
              <w:rPr>
                <w:rFonts w:ascii="Arial" w:cs="Arial" w:eastAsia="Arial" w:hAnsi="Arial"/>
                <w:sz w:val="17"/>
                <w:szCs w:val="17"/>
                <w:color w:val="auto"/>
              </w:rPr>
              <w:t>Address: [●]</w:t>
            </w:r>
          </w:p>
        </w:tc>
      </w:tr>
      <w:tr>
        <w:trPr>
          <w:trHeight w:val="199"/>
        </w:trPr>
        <w:tc>
          <w:tcPr>
            <w:tcW w:w="960" w:type="dxa"/>
            <w:vAlign w:val="bottom"/>
          </w:tcPr>
          <w:p>
            <w:pPr>
              <w:spacing w:after="0"/>
              <w:rPr>
                <w:sz w:val="17"/>
                <w:szCs w:val="17"/>
                <w:color w:val="auto"/>
              </w:rPr>
            </w:pPr>
          </w:p>
        </w:tc>
        <w:tc>
          <w:tcPr>
            <w:tcW w:w="9280" w:type="dxa"/>
            <w:vAlign w:val="bottom"/>
          </w:tcPr>
          <w:p>
            <w:pPr>
              <w:ind w:left="100"/>
              <w:spacing w:after="0"/>
              <w:rPr>
                <w:sz w:val="20"/>
                <w:szCs w:val="20"/>
                <w:color w:val="auto"/>
              </w:rPr>
            </w:pPr>
            <w:r>
              <w:rPr>
                <w:rFonts w:ascii="Arial" w:cs="Arial" w:eastAsia="Arial" w:hAnsi="Arial"/>
                <w:sz w:val="17"/>
                <w:szCs w:val="17"/>
                <w:color w:val="auto"/>
              </w:rPr>
              <w:t>Tel.:</w:t>
            </w:r>
          </w:p>
        </w:tc>
      </w:tr>
      <w:tr>
        <w:trPr>
          <w:trHeight w:val="212"/>
        </w:trPr>
        <w:tc>
          <w:tcPr>
            <w:tcW w:w="960" w:type="dxa"/>
            <w:vAlign w:val="bottom"/>
          </w:tcPr>
          <w:p>
            <w:pPr>
              <w:spacing w:after="0"/>
              <w:rPr>
                <w:sz w:val="18"/>
                <w:szCs w:val="18"/>
                <w:color w:val="auto"/>
              </w:rPr>
            </w:pPr>
          </w:p>
        </w:tc>
        <w:tc>
          <w:tcPr>
            <w:tcW w:w="9280" w:type="dxa"/>
            <w:vAlign w:val="bottom"/>
          </w:tcPr>
          <w:p>
            <w:pPr>
              <w:ind w:left="100"/>
              <w:spacing w:after="0"/>
              <w:rPr>
                <w:sz w:val="20"/>
                <w:szCs w:val="20"/>
                <w:color w:val="auto"/>
              </w:rPr>
            </w:pPr>
            <w:r>
              <w:rPr>
                <w:rFonts w:ascii="Arial" w:cs="Arial" w:eastAsia="Arial" w:hAnsi="Arial"/>
                <w:sz w:val="17"/>
                <w:szCs w:val="17"/>
                <w:color w:val="auto"/>
              </w:rPr>
              <w:t>Attn.: [●]</w:t>
            </w:r>
          </w:p>
        </w:tc>
      </w:tr>
      <w:tr>
        <w:trPr>
          <w:trHeight w:val="399"/>
        </w:trPr>
        <w:tc>
          <w:tcPr>
            <w:tcW w:w="960" w:type="dxa"/>
            <w:vAlign w:val="bottom"/>
          </w:tcPr>
          <w:p>
            <w:pPr>
              <w:spacing w:after="0"/>
              <w:rPr>
                <w:sz w:val="24"/>
                <w:szCs w:val="24"/>
                <w:color w:val="auto"/>
              </w:rPr>
            </w:pPr>
          </w:p>
        </w:tc>
        <w:tc>
          <w:tcPr>
            <w:tcW w:w="9280" w:type="dxa"/>
            <w:vAlign w:val="bottom"/>
          </w:tcPr>
          <w:p>
            <w:pPr>
              <w:ind w:left="100"/>
              <w:spacing w:after="0"/>
              <w:rPr>
                <w:sz w:val="20"/>
                <w:szCs w:val="20"/>
                <w:color w:val="auto"/>
              </w:rPr>
            </w:pPr>
            <w:r>
              <w:rPr>
                <w:rFonts w:ascii="Arial" w:cs="Arial" w:eastAsia="Arial" w:hAnsi="Arial"/>
                <w:sz w:val="17"/>
                <w:szCs w:val="17"/>
                <w:b w:val="1"/>
                <w:bCs w:val="1"/>
                <w:color w:val="auto"/>
              </w:rPr>
              <w:t>Party B and Party C</w:t>
            </w:r>
            <w:r>
              <w:rPr>
                <w:rFonts w:ascii="Arial" w:cs="Arial" w:eastAsia="Arial" w:hAnsi="Arial"/>
                <w:sz w:val="17"/>
                <w:szCs w:val="17"/>
                <w:color w:val="auto"/>
              </w:rPr>
              <w:t>:</w:t>
            </w:r>
          </w:p>
        </w:tc>
      </w:tr>
      <w:tr>
        <w:trPr>
          <w:trHeight w:val="386"/>
        </w:trPr>
        <w:tc>
          <w:tcPr>
            <w:tcW w:w="960" w:type="dxa"/>
            <w:vAlign w:val="bottom"/>
          </w:tcPr>
          <w:p>
            <w:pPr>
              <w:spacing w:after="0"/>
              <w:rPr>
                <w:sz w:val="24"/>
                <w:szCs w:val="24"/>
                <w:color w:val="auto"/>
              </w:rPr>
            </w:pPr>
          </w:p>
        </w:tc>
        <w:tc>
          <w:tcPr>
            <w:tcW w:w="9280" w:type="dxa"/>
            <w:vAlign w:val="bottom"/>
          </w:tcPr>
          <w:p>
            <w:pPr>
              <w:ind w:left="100"/>
              <w:spacing w:after="0"/>
              <w:rPr>
                <w:sz w:val="20"/>
                <w:szCs w:val="20"/>
                <w:color w:val="auto"/>
              </w:rPr>
            </w:pPr>
            <w:r>
              <w:rPr>
                <w:rFonts w:ascii="Arial" w:cs="Arial" w:eastAsia="Arial" w:hAnsi="Arial"/>
                <w:sz w:val="17"/>
                <w:szCs w:val="17"/>
                <w:color w:val="auto"/>
              </w:rPr>
              <w:t>Address: [●]</w:t>
            </w:r>
          </w:p>
        </w:tc>
      </w:tr>
      <w:tr>
        <w:trPr>
          <w:trHeight w:val="199"/>
        </w:trPr>
        <w:tc>
          <w:tcPr>
            <w:tcW w:w="960" w:type="dxa"/>
            <w:vAlign w:val="bottom"/>
          </w:tcPr>
          <w:p>
            <w:pPr>
              <w:spacing w:after="0"/>
              <w:rPr>
                <w:sz w:val="17"/>
                <w:szCs w:val="17"/>
                <w:color w:val="auto"/>
              </w:rPr>
            </w:pPr>
          </w:p>
        </w:tc>
        <w:tc>
          <w:tcPr>
            <w:tcW w:w="9280" w:type="dxa"/>
            <w:vAlign w:val="bottom"/>
          </w:tcPr>
          <w:p>
            <w:pPr>
              <w:ind w:left="100"/>
              <w:spacing w:after="0"/>
              <w:rPr>
                <w:sz w:val="20"/>
                <w:szCs w:val="20"/>
                <w:color w:val="auto"/>
              </w:rPr>
            </w:pPr>
            <w:r>
              <w:rPr>
                <w:rFonts w:ascii="Arial" w:cs="Arial" w:eastAsia="Arial" w:hAnsi="Arial"/>
                <w:sz w:val="17"/>
                <w:szCs w:val="17"/>
                <w:color w:val="auto"/>
              </w:rPr>
              <w:t>Tel.:</w:t>
            </w:r>
          </w:p>
        </w:tc>
      </w:tr>
      <w:tr>
        <w:trPr>
          <w:trHeight w:val="212"/>
        </w:trPr>
        <w:tc>
          <w:tcPr>
            <w:tcW w:w="960" w:type="dxa"/>
            <w:vAlign w:val="bottom"/>
          </w:tcPr>
          <w:p>
            <w:pPr>
              <w:spacing w:after="0"/>
              <w:rPr>
                <w:sz w:val="18"/>
                <w:szCs w:val="18"/>
                <w:color w:val="auto"/>
              </w:rPr>
            </w:pPr>
          </w:p>
        </w:tc>
        <w:tc>
          <w:tcPr>
            <w:tcW w:w="9280" w:type="dxa"/>
            <w:vAlign w:val="bottom"/>
          </w:tcPr>
          <w:p>
            <w:pPr>
              <w:ind w:left="100"/>
              <w:spacing w:after="0"/>
              <w:rPr>
                <w:sz w:val="20"/>
                <w:szCs w:val="20"/>
                <w:color w:val="auto"/>
              </w:rPr>
            </w:pPr>
            <w:r>
              <w:rPr>
                <w:rFonts w:ascii="Arial" w:cs="Arial" w:eastAsia="Arial" w:hAnsi="Arial"/>
                <w:sz w:val="17"/>
                <w:szCs w:val="17"/>
                <w:color w:val="auto"/>
              </w:rPr>
              <w:t>Attn.: [●]</w:t>
            </w:r>
          </w:p>
        </w:tc>
      </w:tr>
      <w:tr>
        <w:trPr>
          <w:trHeight w:val="399"/>
        </w:trPr>
        <w:tc>
          <w:tcPr>
            <w:tcW w:w="960" w:type="dxa"/>
            <w:vAlign w:val="bottom"/>
          </w:tcPr>
          <w:p>
            <w:pPr>
              <w:jc w:val="right"/>
              <w:ind w:right="17"/>
              <w:spacing w:after="0"/>
              <w:rPr>
                <w:sz w:val="20"/>
                <w:szCs w:val="20"/>
                <w:color w:val="auto"/>
              </w:rPr>
            </w:pPr>
            <w:r>
              <w:rPr>
                <w:rFonts w:ascii="Arial" w:cs="Arial" w:eastAsia="Arial" w:hAnsi="Arial"/>
                <w:sz w:val="17"/>
                <w:szCs w:val="17"/>
                <w:color w:val="auto"/>
              </w:rPr>
              <w:t>8.2.2</w:t>
            </w:r>
          </w:p>
        </w:tc>
        <w:tc>
          <w:tcPr>
            <w:tcW w:w="9280" w:type="dxa"/>
            <w:vAlign w:val="bottom"/>
          </w:tcPr>
          <w:p>
            <w:pPr>
              <w:ind w:left="420"/>
              <w:spacing w:after="0"/>
              <w:rPr>
                <w:sz w:val="20"/>
                <w:szCs w:val="20"/>
                <w:color w:val="auto"/>
              </w:rPr>
            </w:pPr>
            <w:r>
              <w:rPr>
                <w:rFonts w:ascii="Arial" w:cs="Arial" w:eastAsia="Arial" w:hAnsi="Arial"/>
                <w:sz w:val="17"/>
                <w:szCs w:val="17"/>
                <w:color w:val="auto"/>
              </w:rPr>
              <w:t>All notices and correspondences shall be deemed to have been delivered under the following circumstances:</w:t>
            </w:r>
          </w:p>
        </w:tc>
      </w:tr>
    </w:tbl>
    <w:p>
      <w:pPr>
        <w:spacing w:after="0" w:line="187" w:lineRule="exact"/>
        <w:rPr>
          <w:sz w:val="20"/>
          <w:szCs w:val="20"/>
          <w:color w:val="auto"/>
        </w:rPr>
      </w:pPr>
    </w:p>
    <w:p>
      <w:pPr>
        <w:jc w:val="both"/>
        <w:ind w:left="2380" w:hanging="661"/>
        <w:spacing w:after="0" w:line="254" w:lineRule="auto"/>
        <w:tabs>
          <w:tab w:leader="none" w:pos="23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delivered by fax, the date displayed on the fax machine shall be the date of delivery, provided that, when such notices sent by fax are delivered later than 5:00 p.m. or on any non-working day in the place of delivery, the working day following the date displayed shall be the date of delivery;</w:t>
      </w:r>
    </w:p>
    <w:p>
      <w:pPr>
        <w:spacing w:after="0" w:line="176" w:lineRule="exact"/>
        <w:rPr>
          <w:rFonts w:ascii="Arial" w:cs="Arial" w:eastAsia="Arial" w:hAnsi="Arial"/>
          <w:sz w:val="17"/>
          <w:szCs w:val="17"/>
          <w:color w:val="auto"/>
        </w:rPr>
      </w:pPr>
    </w:p>
    <w:p>
      <w:pPr>
        <w:ind w:left="2380" w:hanging="661"/>
        <w:spacing w:after="0" w:line="264" w:lineRule="auto"/>
        <w:tabs>
          <w:tab w:leader="none" w:pos="23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delivered by personal delivery (including by express mail service), the date of signing for such notices shall be the date of delivery; and</w:t>
      </w:r>
    </w:p>
    <w:p>
      <w:pPr>
        <w:spacing w:after="0" w:line="167" w:lineRule="exact"/>
        <w:rPr>
          <w:rFonts w:ascii="Arial" w:cs="Arial" w:eastAsia="Arial" w:hAnsi="Arial"/>
          <w:sz w:val="17"/>
          <w:szCs w:val="17"/>
          <w:color w:val="auto"/>
        </w:rPr>
      </w:pPr>
    </w:p>
    <w:p>
      <w:pPr>
        <w:ind w:left="2380" w:hanging="661"/>
        <w:spacing w:after="0" w:line="265" w:lineRule="auto"/>
        <w:tabs>
          <w:tab w:leader="none" w:pos="23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delivered by registered mail, the Fifteenth (15</w:t>
      </w:r>
      <w:r>
        <w:rPr>
          <w:rFonts w:ascii="Arial" w:cs="Arial" w:eastAsia="Arial" w:hAnsi="Arial"/>
          <w:sz w:val="14"/>
          <w:szCs w:val="14"/>
          <w:color w:val="auto"/>
        </w:rPr>
        <w:t>th</w:t>
      </w:r>
      <w:r>
        <w:rPr>
          <w:rFonts w:ascii="Arial" w:cs="Arial" w:eastAsia="Arial" w:hAnsi="Arial"/>
          <w:sz w:val="17"/>
          <w:szCs w:val="17"/>
          <w:color w:val="auto"/>
        </w:rPr>
        <w:t>) day following the date shown in the return receipt of such registered mail shall be the date of delivery.</w:t>
      </w:r>
    </w:p>
    <w:p>
      <w:pPr>
        <w:spacing w:after="0" w:line="16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8.2.3</w:t>
      </w:r>
      <w:r>
        <w:rPr>
          <w:sz w:val="20"/>
          <w:szCs w:val="20"/>
          <w:color w:val="auto"/>
        </w:rPr>
        <w:tab/>
      </w:r>
      <w:r>
        <w:rPr>
          <w:rFonts w:ascii="Arial" w:cs="Arial" w:eastAsia="Arial" w:hAnsi="Arial"/>
          <w:sz w:val="15"/>
          <w:szCs w:val="15"/>
          <w:color w:val="auto"/>
        </w:rPr>
        <w:t>Binding force</w:t>
      </w:r>
    </w:p>
    <w:p>
      <w:pPr>
        <w:spacing w:after="0" w:line="20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This Agreement shall be binding on the Parties hereto.</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3"/>
          <w:szCs w:val="13"/>
          <w:color w:val="auto"/>
        </w:rPr>
        <w:t>Language</w:t>
      </w:r>
    </w:p>
    <w:p>
      <w:pPr>
        <w:spacing w:after="0" w:line="20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This Agreement is written in Chinese and is executed in four (4) copies.</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color w:val="auto"/>
        </w:rPr>
        <w:t>Day and Working Day</w:t>
      </w:r>
    </w:p>
    <w:p>
      <w:pPr>
        <w:spacing w:after="0" w:line="200" w:lineRule="exact"/>
        <w:rPr>
          <w:sz w:val="20"/>
          <w:szCs w:val="20"/>
          <w:color w:val="auto"/>
        </w:rPr>
      </w:pPr>
    </w:p>
    <w:p>
      <w:pPr>
        <w:spacing w:after="0" w:line="39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Day</w:t>
      </w:r>
      <w:r>
        <w:rPr>
          <w:rFonts w:ascii="Arial" w:cs="Arial" w:eastAsia="Arial" w:hAnsi="Arial"/>
          <w:sz w:val="17"/>
          <w:szCs w:val="17"/>
          <w:color w:val="auto"/>
        </w:rPr>
        <w:t>” referred to herein shall be the calendar day; “</w:t>
      </w:r>
      <w:r>
        <w:rPr>
          <w:rFonts w:ascii="Arial" w:cs="Arial" w:eastAsia="Arial" w:hAnsi="Arial"/>
          <w:sz w:val="17"/>
          <w:szCs w:val="17"/>
          <w:b w:val="1"/>
          <w:bCs w:val="1"/>
          <w:color w:val="auto"/>
        </w:rPr>
        <w:t>Working Day</w:t>
      </w:r>
      <w:r>
        <w:rPr>
          <w:rFonts w:ascii="Arial" w:cs="Arial" w:eastAsia="Arial" w:hAnsi="Arial"/>
          <w:sz w:val="17"/>
          <w:szCs w:val="17"/>
          <w:color w:val="auto"/>
        </w:rPr>
        <w:t>” referred to herein shall be any day from Monday to Friday.</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3"/>
          <w:szCs w:val="13"/>
          <w:color w:val="auto"/>
        </w:rPr>
        <w:t>Headings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187325</wp:posOffset>
            </wp:positionV>
            <wp:extent cx="7184390"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580"/>
          </w:cols>
          <w:pgMar w:left="980" w:top="725" w:right="339" w:bottom="1440" w:gutter="0" w:footer="0" w:header="0"/>
        </w:sectPr>
      </w:pPr>
    </w:p>
    <w:bookmarkStart w:id="192" w:name="page193"/>
    <w:bookmarkEnd w:id="192"/>
    <w:p>
      <w:pPr>
        <w:ind w:left="1520"/>
        <w:spacing w:after="0"/>
        <w:rPr>
          <w:sz w:val="20"/>
          <w:szCs w:val="20"/>
          <w:color w:val="auto"/>
        </w:rPr>
      </w:pPr>
      <w:r>
        <w:rPr>
          <w:rFonts w:ascii="Arial" w:cs="Arial" w:eastAsia="Arial" w:hAnsi="Arial"/>
          <w:sz w:val="17"/>
          <w:szCs w:val="17"/>
          <w:color w:val="auto"/>
        </w:rPr>
        <w:t>The headings hereunder are for reading convenience only and shall not be used for the interpretation of this Agreement.</w:t>
      </w:r>
    </w:p>
    <w:p>
      <w:pPr>
        <w:spacing w:after="0" w:line="20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3"/>
          <w:szCs w:val="13"/>
          <w:color w:val="auto"/>
        </w:rPr>
        <w:t>Pending matters</w:t>
      </w:r>
    </w:p>
    <w:p>
      <w:pPr>
        <w:spacing w:after="0" w:line="203"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Any matters not stipulated herein shall be resolved by the Parties hereto through friendly consultation in accordance with the laws of the PRC.</w:t>
      </w:r>
    </w:p>
    <w:p>
      <w:pPr>
        <w:spacing w:after="0" w:line="22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Termination</w:t>
      </w:r>
    </w:p>
    <w:p>
      <w:pPr>
        <w:spacing w:after="0" w:line="203" w:lineRule="exact"/>
        <w:rPr>
          <w:sz w:val="20"/>
          <w:szCs w:val="20"/>
          <w:color w:val="auto"/>
        </w:rPr>
      </w:pPr>
    </w:p>
    <w:p>
      <w:pPr>
        <w:jc w:val="both"/>
        <w:ind w:left="1520" w:firstLine="1"/>
        <w:spacing w:after="0" w:line="278" w:lineRule="auto"/>
        <w:rPr>
          <w:sz w:val="20"/>
          <w:szCs w:val="20"/>
          <w:color w:val="auto"/>
        </w:rPr>
      </w:pPr>
      <w:r>
        <w:rPr>
          <w:rFonts w:ascii="Arial" w:cs="Arial" w:eastAsia="Arial" w:hAnsi="Arial"/>
          <w:sz w:val="16"/>
          <w:szCs w:val="16"/>
          <w:color w:val="auto"/>
        </w:rPr>
        <w:t>The Parties hereto acknowledge that, in case of any change of shareholding structure of Party C or any increase or decrease of shareholders, Party A, Party C and all existing shareholders of Party C shall re-sign this Agreement and that this Agreement shall be automatically terminated and become invalid from the effective date of the option agreement re-signed by the aforesaid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Option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CHENG Xinhui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CHENG Xinhui</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JIANG Tao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JIANG Tao</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CHENG Xinhui</w:t>
      </w:r>
      <w:r>
        <w:rPr>
          <w:rFonts w:ascii="Arial" w:cs="Arial" w:eastAsia="Arial" w:hAnsi="Arial"/>
          <w:sz w:val="17"/>
          <w:szCs w:val="17"/>
          <w:color w:val="auto"/>
        </w:rPr>
        <w:t xml:space="preserve"> (Seal)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 Party C’s Shareholders</w:t>
      </w:r>
    </w:p>
    <w:p>
      <w:pPr>
        <w:spacing w:after="0" w:line="199" w:lineRule="exact"/>
        <w:rPr>
          <w:sz w:val="20"/>
          <w:szCs w:val="20"/>
          <w:color w:val="auto"/>
        </w:rPr>
      </w:pPr>
    </w:p>
    <w:tbl>
      <w:tblPr>
        <w:tblLayout w:type="fixed"/>
        <w:tblInd w:w="2830" w:type="dxa"/>
        <w:tblCellMar>
          <w:top w:w="0" w:type="dxa"/>
          <w:left w:w="0" w:type="dxa"/>
          <w:bottom w:w="0" w:type="dxa"/>
          <w:right w:w="0" w:type="dxa"/>
        </w:tblCellMar>
      </w:tblPr>
      <w:tr>
        <w:trPr>
          <w:trHeight w:val="212"/>
        </w:trPr>
        <w:tc>
          <w:tcPr>
            <w:tcW w:w="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Name of Shareholders</w:t>
            </w:r>
          </w:p>
        </w:tc>
        <w:tc>
          <w:tcPr>
            <w:tcW w:w="180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7"/>
                <w:szCs w:val="17"/>
                <w:color w:val="auto"/>
              </w:rPr>
              <w:t>ID Card No.</w:t>
            </w:r>
          </w:p>
        </w:tc>
      </w:tr>
      <w:tr>
        <w:trPr>
          <w:trHeight w:val="192"/>
        </w:trPr>
        <w:tc>
          <w:tcPr>
            <w:tcW w:w="46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33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3"/>
              </w:rPr>
              <w:t>CHENG Xinhui</w:t>
            </w:r>
          </w:p>
        </w:tc>
        <w:tc>
          <w:tcPr>
            <w:tcW w:w="1800" w:type="dxa"/>
            <w:vAlign w:val="bottom"/>
            <w:tcBorders>
              <w:bottom w:val="single" w:sz="8" w:color="auto"/>
              <w:right w:val="single" w:sz="8" w:color="auto"/>
            </w:tcBorders>
          </w:tcPr>
          <w:p>
            <w:pPr>
              <w:spacing w:after="0"/>
              <w:rPr>
                <w:sz w:val="16"/>
                <w:szCs w:val="16"/>
                <w:color w:val="auto"/>
              </w:rPr>
            </w:pPr>
          </w:p>
        </w:tc>
      </w:tr>
      <w:tr>
        <w:trPr>
          <w:trHeight w:val="192"/>
        </w:trPr>
        <w:tc>
          <w:tcPr>
            <w:tcW w:w="46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33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2"/>
              </w:rPr>
              <w:t>JIANG Tao</w:t>
            </w:r>
          </w:p>
        </w:tc>
        <w:tc>
          <w:tcPr>
            <w:tcW w:w="1800" w:type="dxa"/>
            <w:vAlign w:val="bottom"/>
            <w:tcBorders>
              <w:bottom w:val="single" w:sz="8" w:color="auto"/>
              <w:right w:val="single" w:sz="8" w:color="auto"/>
            </w:tcBorders>
          </w:tcPr>
          <w:p>
            <w:pPr>
              <w:spacing w:after="0"/>
              <w:rPr>
                <w:sz w:val="16"/>
                <w:szCs w:val="16"/>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II Party C’s Shareholding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84390"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3" w:name="page194"/>
    <w:bookmarkEnd w:id="193"/>
    <w:tbl>
      <w:tblPr>
        <w:tblLayout w:type="fixed"/>
        <w:tblInd w:w="10" w:type="dxa"/>
        <w:tblCellMar>
          <w:top w:w="0" w:type="dxa"/>
          <w:left w:w="0" w:type="dxa"/>
          <w:bottom w:w="0" w:type="dxa"/>
          <w:right w:w="0" w:type="dxa"/>
        </w:tblCellMar>
      </w:tblPr>
      <w:tr>
        <w:trPr>
          <w:trHeight w:val="199"/>
        </w:trPr>
        <w:tc>
          <w:tcPr>
            <w:tcW w:w="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7"/>
                <w:szCs w:val="17"/>
                <w:color w:val="auto"/>
              </w:rPr>
              <w:t>Amount of Contribution (CNY</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10000)</w:t>
            </w: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72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5"/>
              </w:rPr>
              <w:t>CHENG Xinhui</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190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0"/>
              </w:rPr>
              <w:t>JIANG Tao</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Total</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200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319" w:right="339" w:bottom="1440" w:gutter="0" w:footer="0" w:header="0"/>
        </w:sectPr>
      </w:pPr>
    </w:p>
    <w:bookmarkStart w:id="194" w:name="page195"/>
    <w:bookmarkEnd w:id="194"/>
    <w:p>
      <w:pPr>
        <w:ind w:left="10340"/>
        <w:spacing w:after="0"/>
        <w:rPr>
          <w:sz w:val="20"/>
          <w:szCs w:val="20"/>
          <w:color w:val="auto"/>
        </w:rPr>
      </w:pPr>
      <w:r>
        <w:rPr>
          <w:rFonts w:ascii="Arial" w:cs="Arial" w:eastAsia="Arial" w:hAnsi="Arial"/>
          <w:sz w:val="16"/>
          <w:szCs w:val="16"/>
          <w:b w:val="1"/>
          <w:bCs w:val="1"/>
          <w:color w:val="auto"/>
        </w:rPr>
        <w:t>Exhibit 4.22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Beijing Feibian Education Technology Co., Ltd. (“</w:t>
      </w:r>
      <w:r>
        <w:rPr>
          <w:rFonts w:ascii="Arial" w:cs="Arial" w:eastAsia="Arial" w:hAnsi="Arial"/>
          <w:sz w:val="17"/>
          <w:szCs w:val="17"/>
          <w:b w:val="1"/>
          <w:bCs w:val="1"/>
          <w:color w:val="auto"/>
        </w:rPr>
        <w:t>Beijing Feibian</w:t>
      </w:r>
      <w:r>
        <w:rPr>
          <w:rFonts w:ascii="Arial" w:cs="Arial" w:eastAsia="Arial" w:hAnsi="Arial"/>
          <w:sz w:val="17"/>
          <w:szCs w:val="17"/>
          <w:color w:val="auto"/>
        </w:rPr>
        <w:t>”) of any specific obligations required by them as the shareholders of Tianjin Shangde,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CHENG Xinhui, JIANG Tao,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Authorizers hereby irrevocably authorize to the maximum scope permitted by law Tianjin Studyvip Education Co., Limited ("</w:t>
      </w:r>
      <w:r>
        <w:rPr>
          <w:rFonts w:ascii="Arial" w:cs="Arial" w:eastAsia="Arial" w:hAnsi="Arial"/>
          <w:sz w:val="16"/>
          <w:szCs w:val="16"/>
          <w:b w:val="1"/>
          <w:bCs w:val="1"/>
          <w:color w:val="auto"/>
        </w:rPr>
        <w:t>WFOE</w:t>
      </w:r>
      <w:r>
        <w:rPr>
          <w:rFonts w:ascii="Arial" w:cs="Arial" w:eastAsia="Arial" w:hAnsi="Arial"/>
          <w:sz w:val="16"/>
          <w:szCs w:val="16"/>
          <w:color w:val="auto"/>
        </w:rPr>
        <w:t>") or its designated person or authorized representative (“</w:t>
      </w:r>
      <w:r>
        <w:rPr>
          <w:rFonts w:ascii="Arial" w:cs="Arial" w:eastAsia="Arial" w:hAnsi="Arial"/>
          <w:sz w:val="16"/>
          <w:szCs w:val="16"/>
          <w:b w:val="1"/>
          <w:bCs w:val="1"/>
          <w:color w:val="auto"/>
        </w:rPr>
        <w:t>Authorized Person</w:t>
      </w:r>
      <w:r>
        <w:rPr>
          <w:rFonts w:ascii="Arial" w:cs="Arial" w:eastAsia="Arial" w:hAnsi="Arial"/>
          <w:sz w:val="16"/>
          <w:szCs w:val="16"/>
          <w:color w:val="auto"/>
        </w:rPr>
        <w:t>”) to exercise all their shareholder rights corresponding to all voting shares (“</w:t>
      </w:r>
      <w:r>
        <w:rPr>
          <w:rFonts w:ascii="Arial" w:cs="Arial" w:eastAsia="Arial" w:hAnsi="Arial"/>
          <w:sz w:val="16"/>
          <w:szCs w:val="16"/>
          <w:b w:val="1"/>
          <w:bCs w:val="1"/>
          <w:color w:val="auto"/>
        </w:rPr>
        <w:t>Shares</w:t>
      </w:r>
      <w:r>
        <w:rPr>
          <w:rFonts w:ascii="Arial" w:cs="Arial" w:eastAsia="Arial" w:hAnsi="Arial"/>
          <w:sz w:val="16"/>
          <w:szCs w:val="16"/>
          <w:color w:val="auto"/>
        </w:rPr>
        <w:t>”) held by them in Beijing Feibian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 (3) 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Beijing Feibian at the meeting of shareholders of Beijing Feibian.</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designated by the board of directors of the WFOE.</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Unless the Business Operation Agreement signed by Beijing Feibian,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21st day of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5" w:name="page196"/>
    <w:bookmarkEnd w:id="195"/>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CHENG Xinhui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CHENG Xinhui</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JIANG Tao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JIANG Tao</w:t>
      </w:r>
    </w:p>
    <w:p>
      <w:pPr>
        <w:spacing w:after="0" w:line="390" w:lineRule="exact"/>
        <w:rPr>
          <w:sz w:val="20"/>
          <w:szCs w:val="20"/>
          <w:color w:val="auto"/>
        </w:rPr>
      </w:pPr>
    </w:p>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Tianjin Studyvip Education Co., Limited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LIU Tongbo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Title: Authorized Representative</w:t>
      </w:r>
    </w:p>
    <w:p>
      <w:pPr>
        <w:sectPr>
          <w:pgSz w:w="11900" w:h="16838" w:orient="portrait"/>
          <w:cols w:equalWidth="0" w:num="1">
            <w:col w:w="10139"/>
          </w:cols>
          <w:pgMar w:left="320" w:top="127" w:right="1440" w:bottom="1440" w:gutter="0" w:footer="0" w:header="0"/>
        </w:sectPr>
      </w:pPr>
    </w:p>
    <w:bookmarkStart w:id="196" w:name="page197"/>
    <w:bookmarkEnd w:id="196"/>
    <w:p>
      <w:pPr>
        <w:ind w:left="10400"/>
        <w:spacing w:after="0"/>
        <w:rPr>
          <w:sz w:val="20"/>
          <w:szCs w:val="20"/>
          <w:color w:val="auto"/>
        </w:rPr>
      </w:pPr>
      <w:r>
        <w:rPr>
          <w:rFonts w:ascii="Arial" w:cs="Arial" w:eastAsia="Arial" w:hAnsi="Arial"/>
          <w:sz w:val="15"/>
          <w:szCs w:val="15"/>
          <w:b w:val="1"/>
          <w:bCs w:val="1"/>
          <w:color w:val="auto"/>
        </w:rPr>
        <w:t>Exhibit 4.23</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Exclusive Technical Consultation and Service Agreement</w:t>
      </w:r>
    </w:p>
    <w:p>
      <w:pPr>
        <w:spacing w:after="0" w:line="202" w:lineRule="exact"/>
        <w:rPr>
          <w:sz w:val="20"/>
          <w:szCs w:val="20"/>
          <w:color w:val="auto"/>
        </w:rPr>
      </w:pPr>
    </w:p>
    <w:p>
      <w:pPr>
        <w:ind w:right="340"/>
        <w:spacing w:after="0" w:line="269" w:lineRule="auto"/>
        <w:rPr>
          <w:sz w:val="20"/>
          <w:szCs w:val="20"/>
          <w:color w:val="auto"/>
        </w:rPr>
      </w:pPr>
      <w:r>
        <w:rPr>
          <w:rFonts w:ascii="Arial" w:cs="Arial" w:eastAsia="Arial" w:hAnsi="Arial"/>
          <w:sz w:val="17"/>
          <w:szCs w:val="17"/>
          <w:color w:val="auto"/>
        </w:rPr>
        <w:t>This Exclusive Technical Consultation and Service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fifth day of August,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r>
        <w:rPr>
          <w:rFonts w:ascii="Arial" w:cs="Arial" w:eastAsia="Arial" w:hAnsi="Arial"/>
          <w:sz w:val="17"/>
          <w:szCs w:val="17"/>
          <w:color w:val="auto"/>
        </w:rPr>
        <w:t>: Beijing Odysseus Education Technology Co., Ltd.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M1162, floor 1, no.1063-1, Huihe South Street, Banbidian village, Gaobeidian Township, Chaoyang District, Beijing China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 Ming</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420" w:hanging="420"/>
        <w:spacing w:after="0"/>
        <w:tabs>
          <w:tab w:leader="none" w:pos="4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16" w:lineRule="exact"/>
        <w:rPr>
          <w:rFonts w:ascii="Arial" w:cs="Arial" w:eastAsia="Arial" w:hAnsi="Arial"/>
          <w:sz w:val="17"/>
          <w:szCs w:val="17"/>
          <w:color w:val="auto"/>
        </w:rPr>
      </w:pPr>
    </w:p>
    <w:p>
      <w:pPr>
        <w:ind w:left="420" w:hanging="420"/>
        <w:spacing w:after="0"/>
        <w:tabs>
          <w:tab w:leader="none" w:pos="4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3" w:lineRule="exact"/>
        <w:rPr>
          <w:rFonts w:ascii="Arial" w:cs="Arial" w:eastAsia="Arial" w:hAnsi="Arial"/>
          <w:sz w:val="17"/>
          <w:szCs w:val="17"/>
          <w:color w:val="auto"/>
        </w:rPr>
      </w:pPr>
    </w:p>
    <w:p>
      <w:pPr>
        <w:ind w:left="420" w:right="120" w:hanging="420"/>
        <w:spacing w:after="0" w:line="249" w:lineRule="auto"/>
        <w:tabs>
          <w:tab w:leader="none" w:pos="4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Party A agrees to provide technical consultation and related services to Party B and Party B’s Subsidiaries, and Party B and Party B’s Subsidiaries agree to accept such technical consultation and related services provided by Party A.</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860" w:hanging="860"/>
        <w:spacing w:after="0"/>
        <w:tabs>
          <w:tab w:leader="none" w:pos="86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Technical Consultation and Services: Sole and Exclusive Rights and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Within the term of this Agreement, Party A agrees that it shall, as the exclusive technical consultation and services provider of Party B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B’s Subsidiaries, provide Party B and Party B’s Subsidiaries with the relevant technical consultation and services (See Annex I for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specific content) according to the terms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Party B and Party B’s Subsidiaries agree to accept the technical consultation and services provided by Party A within the term of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Agreement. In consideration of the value of the technical consultation and services provided by Party A and the good cooperative relationship</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among the Parties hereto, Party B and Party B’s Subsidiaries further agree that, unless they obtain the prior written consent of Party A, they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shall not accept any technical consultation and services provided by any third party in respect of the business scope involved herein within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term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1.3</w:t>
            </w: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For all rights, titles, interests and intellectual property rights (including but not limited to any copyrights, patents, technical know-how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business secrets) arising out of the performance of this Agreement, whether developed by Party A or developed by Party B and Party B’s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Subsidiaries based on Party A’s intellectual property rights or developed by Party A based on any intellectual property rights of Party B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Party B’s Subsidiaries, Party A shall enjoy any sole and</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197" w:name="page198"/>
    <w:bookmarkEnd w:id="197"/>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exclusive rights and interests therein, and Party B and Party B’s Subsidiaries shall not assert any rights, titles, interests and intellectual property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rights to Party A.</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Provided that, if developed by Party A based on any intellectual property rights of Party B and Party B’s Subsidiaries, Party B and Party B’s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Subsidiaries shall ensure that such intellectual property rights are free from any defects, otherwise, any losses caused to Party A shall be borne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by Party B and Party B’s Subsidiaries. If Party A bear the compensation liability to any third party therefor, Party A shall have the right to</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recover all its losses from Party B and Party B’s Subsidiaries after Party A makes such compensation.</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consideration of the good cooperative relationship among the Parties hereto, Party B and Party B’s Subsidiaries undertake that, if they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intended to carry out any business cooperation with any other enterprises, they shall obtain the consent of Party A, and Party A or its affiliates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shall have the priority of cooperation under the same conditions.</w:t>
            </w:r>
          </w:p>
        </w:tc>
      </w:tr>
    </w:tbl>
    <w:p>
      <w:pPr>
        <w:spacing w:after="0" w:line="183" w:lineRule="exact"/>
        <w:rPr>
          <w:sz w:val="20"/>
          <w:szCs w:val="20"/>
          <w:color w:val="auto"/>
        </w:rPr>
      </w:pPr>
    </w:p>
    <w:p>
      <w:pPr>
        <w:ind w:left="860" w:hanging="860"/>
        <w:spacing w:after="0"/>
        <w:tabs>
          <w:tab w:leader="none" w:pos="86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 and Payment of Technical Consultation and Service Fees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Service Fees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The Parties hereto agree that any Service Fees under this Agreement shall be determined and paid in such way as listed in Annex II hereto.</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If Party B and Party B’s Subsidiaries fail to pay any Service Fees and other expenses according to the provisions of this Agreement, Party B</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and Party B’s Subsidiaries shall separately pay to Party A a default fine on the basis of 0.05% of the amount owed per day.</w:t>
            </w:r>
          </w:p>
        </w:tc>
      </w:tr>
      <w:tr>
        <w:trPr>
          <w:trHeight w:val="38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2.3</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Party A shall have the right to assign its employees or certified public accountants of China or other countries (hereinafter referred to as “</w:t>
            </w:r>
            <w:r>
              <w:rPr>
                <w:rFonts w:ascii="Arial" w:cs="Arial" w:eastAsia="Arial" w:hAnsi="Arial"/>
                <w:sz w:val="17"/>
                <w:szCs w:val="17"/>
                <w:b w:val="1"/>
                <w:bCs w:val="1"/>
                <w:color w:val="auto"/>
                <w:w w:val="88"/>
              </w:rPr>
              <w:t>Party</w:t>
            </w:r>
          </w:p>
        </w:tc>
      </w:tr>
      <w:tr>
        <w:trPr>
          <w:trHeight w:val="203"/>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b w:val="1"/>
                <w:bCs w:val="1"/>
                <w:color w:val="auto"/>
                <w:w w:val="88"/>
              </w:rPr>
              <w:t>A’s Authorized Representative</w:t>
            </w:r>
            <w:r>
              <w:rPr>
                <w:rFonts w:ascii="Arial" w:cs="Arial" w:eastAsia="Arial" w:hAnsi="Arial"/>
                <w:sz w:val="17"/>
                <w:szCs w:val="17"/>
                <w:color w:val="auto"/>
                <w:w w:val="88"/>
              </w:rPr>
              <w:t>”) at its own expense to check the accounts of Party B and Party B’s Subsidiaries so as to audit the calculation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method and amount of Service Fees. Therefore, Party B and Party B’s Subsidiaries shall provide Party A’s Authorized Representative with any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documents, accounts, records and data required by Party A’s Authorized Representative so that Party A’s Authorized Representative can audit</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the accounts of Party B and Party B’s Subsidiaries and determine the amount of Service Fees. Unless there are any gross errors, the amount of</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Service Fees shall be subject to the amount determined by Party A’s Authorized Representative.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Unless the Parties hereto reach an agreement through further consultation, any Service Fees paid by Party B and Party B’s Subsidiaries to Party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 according to this Agreement shall not be deducted or offset. Party B and Party B’s Subsidiaries shall solely be responsible for any relevant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expenses (such as bank charges) incurred from the payment of Service Fees.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In addition, Party B and Party B’s Subsidiaries shall pay to Party A any actual expenses incurred from the provision by Party A of its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consultation and service under this Agreement while paying the Service Fees, including but not limited to any traveling expenses,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transportation fees, printing expenses and postage.</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2.6</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Parties hereto agree that all economic losses arising out of the performance of this Agreement shall be borne jointly by the Parties hereto.</w:t>
            </w:r>
          </w:p>
        </w:tc>
      </w:tr>
    </w:tbl>
    <w:p>
      <w:pPr>
        <w:spacing w:after="0" w:line="208" w:lineRule="exact"/>
        <w:rPr>
          <w:sz w:val="20"/>
          <w:szCs w:val="20"/>
          <w:color w:val="auto"/>
        </w:rPr>
      </w:pPr>
    </w:p>
    <w:p>
      <w:pPr>
        <w:ind w:left="720" w:hanging="720"/>
        <w:spacing w:after="0"/>
        <w:tabs>
          <w:tab w:leader="none" w:pos="720"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3"/>
          <w:szCs w:val="13"/>
          <w:color w:val="auto"/>
        </w:rPr>
        <w:t>Party A hereby represents and warrants as follows:</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Party A is a company legally incorporated and validly existing under the laws of the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76835</wp:posOffset>
            </wp:positionV>
            <wp:extent cx="7184390"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8" w:name="page199"/>
    <w:bookmarkEnd w:id="198"/>
    <w:p>
      <w:pPr>
        <w:ind w:left="2580" w:right="280" w:hanging="858"/>
        <w:spacing w:after="0" w:line="254"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Party A shall perform this Agreement within its corporate power and business scope, has obtained any necessary corporate authorizations and consents and approvals from any third party and government departments and has not breached any legal or contractual restrictions that are binding or influential on it; and</w:t>
      </w:r>
    </w:p>
    <w:p>
      <w:pPr>
        <w:spacing w:after="0" w:line="177"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This Agreement shall constitute a legal, effective, binding and enforceable legal document for Party A once signed.</w:t>
      </w:r>
    </w:p>
    <w:p>
      <w:pPr>
        <w:spacing w:after="0" w:line="22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3"/>
          <w:szCs w:val="13"/>
          <w:color w:val="auto"/>
        </w:rPr>
        <w:t>Party B and Party B’s Subsidiaries hereby represent and warrant as follows:</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Party B and Party B’s Subsidiaries are legal persons legally incorporated and validly existing under the laws of the PRC;</w:t>
      </w:r>
    </w:p>
    <w:p>
      <w:pPr>
        <w:spacing w:after="0" w:line="228" w:lineRule="exact"/>
        <w:rPr>
          <w:sz w:val="20"/>
          <w:szCs w:val="20"/>
          <w:color w:val="auto"/>
        </w:rPr>
      </w:pPr>
    </w:p>
    <w:p>
      <w:pPr>
        <w:jc w:val="both"/>
        <w:ind w:left="2580" w:right="120" w:hanging="858"/>
        <w:spacing w:after="0" w:line="304" w:lineRule="auto"/>
        <w:tabs>
          <w:tab w:leader="none" w:pos="25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Party B and Party B’s Subsidiaries shall sign and perform this Agreement within their corporate power and business scope, have obtained any necessary corporate authorizations and consents and approvals from any third party or government departments and have not breached any legal or contractual restrictions that are binding or influential on it; and</w:t>
      </w:r>
    </w:p>
    <w:p>
      <w:pPr>
        <w:spacing w:after="0" w:line="142" w:lineRule="exact"/>
        <w:rPr>
          <w:sz w:val="20"/>
          <w:szCs w:val="20"/>
          <w:color w:val="auto"/>
        </w:rPr>
      </w:pPr>
    </w:p>
    <w:p>
      <w:pPr>
        <w:jc w:val="both"/>
        <w:ind w:left="2580" w:right="120" w:hanging="858"/>
        <w:spacing w:after="0" w:line="264" w:lineRule="auto"/>
        <w:tabs>
          <w:tab w:leader="none" w:pos="256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This Agreement shall constitute a legal, effective, binding and enforceable legal document for Party B and Party B’s Subsidiaries once signed.</w:t>
      </w:r>
    </w:p>
    <w:p>
      <w:pPr>
        <w:spacing w:after="0" w:line="164" w:lineRule="exact"/>
        <w:rPr>
          <w:sz w:val="20"/>
          <w:szCs w:val="20"/>
          <w:color w:val="auto"/>
        </w:rPr>
      </w:pPr>
    </w:p>
    <w:p>
      <w:pPr>
        <w:ind w:left="720" w:hanging="720"/>
        <w:spacing w:after="0"/>
        <w:tabs>
          <w:tab w:leader="none" w:pos="72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4.1</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3"/>
              </w:rPr>
              <w:t>The Parties agree that they shall try to take all reasonable security measures to keep in confidence any confidential data and information</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1"/>
              </w:rPr>
              <w:t>(hereinafter referred to as “Confidential Information”, the providing party of such data and information shall clearly notify in writing that such</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6"/>
              </w:rPr>
              <w:t>data and information shall be the Confidential Information when providing them) known or accessed by them due to the signing and</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4"/>
              </w:rPr>
              <w:t>performance of this Agreement. Without the prior written consent of the Confidential Information provider, such Confidential Information</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shall not be disclosed, provided or transferred to any third party (including any merger of the receiving party of such Confidential Information</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with or into any third party, and any direct or indirect control thereof by any third party). Once this Agreement is terminated, Party A and Party</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2"/>
              </w:rPr>
              <w:t>B and Party B’s Subsidiaries shall return any documents, data or software containing any Confidential Information to the original owner or</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2"/>
              </w:rPr>
              <w:t>providing party of such Confidential Information or destroy them with the consent of the original owner or provider, including removing any</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1"/>
              </w:rPr>
              <w:t>Confidential Information from any related memory devices and shall not continue to use these Confidential Information. Party A and Party B</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and Party B’s Subsidiaries shall take any necessary measures to disclose any Confidential Information only to any staff members, agents or</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professional advisors of Party B and Party B’s Subsidiaries who need to know such Confidential Information and to cause such staff members,</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2"/>
              </w:rPr>
              <w:t>agents or professional advisors of Party B and Party B’s Subsidiaries to comply with any confidentiality obligations under this Agreement.</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Party A, Party B and Party B’s Subsidiaries and such staff members, agents or professional advisors of Party B and Party B’s Subsidiaries shall</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sign a specific non-disclosure agreement.</w:t>
            </w:r>
          </w:p>
        </w:tc>
      </w:tr>
      <w:tr>
        <w:trPr>
          <w:trHeight w:val="3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4.2</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No restrictions mentioned above shall apply to:</w:t>
            </w:r>
          </w:p>
        </w:tc>
      </w:tr>
      <w:tr>
        <w:trPr>
          <w:trHeight w:val="424"/>
        </w:trPr>
        <w:tc>
          <w:tcPr>
            <w:tcW w:w="140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Arial" w:cs="Arial" w:eastAsia="Arial" w:hAnsi="Arial"/>
                <w:sz w:val="17"/>
                <w:szCs w:val="17"/>
                <w:color w:val="auto"/>
              </w:rPr>
              <w:t>4.2.1.</w:t>
            </w:r>
          </w:p>
        </w:tc>
        <w:tc>
          <w:tcPr>
            <w:tcW w:w="8940" w:type="dxa"/>
            <w:vAlign w:val="bottom"/>
          </w:tcPr>
          <w:p>
            <w:pPr>
              <w:ind w:left="240"/>
              <w:spacing w:after="0"/>
              <w:rPr>
                <w:sz w:val="20"/>
                <w:szCs w:val="20"/>
                <w:color w:val="auto"/>
              </w:rPr>
            </w:pPr>
            <w:r>
              <w:rPr>
                <w:rFonts w:ascii="Arial" w:cs="Arial" w:eastAsia="Arial" w:hAnsi="Arial"/>
                <w:sz w:val="17"/>
                <w:szCs w:val="17"/>
                <w:color w:val="auto"/>
              </w:rPr>
              <w:t>any information that has become generally available to the public at the time of disclosure;</w:t>
            </w:r>
          </w:p>
        </w:tc>
      </w:tr>
      <w:tr>
        <w:trPr>
          <w:trHeight w:val="411"/>
        </w:trPr>
        <w:tc>
          <w:tcPr>
            <w:tcW w:w="140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Arial" w:cs="Arial" w:eastAsia="Arial" w:hAnsi="Arial"/>
                <w:sz w:val="17"/>
                <w:szCs w:val="17"/>
                <w:color w:val="auto"/>
              </w:rPr>
              <w:t>4.2.2.</w:t>
            </w:r>
          </w:p>
        </w:tc>
        <w:tc>
          <w:tcPr>
            <w:tcW w:w="8940" w:type="dxa"/>
            <w:vAlign w:val="bottom"/>
          </w:tcPr>
          <w:p>
            <w:pPr>
              <w:ind w:left="240"/>
              <w:spacing w:after="0"/>
              <w:rPr>
                <w:sz w:val="20"/>
                <w:szCs w:val="20"/>
                <w:color w:val="auto"/>
              </w:rPr>
            </w:pPr>
            <w:r>
              <w:rPr>
                <w:rFonts w:ascii="Arial" w:cs="Arial" w:eastAsia="Arial" w:hAnsi="Arial"/>
                <w:sz w:val="17"/>
                <w:szCs w:val="17"/>
                <w:color w:val="auto"/>
                <w:w w:val="95"/>
              </w:rPr>
              <w:t>any information that has become generally available to the public after disclosure through no fault of the receiving party of</w:t>
            </w:r>
          </w:p>
        </w:tc>
      </w:tr>
      <w:tr>
        <w:trPr>
          <w:trHeight w:val="212"/>
        </w:trPr>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940" w:type="dxa"/>
            <w:vAlign w:val="bottom"/>
          </w:tcPr>
          <w:p>
            <w:pPr>
              <w:ind w:left="240"/>
              <w:spacing w:after="0"/>
              <w:rPr>
                <w:sz w:val="20"/>
                <w:szCs w:val="20"/>
                <w:color w:val="auto"/>
              </w:rPr>
            </w:pPr>
            <w:r>
              <w:rPr>
                <w:rFonts w:ascii="Arial" w:cs="Arial" w:eastAsia="Arial" w:hAnsi="Arial"/>
                <w:sz w:val="17"/>
                <w:szCs w:val="17"/>
                <w:color w:val="auto"/>
              </w:rPr>
              <w:t>Confidential Information;</w:t>
            </w:r>
          </w:p>
        </w:tc>
      </w:tr>
      <w:tr>
        <w:trPr>
          <w:trHeight w:val="104"/>
        </w:trPr>
        <w:tc>
          <w:tcPr>
            <w:tcW w:w="14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199" w:name="page200"/>
    <w:bookmarkEnd w:id="199"/>
    <w:p>
      <w:pPr>
        <w:ind w:left="2580" w:right="480" w:hanging="858"/>
        <w:spacing w:after="0" w:line="254" w:lineRule="auto"/>
        <w:tabs>
          <w:tab w:leader="none" w:pos="256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any information that can be proved by the receiving party of Confidential Information to have been in the possession of the receiving party before disclosure and not to be directly or indirectly received from the providing party of Confidential Information; and</w:t>
      </w:r>
    </w:p>
    <w:p>
      <w:pPr>
        <w:spacing w:after="0" w:line="177" w:lineRule="exact"/>
        <w:rPr>
          <w:sz w:val="20"/>
          <w:szCs w:val="20"/>
          <w:color w:val="auto"/>
        </w:rPr>
      </w:pPr>
    </w:p>
    <w:p>
      <w:pPr>
        <w:ind w:left="2580" w:right="80" w:hanging="858"/>
        <w:spacing w:after="0" w:line="304" w:lineRule="auto"/>
        <w:tabs>
          <w:tab w:leader="none" w:pos="256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color w:val="auto"/>
        </w:rPr>
        <w:t>any information required by law to be disclosed by the receiving party of Confidential Information to the relevant government departments, stock exchange and other institutions, or any of the above Confidential Information disclosed by the receiving party of Confidential Information to its direct legal advisors and financial consultants due to its normal business needs.</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3"/>
          <w:szCs w:val="13"/>
          <w:color w:val="auto"/>
        </w:rPr>
        <w:t>The Parties hereto agree that, whether this Agreement is modified, canceled or terminated, these provisions hereof shall remain in force.</w:t>
      </w:r>
    </w:p>
    <w:p>
      <w:pPr>
        <w:spacing w:after="0" w:line="224" w:lineRule="exact"/>
        <w:rPr>
          <w:sz w:val="20"/>
          <w:szCs w:val="20"/>
          <w:color w:val="auto"/>
        </w:rPr>
      </w:pPr>
    </w:p>
    <w:p>
      <w:pPr>
        <w:ind w:left="860" w:hanging="860"/>
        <w:spacing w:after="0"/>
        <w:tabs>
          <w:tab w:leader="none" w:pos="860"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5.1</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Except as otherwise stipulated herein, if any Party fails to fully perform or suspends the performance of its obligations under this Agreement,</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6"/>
              </w:rPr>
              <w:t>and such party fails to correct the above acts within Ten (10) days from receipt of a notice from the other party or makes any untrue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representations and warranties, such party shall be deemed to have breached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Party hereto breaches this Agreement or any representations and warranties made by such party in this Agreement, the non-breaching</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party may notify in writing the breaching party of correcting such breach within Ten (10) days from receipt of a notice, taking appropriate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measures to effectively and promptly avoid any damage and continuing to perform this Agreement. In case of any damage arising out of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breach, the breaching party shall make compensation to the non-breaching party to enable the non-breaching party to obtain all rights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interests that should have been obtained during the performance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5.3</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breach of this Agreement by any Party hereto renders the other party to bear any costs and liabilities or suffer any losses (including but</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not limited to any loss of profits), the breaching party shall make compensation to the non-breaching party in respect of any of the above costs,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liabilities or losses (including but not limited to any interest payment or loss and lawyer’s fees arising out of such breach). The total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compensatory payment paid by the breaching party to the non-breaching party shall be the same as the losses arising out of such breach,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above compensatory payment shall include any interests that should have been obtained by the non-breaching party in the event that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Parties hereto normally perform this Agreement, provided that such compensatory payment shall not exceed any losses reasonably expected by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the Parties hereto at the time of the conclusion of this Agreement that may be caused by such breach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5.4</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Party B and Party B’s Subsidiaries shall bear full responsibility for any claims made by any third party arising out of any failure by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Party B’s Subsidiaries to carry on their business according to Party A’s instructions or any improper use of Party A’s intellectual property rights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or any improper technical operation. If Party B and Party B’s Subsidiaries find that any third party uses any of Party A’s intellectual property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rights without the legal authorization, Party B and Party B’s Subsidiaries shall immediately notify Party A and cooperate with Party A in</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taking any actions.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both of the Parties hereto breach this Agreement, the respective amount of compensation payable by the Parties hereto shall be determined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according to the degree of their respective breach.</w:t>
            </w:r>
          </w:p>
        </w:tc>
      </w:tr>
    </w:tbl>
    <w:p>
      <w:pPr>
        <w:spacing w:after="0" w:line="183" w:lineRule="exact"/>
        <w:rPr>
          <w:sz w:val="20"/>
          <w:szCs w:val="20"/>
          <w:color w:val="auto"/>
        </w:rPr>
      </w:pPr>
    </w:p>
    <w:p>
      <w:pPr>
        <w:ind w:left="860" w:hanging="860"/>
        <w:spacing w:after="0"/>
        <w:tabs>
          <w:tab w:leader="none" w:pos="860"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Performance and Term</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3"/>
          <w:szCs w:val="13"/>
          <w:color w:val="auto"/>
        </w:rPr>
        <w:t>This Agreement shall be signed on the date first above written and become effective at the same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76835</wp:posOffset>
            </wp:positionV>
            <wp:extent cx="7184390"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0" w:name="page201"/>
    <w:bookmarkEnd w:id="200"/>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58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copies.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6.3</w:t>
            </w:r>
          </w:p>
        </w:tc>
        <w:tc>
          <w:tcPr>
            <w:tcW w:w="9580" w:type="dxa"/>
            <w:vAlign w:val="bottom"/>
          </w:tcPr>
          <w:p>
            <w:pPr>
              <w:ind w:left="320"/>
              <w:spacing w:after="0"/>
              <w:rPr>
                <w:sz w:val="20"/>
                <w:szCs w:val="20"/>
                <w:color w:val="auto"/>
              </w:rPr>
            </w:pPr>
            <w:r>
              <w:rPr>
                <w:rFonts w:ascii="Arial" w:cs="Arial" w:eastAsia="Arial" w:hAnsi="Arial"/>
                <w:sz w:val="17"/>
                <w:szCs w:val="17"/>
                <w:color w:val="auto"/>
                <w:w w:val="89"/>
              </w:rPr>
              <w:t>Unless Party A cancels this Agreement in advance, the term of this Agreement shall be terminated upon dissolution of both of Party B and</w:t>
            </w:r>
          </w:p>
        </w:tc>
      </w:tr>
      <w:tr>
        <w:trPr>
          <w:trHeight w:val="199"/>
        </w:trPr>
        <w:tc>
          <w:tcPr>
            <w:tcW w:w="540" w:type="dxa"/>
            <w:vAlign w:val="bottom"/>
          </w:tcPr>
          <w:p>
            <w:pPr>
              <w:spacing w:after="0"/>
              <w:rPr>
                <w:sz w:val="17"/>
                <w:szCs w:val="17"/>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w w:val="88"/>
              </w:rPr>
              <w:t>Party B’s Subsidiaries in accordance with the laws of the PRC. Upon Party A’s request prior to the expiration of this Agreement, the Parties</w:t>
            </w:r>
          </w:p>
        </w:tc>
      </w:tr>
      <w:tr>
        <w:trPr>
          <w:trHeight w:val="199"/>
        </w:trPr>
        <w:tc>
          <w:tcPr>
            <w:tcW w:w="540" w:type="dxa"/>
            <w:vAlign w:val="bottom"/>
          </w:tcPr>
          <w:p>
            <w:pPr>
              <w:spacing w:after="0"/>
              <w:rPr>
                <w:sz w:val="17"/>
                <w:szCs w:val="17"/>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w w:val="90"/>
              </w:rPr>
              <w:t>hereto shall either extend the term of this Agreement at Party A’s request so as to continue to perform this Agreement or sign a separate</w:t>
            </w:r>
          </w:p>
        </w:tc>
      </w:tr>
      <w:tr>
        <w:trPr>
          <w:trHeight w:val="212"/>
        </w:trPr>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rPr>
              <w:t>exclusive technical consultation and service agreement at Party A’s request.</w:t>
            </w:r>
          </w:p>
        </w:tc>
      </w:tr>
    </w:tbl>
    <w:p>
      <w:pPr>
        <w:spacing w:after="0" w:line="183" w:lineRule="exact"/>
        <w:rPr>
          <w:sz w:val="20"/>
          <w:szCs w:val="20"/>
          <w:color w:val="auto"/>
        </w:rPr>
      </w:pPr>
    </w:p>
    <w:p>
      <w:pPr>
        <w:ind w:left="860" w:hanging="860"/>
        <w:spacing w:after="0"/>
        <w:tabs>
          <w:tab w:leader="none" w:pos="86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7.1</w:t>
            </w:r>
          </w:p>
        </w:tc>
        <w:tc>
          <w:tcPr>
            <w:tcW w:w="9740" w:type="dxa"/>
            <w:vAlign w:val="bottom"/>
          </w:tcPr>
          <w:p>
            <w:pPr>
              <w:ind w:left="320"/>
              <w:spacing w:after="0"/>
              <w:rPr>
                <w:sz w:val="20"/>
                <w:szCs w:val="20"/>
                <w:color w:val="auto"/>
              </w:rPr>
            </w:pPr>
            <w:r>
              <w:rPr>
                <w:rFonts w:ascii="Arial" w:cs="Arial" w:eastAsia="Arial" w:hAnsi="Arial"/>
                <w:sz w:val="17"/>
                <w:szCs w:val="17"/>
                <w:color w:val="auto"/>
                <w:w w:val="94"/>
              </w:rPr>
              <w:t>Unless renewed according to the relevant provisions hereof, this Agreement shall be terminated on the expiry date of the term of this</w:t>
            </w:r>
          </w:p>
        </w:tc>
      </w:tr>
      <w:tr>
        <w:trPr>
          <w:trHeight w:val="212"/>
        </w:trPr>
        <w:tc>
          <w:tcPr>
            <w:tcW w:w="5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rPr>
              <w:t>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7.2</w:t>
            </w:r>
          </w:p>
        </w:tc>
        <w:tc>
          <w:tcPr>
            <w:tcW w:w="9740" w:type="dxa"/>
            <w:vAlign w:val="bottom"/>
          </w:tcPr>
          <w:p>
            <w:pPr>
              <w:ind w:left="320"/>
              <w:spacing w:after="0"/>
              <w:rPr>
                <w:sz w:val="20"/>
                <w:szCs w:val="20"/>
                <w:color w:val="auto"/>
              </w:rPr>
            </w:pPr>
            <w:r>
              <w:rPr>
                <w:rFonts w:ascii="Arial" w:cs="Arial" w:eastAsia="Arial" w:hAnsi="Arial"/>
                <w:sz w:val="17"/>
                <w:szCs w:val="17"/>
                <w:color w:val="auto"/>
                <w:w w:val="87"/>
              </w:rPr>
              <w:t>The Parties hereto may terminate this Agreement upon consensus through consultation. Party B and Party B’s Subsidiaries shall not terminate</w:t>
            </w:r>
          </w:p>
        </w:tc>
      </w:tr>
      <w:tr>
        <w:trPr>
          <w:trHeight w:val="199"/>
        </w:trPr>
        <w:tc>
          <w:tcPr>
            <w:tcW w:w="540" w:type="dxa"/>
            <w:vAlign w:val="bottom"/>
          </w:tcPr>
          <w:p>
            <w:pPr>
              <w:spacing w:after="0"/>
              <w:rPr>
                <w:sz w:val="17"/>
                <w:szCs w:val="17"/>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w w:val="94"/>
              </w:rPr>
              <w:t>this Agreement within the term of this Agreement without the written consent of Party A. Party A shall have the right to terminate this</w:t>
            </w:r>
          </w:p>
        </w:tc>
      </w:tr>
      <w:tr>
        <w:trPr>
          <w:trHeight w:val="212"/>
        </w:trPr>
        <w:tc>
          <w:tcPr>
            <w:tcW w:w="5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w w:val="97"/>
              </w:rPr>
              <w:t>Agreement at any time by giving a written notice to Party B, Party B's Subsidiaries and shareholders Thirty (30) days in advance.</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7.3</w:t>
            </w:r>
          </w:p>
        </w:tc>
        <w:tc>
          <w:tcPr>
            <w:tcW w:w="9740" w:type="dxa"/>
            <w:vAlign w:val="bottom"/>
          </w:tcPr>
          <w:p>
            <w:pPr>
              <w:ind w:left="320"/>
              <w:spacing w:after="0"/>
              <w:rPr>
                <w:sz w:val="20"/>
                <w:szCs w:val="20"/>
                <w:color w:val="auto"/>
              </w:rPr>
            </w:pPr>
            <w:r>
              <w:rPr>
                <w:rFonts w:ascii="Arial" w:cs="Arial" w:eastAsia="Arial" w:hAnsi="Arial"/>
                <w:sz w:val="17"/>
                <w:szCs w:val="17"/>
                <w:color w:val="auto"/>
                <w:w w:val="97"/>
              </w:rPr>
              <w:t>Any rights and obligations of the Parties hereto under the Articles 4 and 5 hereof shall survive the termination of this Agreement.</w:t>
            </w:r>
          </w:p>
        </w:tc>
      </w:tr>
    </w:tbl>
    <w:p>
      <w:pPr>
        <w:spacing w:after="0" w:line="208" w:lineRule="exact"/>
        <w:rPr>
          <w:sz w:val="20"/>
          <w:szCs w:val="20"/>
          <w:color w:val="auto"/>
        </w:rPr>
      </w:pPr>
    </w:p>
    <w:p>
      <w:pPr>
        <w:ind w:left="860" w:hanging="860"/>
        <w:spacing w:after="0"/>
        <w:tabs>
          <w:tab w:leader="none" w:pos="860"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resolve such disputes through consultation in good faith. If such disputes cannot be resolved through consultation, any Party may submit such</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5"/>
              </w:rPr>
              <w:t>arbitration rules of such Commission in force. The place of arbitration shall be Beijing, and the language to be used in the arbitration</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Article shall be affected by</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20" w:type="dxa"/>
            <w:vAlign w:val="bottom"/>
          </w:tcPr>
          <w:p>
            <w:pPr>
              <w:ind w:left="320"/>
              <w:spacing w:after="0"/>
              <w:rPr>
                <w:sz w:val="20"/>
                <w:szCs w:val="20"/>
                <w:color w:val="auto"/>
              </w:rPr>
            </w:pPr>
            <w:r>
              <w:rPr>
                <w:rFonts w:ascii="Arial" w:cs="Arial" w:eastAsia="Arial" w:hAnsi="Arial"/>
                <w:sz w:val="17"/>
                <w:szCs w:val="17"/>
                <w:color w:val="auto"/>
                <w:w w:val="92"/>
              </w:rPr>
              <w:t>Except for any matters disputed by the Parties hereto, the Parties hereto shall continue to perform their respective obligations under this</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9.1</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Force Majeure Events</w:t>
            </w:r>
            <w:r>
              <w:rPr>
                <w:rFonts w:ascii="Arial" w:cs="Arial" w:eastAsia="Arial" w:hAnsi="Arial"/>
                <w:sz w:val="17"/>
                <w:szCs w:val="17"/>
                <w:color w:val="auto"/>
                <w:w w:val="95"/>
              </w:rPr>
              <w:t>” mean any events beyond the reasonable control of one party that are unavoidable by the affected party with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reasonable care, including but not limited to any acts of government, natural force, fire, explosion, storm, flood, earthquake, tide, lightning or</w:t>
            </w:r>
          </w:p>
        </w:tc>
      </w:tr>
      <w:tr>
        <w:trPr>
          <w:trHeight w:val="195"/>
        </w:trPr>
        <w:tc>
          <w:tcPr>
            <w:tcW w:w="1400" w:type="dxa"/>
            <w:vAlign w:val="bottom"/>
          </w:tcPr>
          <w:p>
            <w:pPr>
              <w:spacing w:after="0"/>
              <w:rPr>
                <w:sz w:val="16"/>
                <w:szCs w:val="16"/>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war, provided that any credit, capital or financing shortage shall not be deemed to be the event beyond the reasonable control of one party. The</w:t>
            </w:r>
          </w:p>
        </w:tc>
      </w:tr>
      <w:tr>
        <w:trPr>
          <w:trHeight w:val="203"/>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party affected by any Force Majeure Events (hereinafter referred to as “</w:t>
            </w:r>
            <w:r>
              <w:rPr>
                <w:rFonts w:ascii="Arial" w:cs="Arial" w:eastAsia="Arial" w:hAnsi="Arial"/>
                <w:sz w:val="17"/>
                <w:szCs w:val="17"/>
                <w:b w:val="1"/>
                <w:bCs w:val="1"/>
                <w:color w:val="auto"/>
                <w:w w:val="90"/>
              </w:rPr>
              <w:t>Affected Party</w:t>
            </w:r>
            <w:r>
              <w:rPr>
                <w:rFonts w:ascii="Arial" w:cs="Arial" w:eastAsia="Arial" w:hAnsi="Arial"/>
                <w:sz w:val="17"/>
                <w:szCs w:val="17"/>
                <w:color w:val="auto"/>
                <w:w w:val="90"/>
              </w:rPr>
              <w:t>”) shall be exempted from its responsibility in whole or</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in part according to the effects of such Force Majeure Events on this Agreement, and the Affected Party who seeks exemption from its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responsibility for the performance of this Agreement due to such Force Majeure Events shall notify the other party of such Force Majeure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Events not later than Ten (10) days after occurrence of such Force Majeure Events so that the Parties hereto negotiate about the amendment to</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this Agreement according to the effects of such Force Majeure Events and exempt in whole or in part the Affected Party from its obligations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under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9.2</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The Affected Party shall take appropriate measures to reduce or eliminate the effects of such Force Majeure Events and shall try to restore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performance of its obligations delayed or hindered by such Force Majeure Events. Once such Force Majeure Events are eliminated, the Parties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hereto</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201" w:name="page202"/>
    <w:bookmarkEnd w:id="201"/>
    <w:p>
      <w:pPr>
        <w:ind w:left="1720"/>
        <w:spacing w:after="0"/>
        <w:rPr>
          <w:sz w:val="20"/>
          <w:szCs w:val="20"/>
          <w:color w:val="auto"/>
        </w:rPr>
      </w:pPr>
      <w:r>
        <w:rPr>
          <w:rFonts w:ascii="Arial" w:cs="Arial" w:eastAsia="Arial" w:hAnsi="Arial"/>
          <w:sz w:val="17"/>
          <w:szCs w:val="17"/>
          <w:color w:val="auto"/>
        </w:rPr>
        <w:t>agree that they shall use their best efforts to restore the performance of their rights and obligations under this Agreement.</w:t>
      </w:r>
    </w:p>
    <w:p>
      <w:pPr>
        <w:spacing w:after="0" w:line="224" w:lineRule="exact"/>
        <w:rPr>
          <w:sz w:val="20"/>
          <w:szCs w:val="20"/>
          <w:color w:val="auto"/>
        </w:rPr>
      </w:pPr>
    </w:p>
    <w:p>
      <w:pPr>
        <w:ind w:left="860" w:hanging="860"/>
        <w:spacing w:after="0"/>
        <w:tabs>
          <w:tab w:leader="none" w:pos="86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right="3660"/>
        <w:spacing w:after="0" w:line="252"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LIU Tongbo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and Party B's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Address: No. 13 building, Lai Guang Ying Chao Lai Science Park, Chaoyang District, Beijing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Tel.: [•]</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Attn.: LI Ming</w:t>
      </w:r>
    </w:p>
    <w:p>
      <w:pPr>
        <w:spacing w:after="0" w:line="187" w:lineRule="exact"/>
        <w:rPr>
          <w:sz w:val="20"/>
          <w:szCs w:val="20"/>
          <w:color w:val="auto"/>
        </w:rPr>
      </w:pPr>
    </w:p>
    <w:p>
      <w:pPr>
        <w:ind w:left="860" w:hanging="860"/>
        <w:spacing w:after="0"/>
        <w:tabs>
          <w:tab w:leader="none" w:pos="86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Unless any Party hereto obtains the prior written consent of the other party, such party shall not assign to any third party its rights or obligations under this Agreement except that Party A assigns its obligations under this Agreement to its affiliates. For the purpose as set forth in this Agreement, the aforesaid “affiliates” mean any enterprises controlled by Party A, controlling Party A or under common control of any third party with Party A. For the purpose as set forth in this Article, “control” means any possession by an enterprise of its influence power to directly or indirectly decide on and/or control the operating management of another enterprise, whether such influence power is formed by holding any shares of the controlled enterprise or formed by any contractual arrangement with the controlled enterprise.</w:t>
      </w:r>
    </w:p>
    <w:p>
      <w:pPr>
        <w:spacing w:after="0" w:line="146" w:lineRule="exact"/>
        <w:rPr>
          <w:sz w:val="20"/>
          <w:szCs w:val="20"/>
          <w:color w:val="auto"/>
        </w:rPr>
      </w:pPr>
    </w:p>
    <w:p>
      <w:pPr>
        <w:ind w:left="860" w:hanging="860"/>
        <w:spacing w:after="0"/>
        <w:tabs>
          <w:tab w:leader="none" w:pos="860"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Newly Added Party B’s Subsidiaries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case of any newly added Party B’s Subsidiary at any time after the effective date of this Agreement, Party B shall urge such newly added Party B’s Subsidiary to sign a letter of acceptance of rights and obligations in such form and substance as shown in Annex III hereto and 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Subsidiaries shall be deemed to be a signatory to this Agreement. Any other Parties hereto hereby agree to and fully accept the foregoing arrangement.</w:t>
      </w:r>
    </w:p>
    <w:p>
      <w:pPr>
        <w:spacing w:after="0" w:line="163" w:lineRule="exact"/>
        <w:rPr>
          <w:sz w:val="20"/>
          <w:szCs w:val="20"/>
          <w:color w:val="auto"/>
        </w:rPr>
      </w:pPr>
    </w:p>
    <w:p>
      <w:pPr>
        <w:ind w:left="860" w:hanging="860"/>
        <w:spacing w:after="0"/>
        <w:tabs>
          <w:tab w:leader="none" w:pos="860"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0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Parties hereby acknowledge that this Agreement shall be a fair and reasonable agreement reached by the Parties hereto on the basis of equality and mutual benefit. If any provisions of this Agreement are invalid or unenforceable due to any inconsistencies between such provisions and the relevant laws, such provisions shall be invalid or unenforceable only to the extent of jurisdiction of the relevant laws and shall not affect the legal effect of any other provisions of this Agreement.</w:t>
      </w:r>
    </w:p>
    <w:p>
      <w:pPr>
        <w:spacing w:after="0" w:line="138" w:lineRule="exact"/>
        <w:rPr>
          <w:sz w:val="20"/>
          <w:szCs w:val="20"/>
          <w:color w:val="auto"/>
        </w:rPr>
      </w:pPr>
    </w:p>
    <w:p>
      <w:pPr>
        <w:ind w:left="860" w:hanging="860"/>
        <w:spacing w:after="0"/>
        <w:tabs>
          <w:tab w:leader="none" w:pos="860"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Supplements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Parties hereto shall make in writing any amendments and supplements to this Agreement. Any amendment and supplementary agreements duly signed by the Parties in relation to this Agreement shall form an integral part of this Agreement and be equally authentic as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184390"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2" w:name="page203"/>
    <w:bookmarkEnd w:id="202"/>
    <w:p>
      <w:pPr>
        <w:ind w:left="860" w:hanging="860"/>
        <w:spacing w:after="0"/>
        <w:tabs>
          <w:tab w:leader="none" w:pos="86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sz w:val="20"/>
          <w:szCs w:val="20"/>
          <w:color w:val="auto"/>
        </w:rPr>
      </w:pPr>
    </w:p>
    <w:p>
      <w:pPr>
        <w:ind w:left="860" w:hanging="860"/>
        <w:spacing w:after="0"/>
        <w:tabs>
          <w:tab w:leader="none" w:pos="86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Except for any written amendments, supplements or modifications to this Agreement after the signing of this Agreement, this Agreement shall constitute an entire agreement among the Parties hereto in respect of the subject matter of this Agreement and supersede all prior oral and written negotiations, representations and agreements among the Parties in respect of the subject matter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authorized representative as of the date first above written.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Exclusive Technical Consultation and Service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 /s/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-20955</wp:posOffset>
            </wp:positionV>
            <wp:extent cx="70104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701040" cy="762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 /s/ LI Ming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-20955</wp:posOffset>
            </wp:positionV>
            <wp:extent cx="58547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585470" cy="762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 List of Technical Consultation and Services</w:t>
      </w:r>
    </w:p>
    <w:p>
      <w:pPr>
        <w:spacing w:after="0" w:line="206" w:lineRule="exact"/>
        <w:rPr>
          <w:sz w:val="20"/>
          <w:szCs w:val="20"/>
          <w:color w:val="auto"/>
        </w:rPr>
      </w:pPr>
    </w:p>
    <w:p>
      <w:pPr>
        <w:ind w:left="860" w:hanging="860"/>
        <w:spacing w:after="0"/>
        <w:tabs>
          <w:tab w:leader="none" w:pos="8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Provide the development and research services.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Provide website design and design, installation, commissioning and maintenance services of computer network systems.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Provide database support and software services.</w:t>
      </w:r>
    </w:p>
    <w:p>
      <w:pPr>
        <w:spacing w:after="0" w:line="203" w:lineRule="exact"/>
        <w:rPr>
          <w:rFonts w:ascii="Arial" w:cs="Arial" w:eastAsia="Arial" w:hAnsi="Arial"/>
          <w:sz w:val="17"/>
          <w:szCs w:val="17"/>
          <w:color w:val="auto"/>
        </w:rPr>
      </w:pPr>
    </w:p>
    <w:p>
      <w:pPr>
        <w:ind w:left="860" w:right="120" w:hanging="860"/>
        <w:spacing w:after="0" w:line="264" w:lineRule="auto"/>
        <w:tabs>
          <w:tab w:leader="none" w:pos="8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Provide economic information consultation, project investment consultation, scientific and technological information consultation, enterprise management consultation and other consultation services.</w:t>
      </w:r>
    </w:p>
    <w:p>
      <w:pPr>
        <w:spacing w:after="0" w:line="167" w:lineRule="exact"/>
        <w:rPr>
          <w:rFonts w:ascii="Arial" w:cs="Arial" w:eastAsia="Arial" w:hAnsi="Arial"/>
          <w:sz w:val="17"/>
          <w:szCs w:val="17"/>
          <w:color w:val="auto"/>
        </w:rPr>
      </w:pPr>
    </w:p>
    <w:p>
      <w:pPr>
        <w:ind w:left="860" w:hanging="860"/>
        <w:spacing w:after="0"/>
        <w:tabs>
          <w:tab w:leader="none" w:pos="8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Provide pre-job training and in-service training services.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Provide technical development, consultation and technology transfer services.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Provide public relations services.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Provide market survey and research services.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Provide the services of developing medium and short term market development plans and market planning service.</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Provide technical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20"/>
          <w:szCs w:val="20"/>
          <w:b w:val="1"/>
          <w:bCs w:val="1"/>
          <w:color w:val="auto"/>
        </w:rPr>
        <w:t>Annex II Calculation and Payment Methods of Service Fees</w:t>
      </w:r>
    </w:p>
    <w:p>
      <w:pPr>
        <w:spacing w:after="0" w:line="207" w:lineRule="exact"/>
        <w:rPr>
          <w:sz w:val="20"/>
          <w:szCs w:val="20"/>
          <w:color w:val="auto"/>
        </w:rPr>
      </w:pPr>
    </w:p>
    <w:p>
      <w:pPr>
        <w:ind w:left="860" w:right="20" w:hanging="860"/>
        <w:spacing w:after="0" w:line="251" w:lineRule="auto"/>
        <w:tabs>
          <w:tab w:leader="none" w:pos="8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Service Fees under this Agreement shall be calculated on the basis of 10% to 100% of the monthly total business income of Party B and/or Party B’s Subsidiaries, and the specific proportion of the above Service Fees (limited to 10% to 100%) shall be determined and notified in writing by Party A to Party B and/or Party B’s Subsidiaries according to the actual technical support service provided by Party A as required by Party B and/or Party B’s Subsidiaries and based on the number of persons and number of days invested by Party A.</w:t>
      </w:r>
    </w:p>
    <w:p>
      <w:pPr>
        <w:spacing w:after="0" w:line="179" w:lineRule="exact"/>
        <w:rPr>
          <w:sz w:val="20"/>
          <w:szCs w:val="20"/>
          <w:color w:val="auto"/>
        </w:rPr>
      </w:pPr>
    </w:p>
    <w:p>
      <w:pPr>
        <w:ind w:left="860" w:hanging="860"/>
        <w:spacing w:after="0"/>
        <w:tabs>
          <w:tab w:leader="none" w:pos="8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Party B shall determine the amount of Service Fees according to the following factors:</w:t>
      </w:r>
    </w:p>
    <w:p>
      <w:pPr>
        <w:spacing w:after="0" w:line="203" w:lineRule="exact"/>
        <w:rPr>
          <w:rFonts w:ascii="Arial" w:cs="Arial" w:eastAsia="Arial" w:hAnsi="Arial"/>
          <w:sz w:val="17"/>
          <w:szCs w:val="17"/>
          <w:color w:val="auto"/>
        </w:rPr>
      </w:pPr>
    </w:p>
    <w:p>
      <w:pPr>
        <w:ind w:left="1720" w:hanging="861"/>
        <w:spacing w:after="0"/>
        <w:tabs>
          <w:tab w:leader="none" w:pos="17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Technical difficulty and complexity of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Time spent by Party A’s employees in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Specific content and commercial value of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Market reference price of similar technical consultation and services.</w:t>
      </w:r>
    </w:p>
    <w:p>
      <w:pPr>
        <w:spacing w:after="0" w:line="228" w:lineRule="exact"/>
        <w:rPr>
          <w:sz w:val="20"/>
          <w:szCs w:val="20"/>
          <w:color w:val="auto"/>
        </w:rPr>
      </w:pPr>
    </w:p>
    <w:p>
      <w:pPr>
        <w:ind w:left="860" w:right="100" w:hanging="860"/>
        <w:spacing w:after="0" w:line="249" w:lineRule="auto"/>
        <w:tabs>
          <w:tab w:leader="none" w:pos="8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Party A shall summarize and calculate the Service Fees on a quarterly basis and shall, within Thirty (30) days from the start date of any quarter, send a bill of technical Service Fees for the last quarter to Party B and/or Party B’s Subsidiaries so as to give a notice to Party B and/or Party B’s Subsidiaries. Within Ten (10) working days after receipt of such notice, Party B and/or Party B’s Subsidiaries shall pay such Service Fees to the bank account designated by Party A. Party B and/or Party B’s Subsidiaries shall send by fax or by mail a copy of the remittance voucher to Party A within Ten (10) working days after remittance.</w:t>
      </w: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ind w:right="300"/>
        <w:spacing w:after="0" w:line="254" w:lineRule="auto"/>
        <w:rPr>
          <w:sz w:val="20"/>
          <w:szCs w:val="20"/>
          <w:color w:val="auto"/>
        </w:rPr>
      </w:pPr>
      <w:r>
        <w:rPr>
          <w:rFonts w:ascii="Arial" w:cs="Arial" w:eastAsia="Arial" w:hAnsi="Arial"/>
          <w:sz w:val="17"/>
          <w:szCs w:val="17"/>
          <w:color w:val="auto"/>
        </w:rPr>
        <w:t>If Party A considers that it is necessary to adjust the service pricing mechanism as stipulated herein that is not continuously applicable for some reason, Party A shall give a prompt written notice to Party B and/or Party B’s Subsidiaries, and such written notice shall take effect when it is served to Party B and/or Party B’s Subsidiaries.</w:t>
      </w:r>
    </w:p>
    <w:p>
      <w:pPr>
        <w:spacing w:after="0" w:line="164" w:lineRule="exact"/>
        <w:rPr>
          <w:sz w:val="20"/>
          <w:szCs w:val="20"/>
          <w:color w:val="auto"/>
        </w:rPr>
      </w:pPr>
    </w:p>
    <w:p>
      <w:pPr>
        <w:sectPr>
          <w:pgSz w:w="11900" w:h="16838" w:orient="portrait"/>
          <w:cols w:equalWidth="0" w:num="2">
            <w:col w:w="200" w:space="660"/>
            <w:col w:w="10380"/>
          </w:cols>
          <w:pgMar w:left="320" w:top="114" w:right="33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Annex III Letter of Acceptance of Rights and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Our company</w:t>
      </w:r>
      <w:r>
        <w:rPr>
          <w:rFonts w:ascii="Arial" w:cs="Arial" w:eastAsia="Arial" w:hAnsi="Arial"/>
          <w:sz w:val="15"/>
          <w:szCs w:val="15"/>
          <w:b w:val="1"/>
          <w:bCs w:val="1"/>
          <w:color w:val="auto"/>
        </w:rPr>
        <w:t>, ______, is a subsidiary of ______ Co., Ltd. (hereinafter referred to as “______”) incorporated with ______on the ______day of , and Tianjin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Shangde holds % of ______ the shares/equity of our company.</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accordance with the Exclusive Technical Consultation and Service Agreement (hereinafter referred to as “Agreement”) entered into by ______________Co.,</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Limited and other parties on the day of ______, our company as a newly added “Party B’s Subsidiary” under the Agreement shall join the Agreement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Article 12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114"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114" w:right="339" w:bottom="1440" w:gutter="0" w:footer="0" w:header="0"/>
          <w:type w:val="continuous"/>
        </w:sectPr>
      </w:pPr>
    </w:p>
    <w:bookmarkStart w:id="204" w:name="page205"/>
    <w:bookmarkEnd w:id="204"/>
    <w:p>
      <w:pPr>
        <w:ind w:left="10340"/>
        <w:spacing w:after="0"/>
        <w:rPr>
          <w:sz w:val="20"/>
          <w:szCs w:val="20"/>
          <w:color w:val="auto"/>
        </w:rPr>
      </w:pPr>
      <w:r>
        <w:rPr>
          <w:rFonts w:ascii="Arial" w:cs="Arial" w:eastAsia="Arial" w:hAnsi="Arial"/>
          <w:sz w:val="16"/>
          <w:szCs w:val="16"/>
          <w:b w:val="1"/>
          <w:bCs w:val="1"/>
          <w:color w:val="auto"/>
        </w:rPr>
        <w:t>Exhibit 4.24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 Operation Agreement</w:t>
      </w:r>
    </w:p>
    <w:p>
      <w:pPr>
        <w:spacing w:after="0" w:line="202"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This Business Operation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fifth day of August, 2020 in Beijing, the People’s Republic of China (“PRC”) by and among the parties (hereinafter referred to as “Parties”)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Beijing Odysseus Education Technology Co., Ltd.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M1162, floor 1, no.1063-1, Huihe South Street, Banbidian village, Gaobeidian Township, Chaoyang District, Beijing,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 Ming</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or more of the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540" w:hanging="491"/>
        <w:spacing w:after="0"/>
        <w:tabs>
          <w:tab w:leader="none" w:pos="5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Party A has established the business relationship with Party B and Party B’s</w:t>
      </w:r>
    </w:p>
    <w:p>
      <w:pPr>
        <w:spacing w:after="0" w:line="203" w:lineRule="exact"/>
        <w:rPr>
          <w:sz w:val="20"/>
          <w:szCs w:val="20"/>
          <w:color w:val="auto"/>
        </w:rPr>
      </w:pPr>
    </w:p>
    <w:p>
      <w:pPr>
        <w:jc w:val="both"/>
        <w:ind w:left="500"/>
        <w:spacing w:after="0" w:line="254" w:lineRule="auto"/>
        <w:rPr>
          <w:sz w:val="20"/>
          <w:szCs w:val="20"/>
          <w:color w:val="auto"/>
        </w:rPr>
      </w:pPr>
      <w:r>
        <w:rPr>
          <w:rFonts w:ascii="Arial" w:cs="Arial" w:eastAsia="Arial" w:hAnsi="Arial"/>
          <w:sz w:val="17"/>
          <w:szCs w:val="17"/>
          <w:color w:val="auto"/>
        </w:rPr>
        <w:t>Subsidiaries by signing the Exclusive Technical Consultation and Service Agreement and other agreements; Party B and Party B’s Subsidiaries shall pay various amounts to Party A under such agreements, and therefore any daily operating activities of Party B and Party B’s Subsidiaries will have a substantial impact on their ability to pay the corresponding amounts to Party A.</w:t>
      </w:r>
    </w:p>
    <w:p>
      <w:pPr>
        <w:spacing w:after="0" w:line="177" w:lineRule="exact"/>
        <w:rPr>
          <w:sz w:val="20"/>
          <w:szCs w:val="20"/>
          <w:color w:val="auto"/>
        </w:rPr>
      </w:pPr>
    </w:p>
    <w:p>
      <w:pPr>
        <w:ind w:left="540" w:hanging="491"/>
        <w:spacing w:after="0"/>
        <w:tabs>
          <w:tab w:leader="none" w:pos="5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Any interests held by Party C in Party B and the shareholding structure are shown in Annex II hereto.</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900" w:hanging="851"/>
        <w:spacing w:after="0"/>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b w:val="1"/>
          <w:bCs w:val="1"/>
          <w:color w:val="auto"/>
        </w:rPr>
        <w:t>Obligation of omission</w:t>
      </w:r>
    </w:p>
    <w:p>
      <w:pPr>
        <w:spacing w:after="0" w:line="207" w:lineRule="exact"/>
        <w:rPr>
          <w:sz w:val="20"/>
          <w:szCs w:val="20"/>
          <w:color w:val="auto"/>
        </w:rPr>
      </w:pPr>
    </w:p>
    <w:p>
      <w:pPr>
        <w:jc w:val="both"/>
        <w:ind w:left="860"/>
        <w:spacing w:after="0" w:line="251" w:lineRule="auto"/>
        <w:rPr>
          <w:sz w:val="20"/>
          <w:szCs w:val="20"/>
          <w:color w:val="auto"/>
        </w:rPr>
      </w:pPr>
      <w:r>
        <w:rPr>
          <w:rFonts w:ascii="Arial" w:cs="Arial" w:eastAsia="Arial" w:hAnsi="Arial"/>
          <w:sz w:val="17"/>
          <w:szCs w:val="17"/>
          <w:color w:val="auto"/>
        </w:rPr>
        <w:t>In order to ensure that Party B and Party B’s Subsidiaries perform any agreements signed with Party A and their obligations to Party A, Party B, Party B’s Subsidiaries and Party C hereby acknowledge and agree that, unless they obtain the prior written consent of Party A or any other parties designated by Party A, Party B and Party B’s Subsidiaries shall not conduct any transactions and actions that may have substantial adverse effects on their assets, business, personnel, obligations, rights or company operations, including but not limited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84390"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05" w:name="page206"/>
    <w:bookmarkEnd w:id="205"/>
    <w:p>
      <w:pPr>
        <w:ind w:left="1560" w:hanging="722"/>
        <w:spacing w:after="0" w:line="264" w:lineRule="auto"/>
        <w:tabs>
          <w:tab w:leader="none" w:pos="15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Carrying out any activities beyond the normal business scope of the company or failure to operate company business in any way as consistent and usual as those in the past;</w:t>
      </w:r>
    </w:p>
    <w:p>
      <w:pPr>
        <w:spacing w:after="0" w:line="168"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Borrowing money from any third party or assuming any debts;</w:t>
      </w:r>
    </w:p>
    <w:p>
      <w:pPr>
        <w:spacing w:after="0" w:line="203"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Changing or removing any directors of the company or dismissing and replacing any senior managers of the company;</w:t>
      </w:r>
    </w:p>
    <w:p>
      <w:pPr>
        <w:spacing w:after="0" w:line="203" w:lineRule="exact"/>
        <w:rPr>
          <w:sz w:val="20"/>
          <w:szCs w:val="20"/>
          <w:color w:val="auto"/>
        </w:rPr>
      </w:pPr>
    </w:p>
    <w:p>
      <w:pPr>
        <w:ind w:left="1560" w:hanging="722"/>
        <w:spacing w:after="0" w:line="264" w:lineRule="auto"/>
        <w:tabs>
          <w:tab w:leader="none" w:pos="154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Selling to or acquiring from any third party or otherwise disposing of any assets or rights (including but not limited to any intellectual property rights) with the total value of RMB 0.05 million or more;</w:t>
      </w:r>
    </w:p>
    <w:p>
      <w:pPr>
        <w:spacing w:after="0" w:line="168" w:lineRule="exact"/>
        <w:rPr>
          <w:sz w:val="20"/>
          <w:szCs w:val="20"/>
          <w:color w:val="auto"/>
        </w:rPr>
      </w:pPr>
    </w:p>
    <w:p>
      <w:pPr>
        <w:ind w:left="1560" w:hanging="722"/>
        <w:spacing w:after="0" w:line="264" w:lineRule="auto"/>
        <w:tabs>
          <w:tab w:leader="none" w:pos="154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Providing any third party with any form of guarantees or creating any form of encumbrances on any assets of the company (including any intellectual property rights);</w:t>
      </w:r>
    </w:p>
    <w:p>
      <w:pPr>
        <w:spacing w:after="0" w:line="168"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3"/>
          <w:szCs w:val="13"/>
          <w:color w:val="auto"/>
        </w:rPr>
        <w:t>Amending the articles of association or changing the business scope of the company;</w:t>
      </w:r>
    </w:p>
    <w:p>
      <w:pPr>
        <w:spacing w:after="0" w:line="203"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color w:val="auto"/>
        </w:rPr>
        <w:t>Changing the normal business procedures of the company or modifying any major internal rules and regulations of the company;</w:t>
      </w:r>
    </w:p>
    <w:p>
      <w:pPr>
        <w:spacing w:after="0" w:line="203"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color w:val="auto"/>
        </w:rPr>
        <w:t>Transferring their rights and obligations under this Agreement to any third party;</w:t>
      </w:r>
    </w:p>
    <w:p>
      <w:pPr>
        <w:spacing w:after="0" w:line="203"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color w:val="auto"/>
        </w:rPr>
        <w:t>Making any major adjustments to their business operation model, marketing strategy, management policy or customer relations; and</w:t>
      </w:r>
    </w:p>
    <w:p>
      <w:pPr>
        <w:spacing w:after="0" w:line="203"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color w:val="auto"/>
        </w:rPr>
        <w:t>Distributing any bonus and dividend in any form.</w:t>
      </w:r>
    </w:p>
    <w:p>
      <w:pPr>
        <w:spacing w:after="0" w:line="199" w:lineRule="exact"/>
        <w:rPr>
          <w:sz w:val="20"/>
          <w:szCs w:val="20"/>
          <w:color w:val="auto"/>
        </w:rPr>
      </w:pPr>
    </w:p>
    <w:p>
      <w:pPr>
        <w:ind w:left="420" w:hanging="411"/>
        <w:spacing w:after="0"/>
        <w:tabs>
          <w:tab w:leader="none" w:pos="42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Management and Personnel Arrangement</w:t>
      </w:r>
    </w:p>
    <w:p>
      <w:pPr>
        <w:spacing w:after="0" w:line="207" w:lineRule="exact"/>
        <w:rPr>
          <w:sz w:val="20"/>
          <w:szCs w:val="20"/>
          <w:color w:val="auto"/>
        </w:rPr>
      </w:pPr>
    </w:p>
    <w:p>
      <w:pPr>
        <w:jc w:val="both"/>
        <w:ind w:left="1560" w:hanging="722"/>
        <w:spacing w:after="0" w:line="254" w:lineRule="auto"/>
        <w:tabs>
          <w:tab w:leader="none" w:pos="15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Party B, Party B’s Subsidiaries and Party C hereby agree to accept any appointment and dismissal of employees of the company provided by Party A from time to time and any opinions and instructions on the daily operating management, financial management system, etc., of the company and strictly implement them.</w:t>
      </w:r>
    </w:p>
    <w:p>
      <w:pPr>
        <w:spacing w:after="0" w:line="177" w:lineRule="exact"/>
        <w:rPr>
          <w:sz w:val="20"/>
          <w:szCs w:val="20"/>
          <w:color w:val="auto"/>
        </w:rPr>
      </w:pPr>
    </w:p>
    <w:p>
      <w:pPr>
        <w:jc w:val="both"/>
        <w:ind w:left="1560" w:hanging="722"/>
        <w:spacing w:after="0" w:line="269" w:lineRule="auto"/>
        <w:tabs>
          <w:tab w:leader="none" w:pos="15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color w:val="auto"/>
        </w:rPr>
        <w:t>Party B, Party B’s Subsidiaries and Party C hereby agree that Party C shall, in accordance with the laws and regulations and the articles of association, elect or appoint any persons designated by Party A as director (or executive director) or supervisor of Party B and Party B’s Subsidiaries and cause such persons elected as director to elect the chairman of the company (if the company has a board of directors) according to Party A’s recommendation of candidate and shall appoint any persons designated by Party A as general manager, chief financial officer and other senior managers of Party B and Party B’s Subsidiaries.</w:t>
      </w:r>
    </w:p>
    <w:p>
      <w:pPr>
        <w:spacing w:after="0" w:line="165" w:lineRule="exact"/>
        <w:rPr>
          <w:sz w:val="20"/>
          <w:szCs w:val="20"/>
          <w:color w:val="auto"/>
        </w:rPr>
      </w:pPr>
    </w:p>
    <w:p>
      <w:pPr>
        <w:jc w:val="both"/>
        <w:ind w:left="1560" w:hanging="722"/>
        <w:spacing w:after="0" w:line="295" w:lineRule="auto"/>
        <w:tabs>
          <w:tab w:leader="none" w:pos="15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When the aforesaid directors or senior managers designated by Party A leave Party A for any reasons whatsoever (including but not limited to any voluntary resignation and dismissal by Party A), they will be disqualified from holding a post in Party B and Party B’s Subsidiaries. In such a case, Party B, Party B’s Subsidiaries and Party C shall immediately dismiss the aforesaid persons from any post in Party B and Party B’s Subsidiaries and immediately elect or employ any other persons otherwise designated by Party A to hold such post.</w:t>
      </w:r>
    </w:p>
    <w:p>
      <w:pPr>
        <w:spacing w:after="0" w:line="149" w:lineRule="exact"/>
        <w:rPr>
          <w:sz w:val="20"/>
          <w:szCs w:val="20"/>
          <w:color w:val="auto"/>
        </w:rPr>
      </w:pPr>
    </w:p>
    <w:p>
      <w:pPr>
        <w:jc w:val="both"/>
        <w:ind w:left="1560" w:hanging="722"/>
        <w:spacing w:after="0" w:line="254" w:lineRule="auto"/>
        <w:tabs>
          <w:tab w:leader="none" w:pos="15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For the purpose of the Section 2.3 above, Party B, Party B’s Subsidiaries and Party C shall, in accordance with the laws, articles of association and this Agreement, take all necessary internal and external procedures of the company to complete the above dismissal and appointment procedures.</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59055</wp:posOffset>
            </wp:positionV>
            <wp:extent cx="7184390"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00"/>
          </w:cols>
          <w:pgMar w:left="360" w:top="526" w:right="339" w:bottom="1440" w:gutter="0" w:footer="0" w:header="0"/>
        </w:sectPr>
      </w:pPr>
    </w:p>
    <w:bookmarkStart w:id="206" w:name="page207"/>
    <w:bookmarkEnd w:id="206"/>
    <w:p>
      <w:pPr>
        <w:ind w:left="1560" w:hanging="722"/>
        <w:spacing w:after="0" w:line="252" w:lineRule="auto"/>
        <w:tabs>
          <w:tab w:leader="none" w:pos="15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Party C hereby agrees that, when signing this Agreement, it shall sign a power of attorney in such form and substance as shown in Annex III hereto and shall, according to such power of attorney,</w:t>
      </w:r>
    </w:p>
    <w:p>
      <w:pPr>
        <w:spacing w:after="0" w:line="1" w:lineRule="exact"/>
        <w:rPr>
          <w:sz w:val="20"/>
          <w:szCs w:val="20"/>
          <w:color w:val="auto"/>
        </w:rPr>
      </w:pPr>
    </w:p>
    <w:p>
      <w:pPr>
        <w:jc w:val="both"/>
        <w:ind w:left="1560"/>
        <w:spacing w:after="0" w:line="295" w:lineRule="auto"/>
        <w:rPr>
          <w:sz w:val="20"/>
          <w:szCs w:val="20"/>
          <w:color w:val="auto"/>
        </w:rPr>
      </w:pPr>
      <w:r>
        <w:rPr>
          <w:rFonts w:ascii="Arial" w:cs="Arial" w:eastAsia="Arial" w:hAnsi="Arial"/>
          <w:sz w:val="15"/>
          <w:szCs w:val="15"/>
          <w:color w:val="auto"/>
        </w:rPr>
        <w:t>irrevocably authorize any persons designated by Party A to exercise its shareholder rights on its behalf and exercise all shareholders’ voting rights in the name of shareholders at any meeting of shareholders held by Party B and Party B’s Subsidiaries. Party C further agrees that it shall replace at any time the designated authorized persons in the forgoing power of attorney according to Party A’s requirements.</w:t>
      </w:r>
    </w:p>
    <w:p>
      <w:pPr>
        <w:spacing w:after="0" w:line="145" w:lineRule="exact"/>
        <w:rPr>
          <w:sz w:val="20"/>
          <w:szCs w:val="20"/>
          <w:color w:val="auto"/>
        </w:rPr>
      </w:pPr>
    </w:p>
    <w:p>
      <w:pPr>
        <w:ind w:left="860" w:hanging="851"/>
        <w:spacing w:after="0"/>
        <w:tabs>
          <w:tab w:leader="none" w:pos="86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07" w:lineRule="exact"/>
        <w:rPr>
          <w:sz w:val="20"/>
          <w:szCs w:val="20"/>
          <w:color w:val="auto"/>
        </w:rPr>
      </w:pPr>
    </w:p>
    <w:p>
      <w:pPr>
        <w:jc w:val="both"/>
        <w:ind w:left="1560" w:hanging="722"/>
        <w:spacing w:after="0" w:line="254" w:lineRule="auto"/>
        <w:tabs>
          <w:tab w:leader="none" w:pos="15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If any of the agreements among Party A and Party B and Party B’s Subsidiaries is terminated or expires, Party A shall have the right to decide whether to terminate all agreements among Party A and Party B and Party B’s Subsidiaries, including but not limited to any Exclusive Technical Consultation and Service Agreement.</w:t>
      </w:r>
    </w:p>
    <w:p>
      <w:pPr>
        <w:spacing w:after="0" w:line="177" w:lineRule="exact"/>
        <w:rPr>
          <w:sz w:val="20"/>
          <w:szCs w:val="20"/>
          <w:color w:val="auto"/>
        </w:rPr>
      </w:pPr>
    </w:p>
    <w:p>
      <w:pPr>
        <w:jc w:val="both"/>
        <w:ind w:left="1560" w:hanging="722"/>
        <w:spacing w:after="0" w:line="286" w:lineRule="auto"/>
        <w:tabs>
          <w:tab w:leader="none" w:pos="15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Considering that Party A has established the business relationship with Party B and Party B’s Subsidiaries by signing an Exclusive Technical Consultation and Service Agreement and other agreements, any daily operating activities of Party B and Party B’s Subsidiaries will have a substantial impact on their ability to pay the corresponding amounts to Party A. Party C agrees that, subject to the provisions of Article 1 hereof, any incomes or interests shall be immediately paid or transferred without compensation to Party A when they are realized, under no conditions, out of any bonuses, dividend distributions or any other similar incomes or interests (regardless of their specific form) that are received by Party C from Party B and Party B’s Subsidiaries in the capacity of a shareholder of Party B and Party B’s Subsidiaries and that it shall, according to Party A’s requirements, provide all necessary documents or take all necessary actions to realize such payment or transfer.</w:t>
      </w:r>
    </w:p>
    <w:p>
      <w:pPr>
        <w:spacing w:after="0" w:line="156" w:lineRule="exact"/>
        <w:rPr>
          <w:sz w:val="20"/>
          <w:szCs w:val="20"/>
          <w:color w:val="auto"/>
        </w:rPr>
      </w:pPr>
    </w:p>
    <w:p>
      <w:pPr>
        <w:jc w:val="both"/>
        <w:ind w:left="1560" w:hanging="722"/>
        <w:spacing w:after="0" w:line="266" w:lineRule="auto"/>
        <w:tabs>
          <w:tab w:leader="none" w:pos="15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color w:val="auto"/>
        </w:rPr>
        <w:t>In case of any added Party B’s Subsidiary at any time after the effective date of this Agreement, Party B and Party C shall cause such newly added Party B’s Subsidiary to sign a letter of acceptance of rights and obligations in such form and substance as shown in Annex IV hereto and 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Subsidiary shall be deemed to be a signatory to this Agreement. Any other Parties hereto hereby agree to and fully accept the foregoing arrangement.</w:t>
      </w:r>
    </w:p>
    <w:p>
      <w:pPr>
        <w:spacing w:after="0" w:line="163" w:lineRule="exact"/>
        <w:rPr>
          <w:sz w:val="20"/>
          <w:szCs w:val="20"/>
          <w:color w:val="auto"/>
        </w:rPr>
      </w:pPr>
    </w:p>
    <w:p>
      <w:pPr>
        <w:ind w:left="860" w:hanging="851"/>
        <w:spacing w:after="0"/>
        <w:tabs>
          <w:tab w:leader="none" w:pos="860"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and Amendment</w:t>
      </w:r>
    </w:p>
    <w:p>
      <w:pPr>
        <w:spacing w:after="0" w:line="207" w:lineRule="exact"/>
        <w:rPr>
          <w:sz w:val="20"/>
          <w:szCs w:val="20"/>
          <w:color w:val="auto"/>
        </w:rPr>
      </w:pPr>
    </w:p>
    <w:p>
      <w:pPr>
        <w:jc w:val="both"/>
        <w:ind w:left="1560" w:hanging="722"/>
        <w:spacing w:after="0" w:line="278" w:lineRule="auto"/>
        <w:tabs>
          <w:tab w:leader="none" w:pos="15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This Agreement and all agreements and/or documents referred to or expressly contained herein shall constitute an entire agreement among the Parties in respect of the subject matter of this Agreement and supersede all prior oral and written agreements, contracts, understandings and communications among the Parties in relation to the subject matter of this Agreement.</w:t>
      </w:r>
    </w:p>
    <w:p>
      <w:pPr>
        <w:spacing w:after="0" w:line="158" w:lineRule="exact"/>
        <w:rPr>
          <w:sz w:val="20"/>
          <w:szCs w:val="20"/>
          <w:color w:val="auto"/>
        </w:rPr>
      </w:pPr>
    </w:p>
    <w:p>
      <w:pPr>
        <w:jc w:val="both"/>
        <w:ind w:left="1560" w:hanging="722"/>
        <w:spacing w:after="0" w:line="254" w:lineRule="auto"/>
        <w:tabs>
          <w:tab w:leader="none" w:pos="15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No amendments to this Agreement shall be valid unless a written agreement is signed by the Parties. Any amendment and supplementary agreements duly signed by the Parties in relation to this Agreement shall form an integral part of this Agreement and be equally authentic as this Agreement.</w:t>
      </w:r>
    </w:p>
    <w:p>
      <w:pPr>
        <w:spacing w:after="0" w:line="173" w:lineRule="exact"/>
        <w:rPr>
          <w:sz w:val="20"/>
          <w:szCs w:val="20"/>
          <w:color w:val="auto"/>
        </w:rPr>
      </w:pPr>
    </w:p>
    <w:p>
      <w:pPr>
        <w:ind w:left="860" w:hanging="851"/>
        <w:spacing w:after="0"/>
        <w:tabs>
          <w:tab w:leader="none" w:pos="86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sz w:val="20"/>
          <w:szCs w:val="20"/>
          <w:color w:val="auto"/>
        </w:rPr>
      </w:pPr>
    </w:p>
    <w:p>
      <w:pPr>
        <w:ind w:left="860" w:hanging="851"/>
        <w:spacing w:after="0"/>
        <w:tabs>
          <w:tab w:leader="none" w:pos="86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59055</wp:posOffset>
            </wp:positionV>
            <wp:extent cx="7184390"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00"/>
          </w:cols>
          <w:pgMar w:left="360" w:top="326" w:right="339" w:bottom="1440" w:gutter="0" w:footer="0" w:header="0"/>
        </w:sectPr>
      </w:pPr>
    </w:p>
    <w:bookmarkStart w:id="207" w:name="page208"/>
    <w:bookmarkEnd w:id="207"/>
    <w:p>
      <w:pPr>
        <w:jc w:val="both"/>
        <w:ind w:left="1560" w:hanging="722"/>
        <w:spacing w:after="0" w:line="248" w:lineRule="auto"/>
        <w:tabs>
          <w:tab w:leader="none" w:pos="15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In case of any disputes among the Parties arising out of the construction and performance of any provisions of this Agreement, the Parties shall resolve such disputes through consultation in good faith. If such disputes can not be resolved through consultation, any Party may submit such disputes to China International Economic and Trade Arbitration Commission for resolution by arbitration in accordance with the existing arbitration rules of such Commission in force. The place of arbitration</w:t>
      </w:r>
    </w:p>
    <w:p>
      <w:pPr>
        <w:spacing w:after="0" w:line="2" w:lineRule="exact"/>
        <w:rPr>
          <w:sz w:val="20"/>
          <w:szCs w:val="20"/>
          <w:color w:val="auto"/>
        </w:rPr>
      </w:pPr>
    </w:p>
    <w:p>
      <w:pPr>
        <w:ind w:left="1560"/>
        <w:spacing w:after="0" w:line="249" w:lineRule="auto"/>
        <w:rPr>
          <w:sz w:val="20"/>
          <w:szCs w:val="20"/>
          <w:color w:val="auto"/>
        </w:rPr>
      </w:pPr>
      <w:r>
        <w:rPr>
          <w:rFonts w:ascii="Arial" w:cs="Arial" w:eastAsia="Arial" w:hAnsi="Arial"/>
          <w:sz w:val="17"/>
          <w:szCs w:val="17"/>
          <w:color w:val="auto"/>
        </w:rPr>
        <w:t>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180" w:lineRule="exact"/>
        <w:rPr>
          <w:sz w:val="20"/>
          <w:szCs w:val="20"/>
          <w:color w:val="auto"/>
        </w:rPr>
      </w:pPr>
    </w:p>
    <w:p>
      <w:pPr>
        <w:ind w:left="1560" w:hanging="722"/>
        <w:spacing w:after="0" w:line="264" w:lineRule="auto"/>
        <w:tabs>
          <w:tab w:leader="none" w:pos="15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64" w:lineRule="exact"/>
        <w:rPr>
          <w:sz w:val="20"/>
          <w:szCs w:val="20"/>
          <w:color w:val="auto"/>
        </w:rPr>
      </w:pPr>
    </w:p>
    <w:p>
      <w:pPr>
        <w:ind w:left="860" w:hanging="851"/>
        <w:spacing w:after="0"/>
        <w:tabs>
          <w:tab w:leader="none" w:pos="860"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sz w:val="20"/>
          <w:szCs w:val="20"/>
          <w:color w:val="auto"/>
        </w:rPr>
      </w:pPr>
    </w:p>
    <w:p>
      <w:pPr>
        <w:jc w:val="both"/>
        <w:ind w:left="820" w:firstLine="2"/>
        <w:spacing w:after="0" w:line="254" w:lineRule="auto"/>
        <w:rPr>
          <w:sz w:val="20"/>
          <w:szCs w:val="20"/>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Address: No. 6 building, Lai Guang Ying Chao Lai Science Park, Chaoyang District, Beijing</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Tel.:</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Attn.: LIU Tongbo</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Party B and Party B’s Subsidiaries</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Address: No. 13 building, Lai Guang Ying Chao Lai Science Park, Chaoyang District, Beijing</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Tel.:</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Attn.: LI Ming</w:t>
      </w:r>
    </w:p>
    <w:p>
      <w:pPr>
        <w:spacing w:after="0" w:line="199" w:lineRule="exact"/>
        <w:rPr>
          <w:sz w:val="20"/>
          <w:szCs w:val="20"/>
          <w:color w:val="auto"/>
        </w:rPr>
      </w:pPr>
    </w:p>
    <w:p>
      <w:pPr>
        <w:ind w:left="860" w:hanging="851"/>
        <w:spacing w:after="0"/>
        <w:tabs>
          <w:tab w:leader="none" w:pos="860"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Term and Miscellaneous Provisions</w:t>
      </w:r>
    </w:p>
    <w:p>
      <w:pPr>
        <w:spacing w:after="0" w:line="207" w:lineRule="exact"/>
        <w:rPr>
          <w:sz w:val="20"/>
          <w:szCs w:val="20"/>
          <w:color w:val="auto"/>
        </w:rPr>
      </w:pPr>
    </w:p>
    <w:p>
      <w:pPr>
        <w:jc w:val="both"/>
        <w:ind w:left="1560" w:hanging="722"/>
        <w:spacing w:after="0" w:line="296" w:lineRule="auto"/>
        <w:tabs>
          <w:tab w:leader="none" w:pos="154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6"/>
          <w:szCs w:val="16"/>
          <w:color w:val="auto"/>
        </w:rPr>
        <w:t>Any written consents, suggestions and designations of Party A involved herein and any other decisions that have a substantial impact on the daily operation of Party B and Party B’s Subsidiaries shall be made by Party A’s board of directors and/or executive director.</w:t>
      </w:r>
    </w:p>
    <w:p>
      <w:pPr>
        <w:spacing w:after="0" w:line="144" w:lineRule="exact"/>
        <w:rPr>
          <w:sz w:val="20"/>
          <w:szCs w:val="20"/>
          <w:color w:val="auto"/>
        </w:rPr>
      </w:pPr>
    </w:p>
    <w:p>
      <w:pPr>
        <w:jc w:val="both"/>
        <w:ind w:left="1560" w:hanging="722"/>
        <w:spacing w:after="0" w:line="295" w:lineRule="auto"/>
        <w:tabs>
          <w:tab w:leader="none" w:pos="154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color w:val="auto"/>
        </w:rPr>
        <w:t>This Agreement is executed by the parties hereto and take effect as of the date first written above herein. Unless Party A cancels this Agreement in advance, the term of this Agreement shall be terminated upon dissolution of both of Party B and Party B’s Subsidiaries in accordance with the laws of the PRC. Upon Party A’s request prior to the expiration of this Agreement, the Parties shall extend the term of this Agreement at Party A’s request and shall sign a separate business operation agreement or continue to perform this Agreement according to Party A’s requirements.</w:t>
      </w:r>
    </w:p>
    <w:p>
      <w:pPr>
        <w:spacing w:after="0" w:line="149" w:lineRule="exact"/>
        <w:rPr>
          <w:sz w:val="20"/>
          <w:szCs w:val="20"/>
          <w:color w:val="auto"/>
        </w:rPr>
      </w:pPr>
    </w:p>
    <w:p>
      <w:pPr>
        <w:ind w:left="1560" w:right="160" w:hanging="722"/>
        <w:spacing w:after="0" w:line="251" w:lineRule="auto"/>
        <w:tabs>
          <w:tab w:leader="none" w:pos="15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Notwithstanding the above, the Parties acknowledge that, in case of any change of Party B’s shareholding structure or any increase or decrease of shareholders and other circumstances, Party A, Party B, Party B’s Subsidiaries and all existing shareholders of Party B shall re-sign this Agreement, and this Agreement shall automatically be terminated and become invalid from the effective date of the business operation agreement re-signed by the foregoing Parties.</w:t>
      </w:r>
    </w:p>
    <w:p>
      <w:pPr>
        <w:spacing w:after="0" w:line="179" w:lineRule="exact"/>
        <w:rPr>
          <w:sz w:val="20"/>
          <w:szCs w:val="20"/>
          <w:color w:val="auto"/>
        </w:rPr>
      </w:pPr>
    </w:p>
    <w:p>
      <w:pPr>
        <w:jc w:val="both"/>
        <w:ind w:left="1560" w:hanging="722"/>
        <w:spacing w:after="0" w:line="254" w:lineRule="auto"/>
        <w:tabs>
          <w:tab w:leader="none" w:pos="154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Within the term of this Agreement, Party B, Party B’s Subsidiaries and Party C shall not terminate this Agreement in advance. Party A shall have the right to terminate this Agreement at any time by giving a written notice to Party B, Party B’s Subsidiaries and shareholders Thirty (30) days in advance.</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59055</wp:posOffset>
            </wp:positionV>
            <wp:extent cx="7184390"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00"/>
          </w:cols>
          <w:pgMar w:left="360" w:top="326" w:right="339" w:bottom="1440" w:gutter="0" w:footer="0" w:header="0"/>
        </w:sectPr>
      </w:pPr>
    </w:p>
    <w:bookmarkStart w:id="208" w:name="page209"/>
    <w:bookmarkEnd w:id="208"/>
    <w:p>
      <w:pPr>
        <w:ind w:left="1600" w:hanging="722"/>
        <w:spacing w:after="0" w:line="252" w:lineRule="auto"/>
        <w:tabs>
          <w:tab w:leader="none" w:pos="158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7"/>
          <w:szCs w:val="17"/>
          <w:color w:val="auto"/>
        </w:rPr>
        <w:t>The Parties hereby acknowledge that this Agreement shall be a fair and reasonable agreement reached by the Parties hereto on the basis of equality and mutual benefit. If any provisions of this Agreement</w:t>
      </w:r>
    </w:p>
    <w:p>
      <w:pPr>
        <w:spacing w:after="0" w:line="1" w:lineRule="exact"/>
        <w:rPr>
          <w:sz w:val="20"/>
          <w:szCs w:val="20"/>
          <w:color w:val="auto"/>
        </w:rPr>
      </w:pPr>
    </w:p>
    <w:p>
      <w:pPr>
        <w:jc w:val="both"/>
        <w:ind w:left="1600"/>
        <w:spacing w:after="0" w:line="266" w:lineRule="auto"/>
        <w:rPr>
          <w:sz w:val="20"/>
          <w:szCs w:val="20"/>
          <w:color w:val="auto"/>
        </w:rPr>
      </w:pPr>
      <w:r>
        <w:rPr>
          <w:rFonts w:ascii="Arial" w:cs="Arial" w:eastAsia="Arial" w:hAnsi="Arial"/>
          <w:sz w:val="16"/>
          <w:szCs w:val="16"/>
          <w:color w:val="auto"/>
        </w:rPr>
        <w:t>are deemed to be illegal or unenforceable by any applicable law, such provisions shall be deemed to have been deleted from this Agreement and become invalid, provided that any other provisions of this Agreement shall remain in force, and this Agreement shall be deemed to have not contained such provisions from the beginning. The Parties hereto shall mutually negotiate about the replacement of such provisions that are deemed to have been deleted with any legal and valid provisions acceptable to the Parties.</w:t>
      </w:r>
    </w:p>
    <w:p>
      <w:pPr>
        <w:spacing w:after="0" w:line="168" w:lineRule="exact"/>
        <w:rPr>
          <w:sz w:val="20"/>
          <w:szCs w:val="20"/>
          <w:color w:val="auto"/>
        </w:rPr>
      </w:pPr>
    </w:p>
    <w:p>
      <w:pPr>
        <w:jc w:val="both"/>
        <w:ind w:left="1600" w:hanging="722"/>
        <w:spacing w:after="0" w:line="254" w:lineRule="auto"/>
        <w:tabs>
          <w:tab w:leader="none" w:pos="158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7"/>
          <w:szCs w:val="17"/>
          <w:color w:val="auto"/>
        </w:rPr>
        <w:t>No failure by any Party to exercise its rights, powers or privileges under this Agreement shall be treated as a waiver of such rights, powers or privileges by such Party. No single or partial exercise by any Party of its rights, powers or privileges under this Agreement shall exclude any exercise by such Party of its other rights, powers or privileges under this Agreement.</w:t>
      </w:r>
    </w:p>
    <w:p>
      <w:pPr>
        <w:spacing w:after="0" w:line="177" w:lineRule="exact"/>
        <w:rPr>
          <w:sz w:val="20"/>
          <w:szCs w:val="20"/>
          <w:color w:val="auto"/>
        </w:rPr>
      </w:pPr>
    </w:p>
    <w:p>
      <w:pPr>
        <w:ind w:left="880"/>
        <w:spacing w:after="0"/>
        <w:tabs>
          <w:tab w:leader="none" w:pos="158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This Agreement is written in Chinese and is executed in Four (4) original copies.</w:t>
      </w:r>
    </w:p>
    <w:p>
      <w:pPr>
        <w:spacing w:after="0" w:line="203" w:lineRule="exact"/>
        <w:rPr>
          <w:sz w:val="20"/>
          <w:szCs w:val="20"/>
          <w:color w:val="auto"/>
        </w:rPr>
      </w:pPr>
    </w:p>
    <w:p>
      <w:pPr>
        <w:jc w:val="both"/>
        <w:ind w:left="1600" w:hanging="722"/>
        <w:spacing w:after="0" w:line="264" w:lineRule="auto"/>
        <w:tabs>
          <w:tab w:leader="none" w:pos="158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7"/>
          <w:szCs w:val="17"/>
          <w:color w:val="auto"/>
        </w:rPr>
        <w:t>Party B, Party B’s Subsidiaries and Party C shall not transfer to any third party their rights and obligations under this Agreement unless they obtain the prior written consent of Party 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duly authorized representative as of the date first above written.</w:t>
      </w:r>
    </w:p>
    <w:p>
      <w:pPr>
        <w:spacing w:after="0" w:line="215"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[The remainder of this page is intentionally left blank]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Business Operation Agreement]</w:t>
      </w:r>
    </w:p>
    <w:p>
      <w:pPr>
        <w:spacing w:after="0" w:line="199"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(Seal)</w:t>
      </w:r>
      <w:r>
        <w:rPr>
          <w:sz w:val="20"/>
          <w:szCs w:val="20"/>
          <w:color w:val="auto"/>
        </w:rPr>
        <w:tab/>
      </w:r>
      <w:r>
        <w:rPr>
          <w:rFonts w:ascii="Arial" w:cs="Arial" w:eastAsia="Arial" w:hAnsi="Arial"/>
          <w:sz w:val="15"/>
          <w:szCs w:val="15"/>
          <w:color w:val="auto"/>
        </w:rPr>
        <w:t>/s/ LIU Tongbo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-10160</wp:posOffset>
            </wp:positionV>
            <wp:extent cx="88582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885825" cy="76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w:t>
      </w:r>
    </w:p>
    <w:p>
      <w:pPr>
        <w:spacing w:after="0" w:line="199"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(Seal)</w:t>
      </w:r>
      <w:r>
        <w:rPr>
          <w:sz w:val="20"/>
          <w:szCs w:val="20"/>
          <w:color w:val="auto"/>
        </w:rPr>
        <w:tab/>
      </w:r>
      <w:r>
        <w:rPr>
          <w:rFonts w:ascii="Arial" w:cs="Arial" w:eastAsia="Arial" w:hAnsi="Arial"/>
          <w:sz w:val="16"/>
          <w:szCs w:val="16"/>
          <w:color w:val="auto"/>
        </w:rPr>
        <w:t>/s/ LI 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-10160</wp:posOffset>
            </wp:positionV>
            <wp:extent cx="92837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928370" cy="76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page is intentionally left blank as the signature page of the Business Operation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LI Ming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Ming</w:t>
      </w: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CHEN Di</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CHEN Di</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84390"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20"/>
          <w:szCs w:val="20"/>
          <w:b w:val="1"/>
          <w:bCs w:val="1"/>
          <w:color w:val="auto"/>
        </w:rPr>
        <w:t>Annex I Party B’s Shareholders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480" w:type="dxa"/>
            <w:vAlign w:val="bottom"/>
            <w:tcBorders>
              <w:top w:val="single" w:sz="8" w:color="auto"/>
            </w:tcBorders>
          </w:tcPr>
          <w:p>
            <w:pPr>
              <w:spacing w:after="0"/>
              <w:rPr>
                <w:sz w:val="20"/>
                <w:szCs w:val="20"/>
                <w:color w:val="auto"/>
              </w:rPr>
            </w:pPr>
          </w:p>
        </w:tc>
        <w:tc>
          <w:tcPr>
            <w:tcW w:w="2480" w:type="dxa"/>
            <w:vAlign w:val="bottom"/>
            <w:tcBorders>
              <w:top w:val="single" w:sz="8" w:color="auto"/>
              <w:right w:val="single" w:sz="8" w:color="auto"/>
            </w:tcBorders>
          </w:tcPr>
          <w:p>
            <w:pPr>
              <w:jc w:val="center"/>
              <w:ind w:right="433"/>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top w:val="single" w:sz="8" w:color="auto"/>
            </w:tcBorders>
          </w:tcPr>
          <w:p>
            <w:pPr>
              <w:spacing w:after="0"/>
              <w:rPr>
                <w:sz w:val="20"/>
                <w:szCs w:val="20"/>
                <w:color w:val="auto"/>
              </w:rPr>
            </w:pPr>
          </w:p>
        </w:tc>
        <w:tc>
          <w:tcPr>
            <w:tcW w:w="212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7"/>
                <w:szCs w:val="17"/>
                <w:color w:val="auto"/>
              </w:rPr>
              <w:t>ID Card No.</w:t>
            </w:r>
          </w:p>
        </w:tc>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480" w:type="dxa"/>
            <w:vAlign w:val="bottom"/>
          </w:tcPr>
          <w:p>
            <w:pPr>
              <w:spacing w:after="0"/>
              <w:rPr>
                <w:sz w:val="18"/>
                <w:szCs w:val="18"/>
                <w:color w:val="auto"/>
              </w:rPr>
            </w:pPr>
          </w:p>
        </w:tc>
        <w:tc>
          <w:tcPr>
            <w:tcW w:w="2480" w:type="dxa"/>
            <w:vAlign w:val="bottom"/>
            <w:tcBorders>
              <w:right w:val="single" w:sz="8" w:color="auto"/>
            </w:tcBorders>
          </w:tcPr>
          <w:p>
            <w:pPr>
              <w:jc w:val="center"/>
              <w:ind w:right="433"/>
              <w:spacing w:after="0"/>
              <w:rPr>
                <w:sz w:val="20"/>
                <w:szCs w:val="20"/>
                <w:color w:val="auto"/>
              </w:rPr>
            </w:pPr>
            <w:r>
              <w:rPr>
                <w:rFonts w:ascii="Arial" w:cs="Arial" w:eastAsia="Arial" w:hAnsi="Arial"/>
                <w:sz w:val="17"/>
                <w:szCs w:val="17"/>
                <w:color w:val="auto"/>
              </w:rPr>
              <w:t>LI Ming</w:t>
            </w:r>
          </w:p>
        </w:tc>
        <w:tc>
          <w:tcPr>
            <w:tcW w:w="6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480" w:type="dxa"/>
            <w:vAlign w:val="bottom"/>
          </w:tcPr>
          <w:p>
            <w:pPr>
              <w:spacing w:after="0"/>
              <w:rPr>
                <w:sz w:val="18"/>
                <w:szCs w:val="18"/>
                <w:color w:val="auto"/>
              </w:rPr>
            </w:pPr>
          </w:p>
        </w:tc>
        <w:tc>
          <w:tcPr>
            <w:tcW w:w="2480" w:type="dxa"/>
            <w:vAlign w:val="bottom"/>
            <w:tcBorders>
              <w:right w:val="single" w:sz="8" w:color="auto"/>
            </w:tcBorders>
          </w:tcPr>
          <w:p>
            <w:pPr>
              <w:jc w:val="center"/>
              <w:ind w:right="413"/>
              <w:spacing w:after="0"/>
              <w:rPr>
                <w:sz w:val="20"/>
                <w:szCs w:val="20"/>
                <w:color w:val="auto"/>
              </w:rPr>
            </w:pPr>
            <w:r>
              <w:rPr>
                <w:rFonts w:ascii="Arial" w:cs="Arial" w:eastAsia="Arial" w:hAnsi="Arial"/>
                <w:sz w:val="17"/>
                <w:szCs w:val="17"/>
                <w:color w:val="auto"/>
                <w:w w:val="95"/>
              </w:rPr>
              <w:t>CHEN Di</w:t>
            </w:r>
          </w:p>
        </w:tc>
        <w:tc>
          <w:tcPr>
            <w:tcW w:w="6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60" w:type="dxa"/>
            <w:vAlign w:val="bottom"/>
            <w:gridSpan w:val="3"/>
          </w:tcPr>
          <w:p>
            <w:pPr>
              <w:ind w:left="20"/>
              <w:spacing w:after="0"/>
              <w:rPr>
                <w:sz w:val="20"/>
                <w:szCs w:val="20"/>
                <w:color w:val="auto"/>
              </w:rPr>
            </w:pPr>
            <w:r>
              <w:rPr>
                <w:rFonts w:ascii="Arial" w:cs="Arial" w:eastAsia="Arial" w:hAnsi="Arial"/>
                <w:sz w:val="20"/>
                <w:szCs w:val="20"/>
                <w:b w:val="1"/>
                <w:bCs w:val="1"/>
                <w:color w:val="auto"/>
              </w:rPr>
              <w:t>Annex II Party B’s Shareholding Structure</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660" w:type="dxa"/>
            <w:vAlign w:val="bottom"/>
            <w:gridSpan w:val="4"/>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right w:val="single" w:sz="8" w:color="auto"/>
            </w:tcBorders>
          </w:tcPr>
          <w:p>
            <w:pPr>
              <w:spacing w:after="0"/>
              <w:rPr>
                <w:sz w:val="17"/>
                <w:szCs w:val="17"/>
                <w:color w:val="auto"/>
              </w:rPr>
            </w:pPr>
          </w:p>
        </w:tc>
        <w:tc>
          <w:tcPr>
            <w:tcW w:w="2120" w:type="dxa"/>
            <w:vAlign w:val="bottom"/>
          </w:tcPr>
          <w:p>
            <w:pPr>
              <w:ind w:left="420"/>
              <w:spacing w:after="0"/>
              <w:rPr>
                <w:sz w:val="20"/>
                <w:szCs w:val="20"/>
                <w:color w:val="auto"/>
              </w:rPr>
            </w:pPr>
            <w:r>
              <w:rPr>
                <w:rFonts w:ascii="Arial" w:cs="Arial" w:eastAsia="Arial" w:hAnsi="Arial"/>
                <w:sz w:val="17"/>
                <w:szCs w:val="17"/>
                <w:color w:val="auto"/>
                <w:w w:val="95"/>
              </w:rPr>
              <w:t>Amount of Contribution</w:t>
            </w:r>
          </w:p>
        </w:tc>
        <w:tc>
          <w:tcPr>
            <w:tcW w:w="3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660" w:type="dxa"/>
            <w:vAlign w:val="bottom"/>
            <w:gridSpan w:val="4"/>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120" w:type="dxa"/>
            <w:vAlign w:val="bottom"/>
            <w:vMerge w:val="restart"/>
          </w:tcPr>
          <w:p>
            <w:pPr>
              <w:jc w:val="center"/>
              <w:ind w:left="237"/>
              <w:spacing w:after="0"/>
              <w:rPr>
                <w:sz w:val="20"/>
                <w:szCs w:val="20"/>
                <w:color w:val="auto"/>
              </w:rPr>
            </w:pPr>
            <w:r>
              <w:rPr>
                <w:rFonts w:ascii="Arial" w:cs="Arial" w:eastAsia="Arial" w:hAnsi="Arial"/>
                <w:sz w:val="17"/>
                <w:szCs w:val="17"/>
                <w:color w:val="auto"/>
                <w:w w:val="93"/>
              </w:rPr>
              <w:t>(CNY10000)</w:t>
            </w:r>
          </w:p>
        </w:tc>
        <w:tc>
          <w:tcPr>
            <w:tcW w:w="34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0" w:type="dxa"/>
            <w:vAlign w:val="bottom"/>
            <w:tcBorders>
              <w:left w:val="single" w:sz="8" w:color="auto"/>
              <w:right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212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240" w:type="dxa"/>
            <w:vAlign w:val="bottom"/>
          </w:tcPr>
          <w:p>
            <w:pPr>
              <w:spacing w:after="0"/>
              <w:rPr>
                <w:sz w:val="18"/>
                <w:szCs w:val="18"/>
                <w:color w:val="auto"/>
              </w:rPr>
            </w:pPr>
          </w:p>
        </w:tc>
        <w:tc>
          <w:tcPr>
            <w:tcW w:w="940" w:type="dxa"/>
            <w:vAlign w:val="bottom"/>
            <w:gridSpan w:val="2"/>
          </w:tcPr>
          <w:p>
            <w:pPr>
              <w:jc w:val="center"/>
              <w:ind w:left="177"/>
              <w:spacing w:after="0"/>
              <w:rPr>
                <w:sz w:val="20"/>
                <w:szCs w:val="20"/>
                <w:color w:val="auto"/>
              </w:rPr>
            </w:pPr>
            <w:r>
              <w:rPr>
                <w:rFonts w:ascii="Arial" w:cs="Arial" w:eastAsia="Arial" w:hAnsi="Arial"/>
                <w:sz w:val="17"/>
                <w:szCs w:val="17"/>
                <w:color w:val="auto"/>
              </w:rPr>
              <w:t>LI Ming</w:t>
            </w:r>
          </w:p>
        </w:tc>
        <w:tc>
          <w:tcPr>
            <w:tcW w:w="2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190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240" w:type="dxa"/>
            <w:vAlign w:val="bottom"/>
          </w:tcPr>
          <w:p>
            <w:pPr>
              <w:spacing w:after="0"/>
              <w:rPr>
                <w:sz w:val="18"/>
                <w:szCs w:val="18"/>
                <w:color w:val="auto"/>
              </w:rPr>
            </w:pPr>
          </w:p>
        </w:tc>
        <w:tc>
          <w:tcPr>
            <w:tcW w:w="940" w:type="dxa"/>
            <w:vAlign w:val="bottom"/>
            <w:gridSpan w:val="2"/>
          </w:tcPr>
          <w:p>
            <w:pPr>
              <w:jc w:val="center"/>
              <w:ind w:left="197"/>
              <w:spacing w:after="0"/>
              <w:rPr>
                <w:sz w:val="20"/>
                <w:szCs w:val="20"/>
                <w:color w:val="auto"/>
              </w:rPr>
            </w:pPr>
            <w:r>
              <w:rPr>
                <w:rFonts w:ascii="Arial" w:cs="Arial" w:eastAsia="Arial" w:hAnsi="Arial"/>
                <w:sz w:val="17"/>
                <w:szCs w:val="17"/>
                <w:color w:val="auto"/>
                <w:w w:val="95"/>
              </w:rPr>
              <w:t>CHEN Di</w:t>
            </w:r>
          </w:p>
        </w:tc>
        <w:tc>
          <w:tcPr>
            <w:tcW w:w="2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10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gridSpan w:val="2"/>
          </w:tcPr>
          <w:p>
            <w:pPr>
              <w:jc w:val="center"/>
              <w:ind w:left="197"/>
              <w:spacing w:after="0"/>
              <w:rPr>
                <w:sz w:val="20"/>
                <w:szCs w:val="20"/>
                <w:color w:val="auto"/>
              </w:rPr>
            </w:pPr>
            <w:r>
              <w:rPr>
                <w:rFonts w:ascii="Arial" w:cs="Arial" w:eastAsia="Arial" w:hAnsi="Arial"/>
                <w:sz w:val="17"/>
                <w:szCs w:val="17"/>
                <w:color w:val="auto"/>
                <w:w w:val="89"/>
              </w:rPr>
              <w:t>Total</w:t>
            </w:r>
          </w:p>
        </w:tc>
        <w:tc>
          <w:tcPr>
            <w:tcW w:w="2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200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III Power of Attorney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Beijing Odysseus Education Technology Co., Ltd. (“</w:t>
      </w:r>
      <w:r>
        <w:rPr>
          <w:rFonts w:ascii="Arial" w:cs="Arial" w:eastAsia="Arial" w:hAnsi="Arial"/>
          <w:sz w:val="17"/>
          <w:szCs w:val="17"/>
          <w:b w:val="1"/>
          <w:bCs w:val="1"/>
          <w:color w:val="auto"/>
        </w:rPr>
        <w:t>Beijing Odysseus</w:t>
      </w:r>
      <w:r>
        <w:rPr>
          <w:rFonts w:ascii="Arial" w:cs="Arial" w:eastAsia="Arial" w:hAnsi="Arial"/>
          <w:sz w:val="17"/>
          <w:szCs w:val="17"/>
          <w:color w:val="auto"/>
        </w:rPr>
        <w:t>”) of any specific obligations required by them as the shareholders of Beijing Odysseus,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LI Ming, CHEN Di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The Authorizers hereby irrevocably authorize to the maximum scope permitted by law Wuhan Studyvip Online Education Co., Limited ("</w:t>
      </w:r>
      <w:r>
        <w:rPr>
          <w:rFonts w:ascii="Arial" w:cs="Arial" w:eastAsia="Arial" w:hAnsi="Arial"/>
          <w:sz w:val="15"/>
          <w:szCs w:val="15"/>
          <w:b w:val="1"/>
          <w:bCs w:val="1"/>
          <w:color w:val="auto"/>
        </w:rPr>
        <w:t>WFOE</w:t>
      </w:r>
      <w:r>
        <w:rPr>
          <w:rFonts w:ascii="Arial" w:cs="Arial" w:eastAsia="Arial" w:hAnsi="Arial"/>
          <w:sz w:val="15"/>
          <w:szCs w:val="15"/>
          <w:color w:val="auto"/>
        </w:rPr>
        <w:t>") or its designated person or authorized representative (“</w:t>
      </w:r>
      <w:r>
        <w:rPr>
          <w:rFonts w:ascii="Arial" w:cs="Arial" w:eastAsia="Arial" w:hAnsi="Arial"/>
          <w:sz w:val="15"/>
          <w:szCs w:val="15"/>
          <w:b w:val="1"/>
          <w:bCs w:val="1"/>
          <w:color w:val="auto"/>
        </w:rPr>
        <w:t>Authorized Person</w:t>
      </w:r>
      <w:r>
        <w:rPr>
          <w:rFonts w:ascii="Arial" w:cs="Arial" w:eastAsia="Arial" w:hAnsi="Arial"/>
          <w:sz w:val="15"/>
          <w:szCs w:val="15"/>
          <w:color w:val="auto"/>
        </w:rPr>
        <w:t>”) to exercise all their shareholder rights corresponding to all voting shares (“</w:t>
      </w:r>
      <w:r>
        <w:rPr>
          <w:rFonts w:ascii="Arial" w:cs="Arial" w:eastAsia="Arial" w:hAnsi="Arial"/>
          <w:sz w:val="15"/>
          <w:szCs w:val="15"/>
          <w:b w:val="1"/>
          <w:bCs w:val="1"/>
          <w:color w:val="auto"/>
        </w:rPr>
        <w:t>Shares</w:t>
      </w:r>
      <w:r>
        <w:rPr>
          <w:rFonts w:ascii="Arial" w:cs="Arial" w:eastAsia="Arial" w:hAnsi="Arial"/>
          <w:sz w:val="15"/>
          <w:szCs w:val="15"/>
          <w:color w:val="auto"/>
        </w:rPr>
        <w:t>”) held by them in Beijing Odysseus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w:t>
      </w:r>
    </w:p>
    <w:p>
      <w:pPr>
        <w:ind w:right="40"/>
        <w:spacing w:after="0" w:line="246" w:lineRule="auto"/>
        <w:tabs>
          <w:tab w:leader="none" w:pos="23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Beijing Odysseus at the meeting of shareholders of Beijing Odysseus.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All powers of attorney in relation to any Shares that were issued by the Authorizers prior to</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the WFOE.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84390"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10" w:name="page211"/>
    <w:bookmarkEnd w:id="210"/>
    <w:p>
      <w:pPr>
        <w:jc w:val="both"/>
        <w:spacing w:after="0" w:line="254" w:lineRule="auto"/>
        <w:rPr>
          <w:sz w:val="20"/>
          <w:szCs w:val="20"/>
          <w:color w:val="auto"/>
        </w:rPr>
      </w:pPr>
      <w:r>
        <w:rPr>
          <w:rFonts w:ascii="Arial" w:cs="Arial" w:eastAsia="Arial" w:hAnsi="Arial"/>
          <w:sz w:val="17"/>
          <w:szCs w:val="17"/>
          <w:color w:val="auto"/>
        </w:rPr>
        <w:t>Unless the Business Operation Agreement signed by Beijing Odysseus,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the [ ], 2020.</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7"/>
                <w:szCs w:val="17"/>
                <w:b w:val="1"/>
                <w:bCs w:val="1"/>
                <w:color w:val="auto"/>
              </w:rPr>
              <w:t>Authorizers</w:t>
            </w:r>
          </w:p>
        </w:tc>
        <w:tc>
          <w:tcPr>
            <w:tcW w:w="1580" w:type="dxa"/>
            <w:vAlign w:val="bottom"/>
          </w:tcPr>
          <w:p>
            <w:pPr>
              <w:spacing w:after="0"/>
              <w:rPr>
                <w:sz w:val="18"/>
                <w:szCs w:val="18"/>
                <w:color w:val="auto"/>
              </w:rPr>
            </w:pPr>
          </w:p>
        </w:tc>
      </w:tr>
      <w:tr>
        <w:trPr>
          <w:trHeight w:val="386"/>
        </w:trPr>
        <w:tc>
          <w:tcPr>
            <w:tcW w:w="1000" w:type="dxa"/>
            <w:vAlign w:val="bottom"/>
          </w:tcPr>
          <w:p>
            <w:pPr>
              <w:spacing w:after="0"/>
              <w:rPr>
                <w:sz w:val="20"/>
                <w:szCs w:val="20"/>
                <w:color w:val="auto"/>
              </w:rPr>
            </w:pPr>
            <w:r>
              <w:rPr>
                <w:rFonts w:ascii="Arial" w:cs="Arial" w:eastAsia="Arial" w:hAnsi="Arial"/>
                <w:sz w:val="17"/>
                <w:szCs w:val="17"/>
                <w:color w:val="auto"/>
              </w:rPr>
              <w:t>LI Ming</w:t>
            </w:r>
          </w:p>
        </w:tc>
        <w:tc>
          <w:tcPr>
            <w:tcW w:w="1580" w:type="dxa"/>
            <w:vAlign w:val="bottom"/>
          </w:tcPr>
          <w:p>
            <w:pPr>
              <w:spacing w:after="0"/>
              <w:rPr>
                <w:sz w:val="24"/>
                <w:szCs w:val="24"/>
                <w:color w:val="auto"/>
              </w:rPr>
            </w:pPr>
          </w:p>
        </w:tc>
      </w:tr>
      <w:tr>
        <w:trPr>
          <w:trHeight w:val="212"/>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 Ming</w:t>
            </w:r>
          </w:p>
        </w:tc>
      </w:tr>
      <w:tr>
        <w:trPr>
          <w:trHeight w:val="379"/>
        </w:trPr>
        <w:tc>
          <w:tcPr>
            <w:tcW w:w="1000" w:type="dxa"/>
            <w:vAlign w:val="bottom"/>
          </w:tcPr>
          <w:p>
            <w:pPr>
              <w:spacing w:after="0"/>
              <w:rPr>
                <w:sz w:val="20"/>
                <w:szCs w:val="20"/>
                <w:color w:val="auto"/>
              </w:rPr>
            </w:pPr>
            <w:r>
              <w:rPr>
                <w:rFonts w:ascii="Arial" w:cs="Arial" w:eastAsia="Arial" w:hAnsi="Arial"/>
                <w:sz w:val="17"/>
                <w:szCs w:val="17"/>
                <w:color w:val="auto"/>
              </w:rPr>
              <w:t>CHEN Di</w:t>
            </w:r>
          </w:p>
        </w:tc>
        <w:tc>
          <w:tcPr>
            <w:tcW w:w="1580" w:type="dxa"/>
            <w:vAlign w:val="bottom"/>
          </w:tcPr>
          <w:p>
            <w:pPr>
              <w:spacing w:after="0"/>
              <w:rPr>
                <w:sz w:val="24"/>
                <w:szCs w:val="24"/>
                <w:color w:val="auto"/>
              </w:rPr>
            </w:pPr>
          </w:p>
        </w:tc>
      </w:tr>
      <w:tr>
        <w:trPr>
          <w:trHeight w:val="212"/>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CHEN Di</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Studyvip Online Education Co., Limited</w:t>
      </w:r>
    </w:p>
    <w:p>
      <w:pPr>
        <w:spacing w:after="0" w:line="20"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2540</wp:posOffset>
            </wp:positionV>
            <wp:extent cx="154241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154241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LIU Tongbo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Position: Authorized Representative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IV Letter of Acceptance of Rights and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company , </w:t>
      </w:r>
      <w:r>
        <w:rPr>
          <w:rFonts w:ascii="Arial" w:cs="Arial" w:eastAsia="Arial" w:hAnsi="Arial"/>
          <w:sz w:val="15"/>
          <w:szCs w:val="15"/>
          <w:b w:val="1"/>
          <w:bCs w:val="1"/>
          <w:color w:val="auto"/>
        </w:rPr>
        <w:t>______, is a subsidiary of (hereinafter referred to as “______ ”) incorporated with on the____ day of_______ , and Beijing Odysseus holds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 of the shares/equity of _____% of the shares/equity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accordance with the Exclusive Technical Consultation and Service Agreement (hereinafter referred to as “Agreement”) entered into by ______ Co., Limited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 other parties on the ______ day of______ , our company as a newly added “Party B’s Subsidiary” under the Agreement shall join the Agreement pursuant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Section 3.3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114"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326" w:right="339" w:bottom="1440" w:gutter="0" w:footer="0" w:header="0"/>
        </w:sectPr>
      </w:pPr>
    </w:p>
    <w:bookmarkStart w:id="211" w:name="page212"/>
    <w:bookmarkEnd w:id="211"/>
    <w:p>
      <w:pPr>
        <w:jc w:val="right"/>
        <w:ind w:right="40"/>
        <w:spacing w:after="0"/>
        <w:rPr>
          <w:sz w:val="20"/>
          <w:szCs w:val="20"/>
          <w:color w:val="auto"/>
        </w:rPr>
      </w:pPr>
      <w:r>
        <w:rPr>
          <w:rFonts w:ascii="Arial" w:cs="Arial" w:eastAsia="Arial" w:hAnsi="Arial"/>
          <w:sz w:val="17"/>
          <w:szCs w:val="17"/>
          <w:b w:val="1"/>
          <w:bCs w:val="1"/>
          <w:color w:val="auto"/>
        </w:rPr>
        <w:t>Exhibit 4.25</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Equity Interest Pledge Agreement</w:t>
      </w:r>
    </w:p>
    <w:p>
      <w:pPr>
        <w:spacing w:after="0" w:line="20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Equity Interest Pledge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fifth day of August,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 (hereinafter referred to as the “</w:t>
      </w:r>
      <w:r>
        <w:rPr>
          <w:rFonts w:ascii="Arial" w:cs="Arial" w:eastAsia="Arial" w:hAnsi="Arial"/>
          <w:sz w:val="17"/>
          <w:szCs w:val="17"/>
          <w:b w:val="1"/>
          <w:bCs w:val="1"/>
          <w:color w:val="auto"/>
        </w:rPr>
        <w:t>Pledgors</w:t>
      </w:r>
      <w:r>
        <w:rPr>
          <w:rFonts w:ascii="Arial" w:cs="Arial" w:eastAsia="Arial" w:hAnsi="Arial"/>
          <w:sz w:val="17"/>
          <w:szCs w:val="17"/>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Beijing Odysseus Education Technology Co., Ltd.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M1162, floor 1, no.1063-1, Huihe South Street, Banbidian village, Gaobeidian Township, Chaoyang District, Beijing,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 Ming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860" w:hanging="860"/>
        <w:spacing w:after="0"/>
        <w:tabs>
          <w:tab w:leader="none" w:pos="8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Party C is a limited liability company legally incorporated and existing under the law of the PRC.</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Pledgors as a whole holds one hundred (100) percent of the equity of Party C, with the shareholding structure be listed in Annex II hereto.</w:t>
      </w:r>
    </w:p>
    <w:p>
      <w:pPr>
        <w:spacing w:after="0" w:line="214" w:lineRule="exact"/>
        <w:rPr>
          <w:rFonts w:ascii="Arial" w:cs="Arial" w:eastAsia="Arial" w:hAnsi="Arial"/>
          <w:sz w:val="16"/>
          <w:szCs w:val="16"/>
          <w:color w:val="auto"/>
        </w:rPr>
      </w:pPr>
    </w:p>
    <w:p>
      <w:pPr>
        <w:ind w:left="860" w:right="100" w:hanging="860"/>
        <w:spacing w:after="0" w:line="264" w:lineRule="auto"/>
        <w:tabs>
          <w:tab w:leader="none" w:pos="8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Exclusive Technical Consultation and Service Agreement, the Business Operation Agreement and the Option Agreement were made as of the fifth day of August, 2020 by and among the Pledgee, the Pledgors and Party C.</w:t>
      </w:r>
    </w:p>
    <w:p>
      <w:pPr>
        <w:spacing w:after="0" w:line="167" w:lineRule="exact"/>
        <w:rPr>
          <w:rFonts w:ascii="Arial" w:cs="Arial" w:eastAsia="Arial" w:hAnsi="Arial"/>
          <w:sz w:val="17"/>
          <w:szCs w:val="17"/>
          <w:color w:val="auto"/>
        </w:rPr>
      </w:pPr>
    </w:p>
    <w:p>
      <w:pPr>
        <w:ind w:left="860" w:right="40" w:hanging="860"/>
        <w:spacing w:after="0" w:line="254" w:lineRule="auto"/>
        <w:tabs>
          <w:tab w:leader="none" w:pos="8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For the purpose of guaranteeing the collection by the Pledgee from Party C the service costs under the Exclusive Technical Consultation and Service Agreement and guaranteeing the performance of Individual Agreements (defined below), the Pledgors jointly and severally use all of the equity they hold in Party C as the pledge security for such Agreement, and the Pledgee shall be Party A.</w:t>
      </w:r>
    </w:p>
    <w:p>
      <w:pPr>
        <w:spacing w:after="0" w:line="177"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4" w:lineRule="exact"/>
        <w:rPr>
          <w:sz w:val="20"/>
          <w:szCs w:val="20"/>
          <w:color w:val="auto"/>
        </w:rPr>
      </w:pPr>
    </w:p>
    <w:p>
      <w:pPr>
        <w:ind w:left="860" w:hanging="860"/>
        <w:spacing w:after="0"/>
        <w:tabs>
          <w:tab w:leader="none" w:pos="86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shall be interpreted as defined below unless otherwise provided herein: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rPr>
              <w:t xml:space="preserve">Pledge Right </w:t>
            </w:r>
            <w:r>
              <w:rPr>
                <w:rFonts w:ascii="Arial" w:cs="Arial" w:eastAsia="Arial" w:hAnsi="Arial"/>
                <w:sz w:val="17"/>
                <w:szCs w:val="17"/>
                <w:color w:val="auto"/>
              </w:rPr>
              <w:t>shall refer to all the contents as described in Section 2 below.</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89"/>
              </w:rPr>
              <w:t xml:space="preserve">Equity </w:t>
            </w:r>
            <w:r>
              <w:rPr>
                <w:rFonts w:ascii="Arial" w:cs="Arial" w:eastAsia="Arial" w:hAnsi="Arial"/>
                <w:sz w:val="17"/>
                <w:szCs w:val="17"/>
                <w:color w:val="auto"/>
                <w:w w:val="89"/>
              </w:rPr>
              <w:t>shall refer to the one hundred (100) percent of the equity legally held by the Pledgors as a whole and any and all the current and future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rights and benefits arising out of the foregoing.</w:t>
            </w:r>
          </w:p>
        </w:tc>
      </w:tr>
      <w:tr>
        <w:trPr>
          <w:trHeight w:val="434"/>
        </w:trPr>
        <w:tc>
          <w:tcPr>
            <w:tcW w:w="1400" w:type="dxa"/>
            <w:vAlign w:val="bottom"/>
          </w:tcPr>
          <w:p>
            <w:pPr>
              <w:spacing w:after="0"/>
              <w:rPr>
                <w:sz w:val="24"/>
                <w:szCs w:val="24"/>
                <w:color w:val="auto"/>
              </w:rPr>
            </w:pPr>
          </w:p>
        </w:tc>
        <w:tc>
          <w:tcPr>
            <w:tcW w:w="9880" w:type="dxa"/>
            <w:vAlign w:val="bottom"/>
          </w:tcPr>
          <w:p>
            <w:pPr>
              <w:jc w:val="right"/>
              <w:ind w:right="5513"/>
              <w:spacing w:after="0"/>
              <w:rPr>
                <w:sz w:val="20"/>
                <w:szCs w:val="20"/>
                <w:color w:val="auto"/>
              </w:rPr>
            </w:pPr>
            <w:r>
              <w:rPr>
                <w:rFonts w:ascii="Arial" w:cs="Arial" w:eastAsia="Arial" w:hAnsi="Arial"/>
                <w:sz w:val="20"/>
                <w:szCs w:val="20"/>
                <w:color w:val="auto"/>
              </w:rPr>
              <w:t>1</w:t>
            </w:r>
          </w:p>
        </w:tc>
      </w:tr>
      <w:tr>
        <w:trPr>
          <w:trHeight w:val="94"/>
        </w:trPr>
        <w:tc>
          <w:tcPr>
            <w:tcW w:w="1400" w:type="dxa"/>
            <w:vAlign w:val="bottom"/>
            <w:tcBorders>
              <w:bottom w:val="single" w:sz="8" w:color="9A9A9A"/>
            </w:tcBorders>
          </w:tcPr>
          <w:p>
            <w:pPr>
              <w:spacing w:after="0"/>
              <w:rPr>
                <w:sz w:val="8"/>
                <w:szCs w:val="8"/>
                <w:color w:val="auto"/>
              </w:rPr>
            </w:pPr>
          </w:p>
        </w:tc>
        <w:tc>
          <w:tcPr>
            <w:tcW w:w="9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212" w:name="page213"/>
    <w:bookmarkEnd w:id="212"/>
    <w:tbl>
      <w:tblPr>
        <w:tblLayout w:type="fixed"/>
        <w:tblInd w:w="860" w:type="dxa"/>
        <w:tblCellMar>
          <w:top w:w="0" w:type="dxa"/>
          <w:left w:w="0" w:type="dxa"/>
          <w:bottom w:w="0" w:type="dxa"/>
          <w:right w:w="0" w:type="dxa"/>
        </w:tblCellMar>
      </w:tblPr>
      <w:tr>
        <w:trPr>
          <w:trHeight w:val="203"/>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620" w:type="dxa"/>
            <w:vAlign w:val="bottom"/>
          </w:tcPr>
          <w:p>
            <w:pPr>
              <w:ind w:left="320"/>
              <w:spacing w:after="0"/>
              <w:rPr>
                <w:sz w:val="20"/>
                <w:szCs w:val="20"/>
                <w:color w:val="auto"/>
              </w:rPr>
            </w:pPr>
            <w:r>
              <w:rPr>
                <w:rFonts w:ascii="Arial" w:cs="Arial" w:eastAsia="Arial" w:hAnsi="Arial"/>
                <w:sz w:val="17"/>
                <w:szCs w:val="17"/>
                <w:b w:val="1"/>
                <w:bCs w:val="1"/>
                <w:color w:val="auto"/>
                <w:w w:val="88"/>
              </w:rPr>
              <w:t xml:space="preserve">Individual Agreements </w:t>
            </w:r>
            <w:r>
              <w:rPr>
                <w:rFonts w:ascii="Arial" w:cs="Arial" w:eastAsia="Arial" w:hAnsi="Arial"/>
                <w:sz w:val="17"/>
                <w:szCs w:val="17"/>
                <w:color w:val="auto"/>
                <w:w w:val="88"/>
              </w:rPr>
              <w:t>shall refer to the Exclusive Technical Consultation and Service Agreement, the Business Operation Agreement and</w:t>
            </w:r>
          </w:p>
        </w:tc>
      </w:tr>
      <w:tr>
        <w:trPr>
          <w:trHeight w:val="212"/>
        </w:trPr>
        <w:tc>
          <w:tcPr>
            <w:tcW w:w="540" w:type="dxa"/>
            <w:vAlign w:val="bottom"/>
          </w:tcPr>
          <w:p>
            <w:pPr>
              <w:spacing w:after="0"/>
              <w:rPr>
                <w:sz w:val="18"/>
                <w:szCs w:val="18"/>
                <w:color w:val="auto"/>
              </w:rPr>
            </w:pPr>
          </w:p>
        </w:tc>
        <w:tc>
          <w:tcPr>
            <w:tcW w:w="9620" w:type="dxa"/>
            <w:vAlign w:val="bottom"/>
          </w:tcPr>
          <w:p>
            <w:pPr>
              <w:ind w:left="320"/>
              <w:spacing w:after="0"/>
              <w:rPr>
                <w:sz w:val="20"/>
                <w:szCs w:val="20"/>
                <w:color w:val="auto"/>
              </w:rPr>
            </w:pPr>
            <w:r>
              <w:rPr>
                <w:rFonts w:ascii="Arial" w:cs="Arial" w:eastAsia="Arial" w:hAnsi="Arial"/>
                <w:sz w:val="17"/>
                <w:szCs w:val="17"/>
                <w:color w:val="auto"/>
              </w:rPr>
              <w:t>the Option Agreement made as of the fifth day of August, 2020 by and among the Pledgee, Party C and other parties.</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620" w:type="dxa"/>
            <w:vAlign w:val="bottom"/>
          </w:tcPr>
          <w:p>
            <w:pPr>
              <w:ind w:left="320"/>
              <w:spacing w:after="0"/>
              <w:rPr>
                <w:sz w:val="20"/>
                <w:szCs w:val="20"/>
                <w:color w:val="auto"/>
              </w:rPr>
            </w:pPr>
            <w:r>
              <w:rPr>
                <w:rFonts w:ascii="Arial" w:cs="Arial" w:eastAsia="Arial" w:hAnsi="Arial"/>
                <w:sz w:val="17"/>
                <w:szCs w:val="17"/>
                <w:b w:val="1"/>
                <w:bCs w:val="1"/>
                <w:color w:val="auto"/>
              </w:rPr>
              <w:t xml:space="preserve">A Default Event </w:t>
            </w:r>
            <w:r>
              <w:rPr>
                <w:rFonts w:ascii="Arial" w:cs="Arial" w:eastAsia="Arial" w:hAnsi="Arial"/>
                <w:sz w:val="17"/>
                <w:szCs w:val="17"/>
                <w:color w:val="auto"/>
              </w:rPr>
              <w:t>shall refer to any of the circumstances described in Section 7 below.</w:t>
            </w:r>
          </w:p>
        </w:tc>
      </w:tr>
      <w:tr>
        <w:trPr>
          <w:trHeight w:val="42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620" w:type="dxa"/>
            <w:vAlign w:val="bottom"/>
          </w:tcPr>
          <w:p>
            <w:pPr>
              <w:ind w:left="320"/>
              <w:spacing w:after="0"/>
              <w:rPr>
                <w:sz w:val="20"/>
                <w:szCs w:val="20"/>
                <w:color w:val="auto"/>
              </w:rPr>
            </w:pPr>
            <w:r>
              <w:rPr>
                <w:rFonts w:ascii="Arial" w:cs="Arial" w:eastAsia="Arial" w:hAnsi="Arial"/>
                <w:sz w:val="17"/>
                <w:szCs w:val="17"/>
                <w:b w:val="1"/>
                <w:bCs w:val="1"/>
                <w:color w:val="auto"/>
              </w:rPr>
              <w:t xml:space="preserve">Default Notice </w:t>
            </w:r>
            <w:r>
              <w:rPr>
                <w:rFonts w:ascii="Arial" w:cs="Arial" w:eastAsia="Arial" w:hAnsi="Arial"/>
                <w:sz w:val="17"/>
                <w:szCs w:val="17"/>
                <w:color w:val="auto"/>
              </w:rPr>
              <w:t>shall refer to a notice declaring a Default Event which is issued by a Pledgor pursuant to this Agreement.</w:t>
            </w:r>
          </w:p>
        </w:tc>
      </w:tr>
    </w:tbl>
    <w:p>
      <w:pPr>
        <w:spacing w:after="0" w:line="208" w:lineRule="exact"/>
        <w:rPr>
          <w:sz w:val="20"/>
          <w:szCs w:val="20"/>
          <w:color w:val="auto"/>
        </w:rPr>
      </w:pPr>
    </w:p>
    <w:p>
      <w:pPr>
        <w:ind w:left="860" w:hanging="860"/>
        <w:spacing w:after="0"/>
        <w:tabs>
          <w:tab w:leader="none" w:pos="860"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t>Pledge</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Pledgors pledge to the Pledgee as the security of the Pledgee’s rights and benefits under the Individual Agreements all the Equity owned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by the Pledgors and the dividends which arise from the Equity during the effective term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scope guaranteed by the pledge of the Equity hereunder shall be all fees, costs and expenses (including legal costs) payable by Party C</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and/or the Pledgors, and the losses, interest, liquidated damages, compensation, the costs for realizing the claims, and the liability that Party C</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and/or the Pledgors shall bear in case of entire or partial invalidation of any of Individual Agreements for any reason.In case the competent</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industrial and commercial administration expressly requires a definite amount of the guaranteed claims during the handling of the Equity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pledge registration process, the parties hereto agree, for the sole purpose of handling the Equity pledge registration, to register as the amount of</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the claims under the Individual Agreements CNY 5,000,000 and any and all breach-of-contract liability and damages under the related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agreements. The parties further acknowledge that for the purpose of handling the Equity pledge registration, the foregoing amount shall not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diminish or limit any rights or interest that Party A has under the Individual Agreements and this Equity Pledge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The Pledge Rights hereunder shall refer to the rights for the Pledgee to be paid from in priority the money gained from the conversion into</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money, auction or sale of the Equity pledged by the Pledgors to the Pledgee.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After this Agreement takes effect, unless expressly agreed by the Pledgee in writing, the pledge hereunder may be relieved only after Party C</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and the Pledgors have properly and fully performed all of their obligations under the Individual Agreements and the performance thereof has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been recognized by the Pledgee in writing. In case Party C or any of the Pledgors fails to fully perform any of its obligations under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Individual Agreements upon expiration of the period described thereunder, the Pledgors shall still has the Pledge Rights herein; and the pledge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will be relieved until the foregoing obligations and liability have been fully performed to the Pledgee’s satisfaction.</w:t>
            </w:r>
          </w:p>
        </w:tc>
      </w:tr>
    </w:tbl>
    <w:p>
      <w:pPr>
        <w:spacing w:after="0" w:line="183" w:lineRule="exact"/>
        <w:rPr>
          <w:sz w:val="20"/>
          <w:szCs w:val="20"/>
          <w:color w:val="auto"/>
        </w:rPr>
      </w:pPr>
    </w:p>
    <w:p>
      <w:pPr>
        <w:ind w:left="860" w:hanging="860"/>
        <w:spacing w:after="0"/>
        <w:tabs>
          <w:tab w:leader="none" w:pos="860"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3.1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This Agreement shall be formed and take effect as of the date of being signed and/or sealed by the parties hereto. The Pledge Rights hereunder</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shall be set up and take effect as of the date when the registration formalities regarding the Equity pledge have been completed at Party C’s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competent industrial and commercial administration.</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3.2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During the effective term of this Agreement, in case Party C fails to pay the service costs subject to the Exclusive Technical Consultation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Service Agreement or perform any other obligations thereunder, the Pledgee shall have the right to exercise the Pledge Rights hereunder after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issuing a reasonable notice.</w:t>
            </w:r>
          </w:p>
        </w:tc>
      </w:tr>
      <w:tr>
        <w:trPr>
          <w:trHeight w:val="633"/>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20"/>
                <w:szCs w:val="20"/>
                <w:color w:val="auto"/>
              </w:rPr>
              <w:t>2</w:t>
            </w:r>
          </w:p>
        </w:tc>
      </w:tr>
      <w:tr>
        <w:trPr>
          <w:trHeight w:val="94"/>
        </w:trPr>
        <w:tc>
          <w:tcPr>
            <w:tcW w:w="1400" w:type="dxa"/>
            <w:vAlign w:val="bottom"/>
            <w:tcBorders>
              <w:bottom w:val="single" w:sz="8" w:color="9A9A9A"/>
            </w:tcBorders>
          </w:tcPr>
          <w:p>
            <w:pPr>
              <w:spacing w:after="0"/>
              <w:rPr>
                <w:sz w:val="8"/>
                <w:szCs w:val="8"/>
                <w:color w:val="auto"/>
              </w:rPr>
            </w:pPr>
          </w:p>
        </w:tc>
        <w:tc>
          <w:tcPr>
            <w:tcW w:w="9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2" w:right="299" w:bottom="1440" w:gutter="0" w:footer="0" w:header="0"/>
        </w:sectPr>
      </w:pPr>
    </w:p>
    <w:bookmarkStart w:id="213" w:name="page214"/>
    <w:bookmarkEnd w:id="213"/>
    <w:p>
      <w:pPr>
        <w:ind w:left="860" w:hanging="860"/>
        <w:spacing w:after="0"/>
        <w:tabs>
          <w:tab w:leader="none" w:pos="860"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and Custody of the Pledge Rights Receipts; Registration of Pledge Rights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4.1</w:t>
            </w: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The Pledgors shall, within Ten (10) business days after the execution of this Agreement or any other date mutually negotiated and fixed by the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Parties hereto, deliver to the Pledgee the Equity Contribution Certificate (Original) for the pledge’s custody, submit to the Pledgee the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certification that the pledge hereunder has been properly registered in Party C’s Shareholders’ Register, and handle any and all examinations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and approvals and registration and filing formalities (including but not limited to, handling the Equity pledge registration formalities at Party</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5"/>
              </w:rPr>
              <w:t>C’s competent industrial and commercial administration subject to the laws of China) required by the laws and regulations of China.</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In case of any change of particulars and the registration needs to be legally changed accordingly, the Pledgee and the Pledgors shall, within</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Five (5) business days as of the date of change of particulars, carry out the change of registration accordingly, submit the applicable change of</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6"/>
              </w:rPr>
              <w:t>registration documents and handle the applicable change registration formalities at Party C’s competent industrial and commercial</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administration.</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4.3</w:t>
            </w: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During the Equity pledge period, the Pledgors shall instruct Party C not to distribute any dividend or bonus or approve any profit distribution</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program; or in case the Pledgors shall obtain any economic interest of any nature from the pledged Equity other than dividend or bonus or any</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other profit distribution program, the Pledgors shall remit, as required and instructed by the Pledgee, to the banking account specified by the</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9"/>
              </w:rPr>
              <w:t>Pledgee the applicable (realized) amount, which shall not be used by the Pledgors without the Pledgee’s prior written consent.</w:t>
            </w:r>
          </w:p>
        </w:tc>
      </w:tr>
      <w:tr>
        <w:trPr>
          <w:trHeight w:val="38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4.4</w:t>
            </w: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During the Equity pledge period, in case the any of the Pledgors subscribe for or purchase any of Party C’s new registered capital or any of</w:t>
            </w:r>
          </w:p>
        </w:tc>
      </w:tr>
      <w:tr>
        <w:trPr>
          <w:trHeight w:val="203"/>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Party C’s Equity held by any other Pledgor (the “</w:t>
            </w:r>
            <w:r>
              <w:rPr>
                <w:rFonts w:ascii="Arial" w:cs="Arial" w:eastAsia="Arial" w:hAnsi="Arial"/>
                <w:sz w:val="17"/>
                <w:szCs w:val="17"/>
                <w:b w:val="1"/>
                <w:bCs w:val="1"/>
                <w:color w:val="auto"/>
                <w:w w:val="94"/>
              </w:rPr>
              <w:t>New Equity</w:t>
            </w:r>
            <w:r>
              <w:rPr>
                <w:rFonts w:ascii="Arial" w:cs="Arial" w:eastAsia="Arial" w:hAnsi="Arial"/>
                <w:sz w:val="17"/>
                <w:szCs w:val="17"/>
                <w:color w:val="auto"/>
                <w:w w:val="94"/>
              </w:rPr>
              <w:t>”), the New Equity will then automatically form part of the pledged Equity</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hereunder, and such Pledgor shall complete any and all formalities regarding the pledge of the New Equity within Ten (10) business days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following its acquisition of the New Equity. In case the Pledgor fails to complete the applicable formalities as required in the preceding</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sentence, the Pledgee may promptly have the Pledge Rights realized pursuant to Section 8 below.</w:t>
            </w:r>
          </w:p>
        </w:tc>
      </w:tr>
    </w:tbl>
    <w:p>
      <w:pPr>
        <w:spacing w:after="0" w:line="183" w:lineRule="exact"/>
        <w:rPr>
          <w:sz w:val="20"/>
          <w:szCs w:val="20"/>
          <w:color w:val="auto"/>
        </w:rPr>
      </w:pPr>
    </w:p>
    <w:p>
      <w:pPr>
        <w:ind w:left="860" w:hanging="860"/>
        <w:spacing w:after="0"/>
        <w:tabs>
          <w:tab w:leader="none" w:pos="860"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Pledgors</w:t>
      </w:r>
    </w:p>
    <w:p>
      <w:pPr>
        <w:spacing w:after="0" w:line="207" w:lineRule="exact"/>
        <w:rPr>
          <w:sz w:val="20"/>
          <w:szCs w:val="20"/>
          <w:color w:val="auto"/>
        </w:rPr>
      </w:pPr>
    </w:p>
    <w:p>
      <w:pPr>
        <w:ind w:left="860" w:right="240"/>
        <w:spacing w:after="0" w:line="264" w:lineRule="auto"/>
        <w:rPr>
          <w:sz w:val="20"/>
          <w:szCs w:val="20"/>
          <w:color w:val="auto"/>
        </w:rPr>
      </w:pPr>
      <w:r>
        <w:rPr>
          <w:rFonts w:ascii="Arial" w:cs="Arial" w:eastAsia="Arial" w:hAnsi="Arial"/>
          <w:sz w:val="17"/>
          <w:szCs w:val="17"/>
          <w:color w:val="auto"/>
        </w:rPr>
        <w:t>Upon the execution of this Agreement, the Pledgors make to the Pledgee the following representations and warranties and confirm that this Agreement is signed and performed by the Pledgee by them in reliance of such representations and warranties: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9"/>
              </w:rPr>
              <w:t>The Pledgors lawfully hold the Equity hereunder and have the right to use such Equity to provide pledge security to the Pledgee.</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After this Agreement is executed, during the period when the Pledgee has the Pledge Rights subject to Section 2.4 above, when the Pledgee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exercises, at any time, its rights or has the Pledge Rights realized pursuant to this Agreement, there shall be no lawful claim or proper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intervention from or by any third party.</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5.3</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The Pledgee shall have the right to exercise the Pledge Rights as per the method described herein or otherwise permitted by the laws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regulations.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5.4</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The Pledgors have obtained all necessary corporate authorization to sign this Agreement and perform its obligations hereunder, which does not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violate any provisions of any applicable laws and regulations. The authorized representative signatories of this Agreement have obtained legal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effective authorization.</w:t>
            </w:r>
          </w:p>
        </w:tc>
      </w:tr>
      <w:tr>
        <w:trPr>
          <w:trHeight w:val="434"/>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20"/>
                <w:szCs w:val="20"/>
                <w:color w:val="auto"/>
              </w:rPr>
              <w:t>3</w:t>
            </w:r>
          </w:p>
        </w:tc>
      </w:tr>
      <w:tr>
        <w:trPr>
          <w:trHeight w:val="94"/>
        </w:trPr>
        <w:tc>
          <w:tcPr>
            <w:tcW w:w="1400" w:type="dxa"/>
            <w:vAlign w:val="bottom"/>
            <w:tcBorders>
              <w:bottom w:val="single" w:sz="8" w:color="9A9A9A"/>
            </w:tcBorders>
          </w:tcPr>
          <w:p>
            <w:pPr>
              <w:spacing w:after="0"/>
              <w:rPr>
                <w:sz w:val="8"/>
                <w:szCs w:val="8"/>
                <w:color w:val="auto"/>
              </w:rPr>
            </w:pPr>
          </w:p>
        </w:tc>
        <w:tc>
          <w:tcPr>
            <w:tcW w:w="9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214" w:name="page215"/>
    <w:bookmarkEnd w:id="214"/>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5.5</w:t>
            </w:r>
          </w:p>
        </w:tc>
        <w:tc>
          <w:tcPr>
            <w:tcW w:w="9680" w:type="dxa"/>
            <w:vAlign w:val="bottom"/>
          </w:tcPr>
          <w:p>
            <w:pPr>
              <w:ind w:left="320"/>
              <w:spacing w:after="0"/>
              <w:rPr>
                <w:sz w:val="20"/>
                <w:szCs w:val="20"/>
                <w:color w:val="auto"/>
              </w:rPr>
            </w:pPr>
            <w:r>
              <w:rPr>
                <w:rFonts w:ascii="Arial" w:cs="Arial" w:eastAsia="Arial" w:hAnsi="Arial"/>
                <w:sz w:val="17"/>
                <w:szCs w:val="17"/>
                <w:color w:val="auto"/>
                <w:w w:val="91"/>
              </w:rPr>
              <w:t>There is no encumbrance or security interest of any nature for any third person (including but not limited to pledge) except for the pledge</w:t>
            </w:r>
          </w:p>
        </w:tc>
      </w:tr>
      <w:tr>
        <w:trPr>
          <w:trHeight w:val="212"/>
        </w:trPr>
        <w:tc>
          <w:tcPr>
            <w:tcW w:w="540" w:type="dxa"/>
            <w:vAlign w:val="bottom"/>
          </w:tcPr>
          <w:p>
            <w:pPr>
              <w:spacing w:after="0"/>
              <w:rPr>
                <w:sz w:val="18"/>
                <w:szCs w:val="18"/>
                <w:color w:val="auto"/>
              </w:rPr>
            </w:pPr>
          </w:p>
        </w:tc>
        <w:tc>
          <w:tcPr>
            <w:tcW w:w="9680" w:type="dxa"/>
            <w:vAlign w:val="bottom"/>
          </w:tcPr>
          <w:p>
            <w:pPr>
              <w:ind w:left="320"/>
              <w:spacing w:after="0"/>
              <w:rPr>
                <w:sz w:val="20"/>
                <w:szCs w:val="20"/>
                <w:color w:val="auto"/>
              </w:rPr>
            </w:pPr>
            <w:r>
              <w:rPr>
                <w:rFonts w:ascii="Arial" w:cs="Arial" w:eastAsia="Arial" w:hAnsi="Arial"/>
                <w:sz w:val="17"/>
                <w:szCs w:val="17"/>
                <w:color w:val="auto"/>
              </w:rPr>
              <w:t>hereunder in connection with the Equity held by the Pledgors.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5.6</w:t>
            </w:r>
          </w:p>
        </w:tc>
        <w:tc>
          <w:tcPr>
            <w:tcW w:w="9680" w:type="dxa"/>
            <w:vAlign w:val="bottom"/>
          </w:tcPr>
          <w:p>
            <w:pPr>
              <w:ind w:left="320"/>
              <w:spacing w:after="0"/>
              <w:rPr>
                <w:sz w:val="20"/>
                <w:szCs w:val="20"/>
                <w:color w:val="auto"/>
              </w:rPr>
            </w:pPr>
            <w:r>
              <w:rPr>
                <w:rFonts w:ascii="Arial" w:cs="Arial" w:eastAsia="Arial" w:hAnsi="Arial"/>
                <w:sz w:val="17"/>
                <w:szCs w:val="17"/>
                <w:color w:val="auto"/>
                <w:w w:val="89"/>
              </w:rPr>
              <w:t>There are no pending or threatened civil, administrative or criminal proceedings, administrative punishment or arbitration in connection with</w:t>
            </w:r>
          </w:p>
        </w:tc>
      </w:tr>
      <w:tr>
        <w:trPr>
          <w:trHeight w:val="212"/>
        </w:trPr>
        <w:tc>
          <w:tcPr>
            <w:tcW w:w="540" w:type="dxa"/>
            <w:vAlign w:val="bottom"/>
          </w:tcPr>
          <w:p>
            <w:pPr>
              <w:spacing w:after="0"/>
              <w:rPr>
                <w:sz w:val="18"/>
                <w:szCs w:val="18"/>
                <w:color w:val="auto"/>
              </w:rPr>
            </w:pPr>
          </w:p>
        </w:tc>
        <w:tc>
          <w:tcPr>
            <w:tcW w:w="9680" w:type="dxa"/>
            <w:vAlign w:val="bottom"/>
          </w:tcPr>
          <w:p>
            <w:pPr>
              <w:ind w:left="320"/>
              <w:spacing w:after="0"/>
              <w:rPr>
                <w:sz w:val="20"/>
                <w:szCs w:val="20"/>
                <w:color w:val="auto"/>
              </w:rPr>
            </w:pPr>
            <w:r>
              <w:rPr>
                <w:rFonts w:ascii="Arial" w:cs="Arial" w:eastAsia="Arial" w:hAnsi="Arial"/>
                <w:sz w:val="17"/>
                <w:szCs w:val="17"/>
                <w:color w:val="auto"/>
              </w:rPr>
              <w:t>the Equity.</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5.7</w:t>
            </w:r>
          </w:p>
        </w:tc>
        <w:tc>
          <w:tcPr>
            <w:tcW w:w="9680" w:type="dxa"/>
            <w:vAlign w:val="bottom"/>
          </w:tcPr>
          <w:p>
            <w:pPr>
              <w:ind w:left="320"/>
              <w:spacing w:after="0"/>
              <w:rPr>
                <w:sz w:val="20"/>
                <w:szCs w:val="20"/>
                <w:color w:val="auto"/>
              </w:rPr>
            </w:pPr>
            <w:r>
              <w:rPr>
                <w:rFonts w:ascii="Arial" w:cs="Arial" w:eastAsia="Arial" w:hAnsi="Arial"/>
                <w:sz w:val="17"/>
                <w:szCs w:val="17"/>
                <w:color w:val="auto"/>
                <w:w w:val="89"/>
              </w:rPr>
              <w:t>There are no tax or fee due but unpaid, or legal procedures or formalities that should have been completed but have not been completed, in</w:t>
            </w:r>
          </w:p>
        </w:tc>
      </w:tr>
      <w:tr>
        <w:trPr>
          <w:trHeight w:val="212"/>
        </w:trPr>
        <w:tc>
          <w:tcPr>
            <w:tcW w:w="540" w:type="dxa"/>
            <w:vAlign w:val="bottom"/>
          </w:tcPr>
          <w:p>
            <w:pPr>
              <w:spacing w:after="0"/>
              <w:rPr>
                <w:sz w:val="18"/>
                <w:szCs w:val="18"/>
                <w:color w:val="auto"/>
              </w:rPr>
            </w:pPr>
          </w:p>
        </w:tc>
        <w:tc>
          <w:tcPr>
            <w:tcW w:w="9680" w:type="dxa"/>
            <w:vAlign w:val="bottom"/>
          </w:tcPr>
          <w:p>
            <w:pPr>
              <w:ind w:left="320"/>
              <w:spacing w:after="0"/>
              <w:rPr>
                <w:sz w:val="20"/>
                <w:szCs w:val="20"/>
                <w:color w:val="auto"/>
              </w:rPr>
            </w:pPr>
            <w:r>
              <w:rPr>
                <w:rFonts w:ascii="Arial" w:cs="Arial" w:eastAsia="Arial" w:hAnsi="Arial"/>
                <w:sz w:val="17"/>
                <w:szCs w:val="17"/>
                <w:color w:val="auto"/>
              </w:rPr>
              <w:t>connection with the Equity.</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5.8</w:t>
            </w:r>
          </w:p>
        </w:tc>
        <w:tc>
          <w:tcPr>
            <w:tcW w:w="9680" w:type="dxa"/>
            <w:vAlign w:val="bottom"/>
          </w:tcPr>
          <w:p>
            <w:pPr>
              <w:ind w:left="320"/>
              <w:spacing w:after="0"/>
              <w:rPr>
                <w:sz w:val="20"/>
                <w:szCs w:val="20"/>
                <w:color w:val="auto"/>
              </w:rPr>
            </w:pPr>
            <w:r>
              <w:rPr>
                <w:rFonts w:ascii="Arial" w:cs="Arial" w:eastAsia="Arial" w:hAnsi="Arial"/>
                <w:sz w:val="17"/>
                <w:szCs w:val="17"/>
                <w:color w:val="auto"/>
              </w:rPr>
              <w:t>Any and all provisions hereof are the expression of the Pledgors’ true intention and are binding upon the Pledgors.</w:t>
            </w:r>
          </w:p>
        </w:tc>
      </w:tr>
    </w:tbl>
    <w:p>
      <w:pPr>
        <w:spacing w:after="0" w:line="208" w:lineRule="exact"/>
        <w:rPr>
          <w:sz w:val="20"/>
          <w:szCs w:val="20"/>
          <w:color w:val="auto"/>
        </w:rPr>
      </w:pPr>
    </w:p>
    <w:p>
      <w:pPr>
        <w:ind w:left="860" w:hanging="860"/>
        <w:spacing w:after="0"/>
        <w:tabs>
          <w:tab w:leader="none" w:pos="860"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 of the Pledgors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6.1</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During the effective term of this Agreement, the Pledgors undertake to the Pledgee that the Pledgors:</w:t>
            </w:r>
          </w:p>
        </w:tc>
      </w:tr>
      <w:tr>
        <w:trPr>
          <w:trHeight w:val="411"/>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6.1.1</w:t>
            </w:r>
          </w:p>
        </w:tc>
        <w:tc>
          <w:tcPr>
            <w:tcW w:w="8960" w:type="dxa"/>
            <w:vAlign w:val="bottom"/>
          </w:tcPr>
          <w:p>
            <w:pPr>
              <w:ind w:left="260"/>
              <w:spacing w:after="0"/>
              <w:rPr>
                <w:sz w:val="20"/>
                <w:szCs w:val="20"/>
                <w:color w:val="auto"/>
              </w:rPr>
            </w:pPr>
            <w:r>
              <w:rPr>
                <w:rFonts w:ascii="Arial" w:cs="Arial" w:eastAsia="Arial" w:hAnsi="Arial"/>
                <w:sz w:val="17"/>
                <w:szCs w:val="17"/>
                <w:color w:val="auto"/>
                <w:w w:val="89"/>
              </w:rPr>
              <w:t>Except for the transfer of the Equity to the Pledgee or any other person specified by the Pledgee as required by the Pledgee, prior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to the full performance of their obligations thereunder, without the Pledgee’s prior written consent, will not transfer the Equity 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88"/>
              </w:rPr>
              <w:t>create, or permit, any pledge or any other encumbrance that may affect the Pledgee’s rights or interest or any third-person security</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interest of any form. Without the Pledgee’s prior written consent, the Pledgors shall not take any action which will or may result</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in change to the Equity or any rights incidental to the Equity, which will or may then result in substantially adverse effects upon</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the Pledgee’s rights.</w:t>
            </w:r>
          </w:p>
        </w:tc>
      </w:tr>
      <w:tr>
        <w:trPr>
          <w:trHeight w:val="386"/>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6.1.2</w:t>
            </w:r>
          </w:p>
        </w:tc>
        <w:tc>
          <w:tcPr>
            <w:tcW w:w="8960" w:type="dxa"/>
            <w:vAlign w:val="bottom"/>
          </w:tcPr>
          <w:p>
            <w:pPr>
              <w:ind w:left="260"/>
              <w:spacing w:after="0"/>
              <w:rPr>
                <w:sz w:val="20"/>
                <w:szCs w:val="20"/>
                <w:color w:val="auto"/>
              </w:rPr>
            </w:pPr>
            <w:r>
              <w:rPr>
                <w:rFonts w:ascii="Arial" w:cs="Arial" w:eastAsia="Arial" w:hAnsi="Arial"/>
                <w:sz w:val="17"/>
                <w:szCs w:val="17"/>
                <w:color w:val="auto"/>
                <w:w w:val="90"/>
              </w:rPr>
              <w:t>Comply with and implement the provisions of all applicable laws and regulations, and within Five (5) business days upon receipt</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of any notice, order or suggestion issued or prepared by the relevant competent authority in connection with the Pledge Rights,</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produce to the Pledgee such notice, order or suggestion and take action as reasonably instructed by the Pledgee.</w:t>
            </w:r>
          </w:p>
        </w:tc>
      </w:tr>
      <w:tr>
        <w:trPr>
          <w:trHeight w:val="386"/>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6.1.3</w:t>
            </w:r>
          </w:p>
        </w:tc>
        <w:tc>
          <w:tcPr>
            <w:tcW w:w="8960" w:type="dxa"/>
            <w:vAlign w:val="bottom"/>
          </w:tcPr>
          <w:p>
            <w:pPr>
              <w:ind w:left="260"/>
              <w:spacing w:after="0"/>
              <w:rPr>
                <w:sz w:val="20"/>
                <w:szCs w:val="20"/>
                <w:color w:val="auto"/>
              </w:rPr>
            </w:pPr>
            <w:r>
              <w:rPr>
                <w:rFonts w:ascii="Arial" w:cs="Arial" w:eastAsia="Arial" w:hAnsi="Arial"/>
                <w:sz w:val="17"/>
                <w:szCs w:val="17"/>
                <w:color w:val="auto"/>
                <w:w w:val="89"/>
              </w:rPr>
              <w:t>Timely notify the Pledgee any event or notice received that may affect the Pledgors’ Equity or other rights hereunder, any event 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3"/>
              </w:rPr>
              <w:t>notice received that may affect any of the Pledgors’ obligations hereunder or affect the Pledgors’ performance of any of their</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obligations hereunder, and take action as reasonably instructed by the Pledgee.</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6.2</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agree that they will procure that the exercise by the Pledgee of any of its rights pursuant to the provisions of this Agreement will</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not be interrupted or prevented by the Pledgors or their successors or assignees or any other persons.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6.3</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The Pledgors warrant to the Pledgee that for the purpose of protecting or perfecting the security of the Pledgors and/or Party C’s obligations</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4"/>
              </w:rPr>
              <w:t>under the Individual Agreements, the Pledgors will make all necessary amendments to Party C’s Articles of Association (if applicable),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honestly sign, and procure any other persons who has interest in Pledge Rights to sign all title or right certificates and deeds as requested by</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2"/>
              </w:rPr>
              <w:t>the Pledgee, and/or perform, and procure any other persons who has interest therein to perform, the acts as reasonably requested by the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Pledgee, facilitate the exercise by the Pledgee of the Pledge Rights, sign all documents related to the Equity certificate change with the Pledgee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1"/>
              </w:rPr>
              <w:t>or any third party appointed by the Pledgee, and provide to the Pledgee within a reasonable period all the documents related to the Pledge</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Rights as needed by the Pledgee.</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6.4</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warrant to the Pledgee that for the protection of the Pledgee’s interest, the Pledgors will comply with and perform all warranties,</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undertaking, covenants and representations. In case the Pledgors fail to perform, or partially perform, their warranties, undertaking, covenants</w:t>
            </w:r>
          </w:p>
        </w:tc>
      </w:tr>
      <w:tr>
        <w:trPr>
          <w:trHeight w:val="212"/>
        </w:trPr>
        <w:tc>
          <w:tcPr>
            <w:tcW w:w="14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or</w:t>
            </w:r>
          </w:p>
        </w:tc>
        <w:tc>
          <w:tcPr>
            <w:tcW w:w="8960" w:type="dxa"/>
            <w:vAlign w:val="bottom"/>
          </w:tcPr>
          <w:p>
            <w:pPr>
              <w:spacing w:after="0"/>
              <w:rPr>
                <w:sz w:val="18"/>
                <w:szCs w:val="18"/>
                <w:color w:val="auto"/>
              </w:rPr>
            </w:pPr>
          </w:p>
        </w:tc>
      </w:tr>
      <w:tr>
        <w:trPr>
          <w:trHeight w:val="434"/>
        </w:trPr>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60" w:type="dxa"/>
            <w:vAlign w:val="bottom"/>
          </w:tcPr>
          <w:p>
            <w:pPr>
              <w:ind w:left="3260"/>
              <w:spacing w:after="0"/>
              <w:rPr>
                <w:sz w:val="20"/>
                <w:szCs w:val="20"/>
                <w:color w:val="auto"/>
              </w:rPr>
            </w:pPr>
            <w:r>
              <w:rPr>
                <w:rFonts w:ascii="Arial" w:cs="Arial" w:eastAsia="Arial" w:hAnsi="Arial"/>
                <w:sz w:val="20"/>
                <w:szCs w:val="20"/>
                <w:color w:val="auto"/>
              </w:rPr>
              <w:t>4</w:t>
            </w:r>
          </w:p>
        </w:tc>
      </w:tr>
      <w:tr>
        <w:trPr>
          <w:trHeight w:val="94"/>
        </w:trPr>
        <w:tc>
          <w:tcPr>
            <w:tcW w:w="14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6" w:right="299" w:bottom="1440" w:gutter="0" w:footer="0" w:header="0"/>
        </w:sectPr>
      </w:pPr>
    </w:p>
    <w:bookmarkStart w:id="215" w:name="page216"/>
    <w:bookmarkEnd w:id="215"/>
    <w:p>
      <w:pPr>
        <w:ind w:left="1720"/>
        <w:spacing w:after="0"/>
        <w:rPr>
          <w:sz w:val="20"/>
          <w:szCs w:val="20"/>
          <w:color w:val="auto"/>
        </w:rPr>
      </w:pPr>
      <w:r>
        <w:rPr>
          <w:rFonts w:ascii="Arial" w:cs="Arial" w:eastAsia="Arial" w:hAnsi="Arial"/>
          <w:sz w:val="16"/>
          <w:szCs w:val="16"/>
          <w:color w:val="auto"/>
        </w:rPr>
        <w:t>representations, the Pledgors shall indemnify all the loss suffered by the Pledgee arising out thereof or in connection therewith.</w:t>
      </w:r>
    </w:p>
    <w:p>
      <w:pPr>
        <w:spacing w:after="0" w:line="236" w:lineRule="exact"/>
        <w:rPr>
          <w:sz w:val="20"/>
          <w:szCs w:val="20"/>
          <w:color w:val="auto"/>
        </w:rPr>
      </w:pPr>
    </w:p>
    <w:p>
      <w:pPr>
        <w:ind w:left="860" w:hanging="860"/>
        <w:spacing w:after="0"/>
        <w:tabs>
          <w:tab w:leader="none" w:pos="860"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Default Event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7.1</w:t>
            </w: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rPr>
              <w:t>Any of the following events will be deemed to be a Default Event:</w:t>
            </w:r>
          </w:p>
        </w:tc>
      </w:tr>
      <w:tr>
        <w:trPr>
          <w:trHeight w:val="411"/>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w:t>
            </w:r>
          </w:p>
        </w:tc>
        <w:tc>
          <w:tcPr>
            <w:tcW w:w="8880" w:type="dxa"/>
            <w:vAlign w:val="bottom"/>
          </w:tcPr>
          <w:p>
            <w:pPr>
              <w:ind w:left="220"/>
              <w:spacing w:after="0"/>
              <w:rPr>
                <w:sz w:val="20"/>
                <w:szCs w:val="20"/>
                <w:color w:val="auto"/>
              </w:rPr>
            </w:pPr>
            <w:r>
              <w:rPr>
                <w:rFonts w:ascii="Arial" w:cs="Arial" w:eastAsia="Arial" w:hAnsi="Arial"/>
                <w:sz w:val="17"/>
                <w:szCs w:val="17"/>
                <w:color w:val="auto"/>
                <w:w w:val="88"/>
              </w:rPr>
              <w:t>Party C or any of its successors or assignees fails to fully pay on schedule any amounts payable under the Individual Agreements,</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w w:val="95"/>
              </w:rPr>
              <w:t>or the Pledgors or their successors or assignees fail to perform any of their obligations under the Individual Agreements.</w:t>
            </w:r>
          </w:p>
        </w:tc>
      </w:tr>
      <w:tr>
        <w:trPr>
          <w:trHeight w:val="386"/>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7.1.2</w:t>
            </w:r>
          </w:p>
        </w:tc>
        <w:tc>
          <w:tcPr>
            <w:tcW w:w="8880" w:type="dxa"/>
            <w:vAlign w:val="bottom"/>
          </w:tcPr>
          <w:p>
            <w:pPr>
              <w:ind w:left="220"/>
              <w:spacing w:after="0"/>
              <w:rPr>
                <w:sz w:val="20"/>
                <w:szCs w:val="20"/>
                <w:color w:val="auto"/>
              </w:rPr>
            </w:pPr>
            <w:r>
              <w:rPr>
                <w:rFonts w:ascii="Arial" w:cs="Arial" w:eastAsia="Arial" w:hAnsi="Arial"/>
                <w:sz w:val="17"/>
                <w:szCs w:val="17"/>
                <w:color w:val="auto"/>
                <w:w w:val="92"/>
              </w:rPr>
              <w:t>Any representation, warranty or undertaking made by the Pledgors under Section 5 or 6 above is substantially misleading or</w:t>
            </w:r>
          </w:p>
        </w:tc>
      </w:tr>
      <w:tr>
        <w:trPr>
          <w:trHeight w:val="199"/>
        </w:trPr>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w w:val="91"/>
              </w:rPr>
              <w:t>incorrect, and/or the Pledgors violates any representation, warranty or undertaking made by the Pledgors under Section 5 or 6</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above.</w:t>
            </w:r>
          </w:p>
        </w:tc>
      </w:tr>
      <w:tr>
        <w:trPr>
          <w:trHeight w:val="399"/>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7.1.3</w:t>
            </w:r>
          </w:p>
        </w:tc>
        <w:tc>
          <w:tcPr>
            <w:tcW w:w="8880" w:type="dxa"/>
            <w:vAlign w:val="bottom"/>
          </w:tcPr>
          <w:p>
            <w:pPr>
              <w:ind w:left="220"/>
              <w:spacing w:after="0"/>
              <w:rPr>
                <w:sz w:val="20"/>
                <w:szCs w:val="20"/>
                <w:color w:val="auto"/>
              </w:rPr>
            </w:pPr>
            <w:r>
              <w:rPr>
                <w:rFonts w:ascii="Arial" w:cs="Arial" w:eastAsia="Arial" w:hAnsi="Arial"/>
                <w:sz w:val="17"/>
                <w:szCs w:val="17"/>
                <w:color w:val="auto"/>
              </w:rPr>
              <w:t>The Pledgors or Party C violates any provision of this Agreement.</w:t>
            </w:r>
          </w:p>
        </w:tc>
      </w:tr>
      <w:tr>
        <w:trPr>
          <w:trHeight w:val="411"/>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7.1.4</w:t>
            </w:r>
          </w:p>
        </w:tc>
        <w:tc>
          <w:tcPr>
            <w:tcW w:w="8880" w:type="dxa"/>
            <w:vAlign w:val="bottom"/>
          </w:tcPr>
          <w:p>
            <w:pPr>
              <w:ind w:left="220"/>
              <w:spacing w:after="0"/>
              <w:rPr>
                <w:sz w:val="20"/>
                <w:szCs w:val="20"/>
                <w:color w:val="auto"/>
              </w:rPr>
            </w:pPr>
            <w:r>
              <w:rPr>
                <w:rFonts w:ascii="Arial" w:cs="Arial" w:eastAsia="Arial" w:hAnsi="Arial"/>
                <w:sz w:val="17"/>
                <w:szCs w:val="17"/>
                <w:color w:val="auto"/>
                <w:w w:val="91"/>
              </w:rPr>
              <w:t>Except as otherwise agreed in Section 6.1.1 above, the Pledgors transfer or otherwise dispose the pledged Equity without the</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Pledgee’s written consent.</w:t>
            </w:r>
          </w:p>
        </w:tc>
      </w:tr>
      <w:tr>
        <w:trPr>
          <w:trHeight w:val="386"/>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7.1.5</w:t>
            </w:r>
          </w:p>
        </w:tc>
        <w:tc>
          <w:tcPr>
            <w:tcW w:w="8880" w:type="dxa"/>
            <w:vAlign w:val="bottom"/>
          </w:tcPr>
          <w:p>
            <w:pPr>
              <w:ind w:left="220"/>
              <w:spacing w:after="0"/>
              <w:rPr>
                <w:sz w:val="20"/>
                <w:szCs w:val="20"/>
                <w:color w:val="auto"/>
              </w:rPr>
            </w:pPr>
            <w:r>
              <w:rPr>
                <w:rFonts w:ascii="Arial" w:cs="Arial" w:eastAsia="Arial" w:hAnsi="Arial"/>
                <w:sz w:val="17"/>
                <w:szCs w:val="17"/>
                <w:color w:val="auto"/>
                <w:w w:val="96"/>
              </w:rPr>
              <w:t>Any of the Pledgors’ external borrowings, security, compensation, undertaking or other debt or liability shall be repaid or</w:t>
            </w:r>
          </w:p>
        </w:tc>
      </w:tr>
      <w:tr>
        <w:trPr>
          <w:trHeight w:val="199"/>
        </w:trPr>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w w:val="88"/>
              </w:rPr>
              <w:t>performed in advance or is due but cannot be repaid or performed on schedule, which makes the Pledgee reasonably believe that</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the Pledgors’ ability to perform any of their obligations is affected, which further affect the Pledgee’s interest.</w:t>
            </w:r>
          </w:p>
        </w:tc>
      </w:tr>
      <w:tr>
        <w:trPr>
          <w:trHeight w:val="399"/>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7.1.6</w:t>
            </w:r>
          </w:p>
        </w:tc>
        <w:tc>
          <w:tcPr>
            <w:tcW w:w="8880" w:type="dxa"/>
            <w:vAlign w:val="bottom"/>
          </w:tcPr>
          <w:p>
            <w:pPr>
              <w:ind w:left="220"/>
              <w:spacing w:after="0"/>
              <w:rPr>
                <w:sz w:val="20"/>
                <w:szCs w:val="20"/>
                <w:color w:val="auto"/>
              </w:rPr>
            </w:pPr>
            <w:r>
              <w:rPr>
                <w:rFonts w:ascii="Arial" w:cs="Arial" w:eastAsia="Arial" w:hAnsi="Arial"/>
                <w:sz w:val="17"/>
                <w:szCs w:val="17"/>
                <w:color w:val="auto"/>
              </w:rPr>
              <w:t>The Pledgors cannot perform any of their general debt or other debt, which further affects the Pledgee’s interest.</w:t>
            </w:r>
          </w:p>
        </w:tc>
      </w:tr>
      <w:tr>
        <w:trPr>
          <w:trHeight w:val="411"/>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7.1.7</w:t>
            </w:r>
          </w:p>
        </w:tc>
        <w:tc>
          <w:tcPr>
            <w:tcW w:w="8880" w:type="dxa"/>
            <w:vAlign w:val="bottom"/>
          </w:tcPr>
          <w:p>
            <w:pPr>
              <w:ind w:left="220"/>
              <w:spacing w:after="0"/>
              <w:rPr>
                <w:sz w:val="20"/>
                <w:szCs w:val="20"/>
                <w:color w:val="auto"/>
              </w:rPr>
            </w:pPr>
            <w:r>
              <w:rPr>
                <w:rFonts w:ascii="Arial" w:cs="Arial" w:eastAsia="Arial" w:hAnsi="Arial"/>
                <w:sz w:val="17"/>
                <w:szCs w:val="17"/>
                <w:color w:val="auto"/>
                <w:w w:val="91"/>
              </w:rPr>
              <w:t>The promulgation of any law results in invalidation of this Agreement or inability of the Pledgors to continuously perform any of</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their obligations hereunder.</w:t>
            </w:r>
          </w:p>
        </w:tc>
      </w:tr>
      <w:tr>
        <w:trPr>
          <w:trHeight w:val="386"/>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7.1.8</w:t>
            </w:r>
          </w:p>
        </w:tc>
        <w:tc>
          <w:tcPr>
            <w:tcW w:w="8880" w:type="dxa"/>
            <w:vAlign w:val="bottom"/>
          </w:tcPr>
          <w:p>
            <w:pPr>
              <w:ind w:left="220"/>
              <w:spacing w:after="0"/>
              <w:rPr>
                <w:sz w:val="20"/>
                <w:szCs w:val="20"/>
                <w:color w:val="auto"/>
              </w:rPr>
            </w:pPr>
            <w:r>
              <w:rPr>
                <w:rFonts w:ascii="Arial" w:cs="Arial" w:eastAsia="Arial" w:hAnsi="Arial"/>
                <w:sz w:val="17"/>
                <w:szCs w:val="17"/>
                <w:color w:val="auto"/>
                <w:w w:val="91"/>
              </w:rPr>
              <w:t>The consent, permit, approval or authorization of any governmental department necessary to legalize, validate or enforce this</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Agreement is withdrawn, suspended, invalidated or substantially amended.</w:t>
            </w:r>
          </w:p>
        </w:tc>
      </w:tr>
      <w:tr>
        <w:trPr>
          <w:trHeight w:val="386"/>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7.1.9</w:t>
            </w:r>
          </w:p>
        </w:tc>
        <w:tc>
          <w:tcPr>
            <w:tcW w:w="8880" w:type="dxa"/>
            <w:vAlign w:val="bottom"/>
          </w:tcPr>
          <w:p>
            <w:pPr>
              <w:ind w:left="220"/>
              <w:spacing w:after="0"/>
              <w:rPr>
                <w:sz w:val="20"/>
                <w:szCs w:val="20"/>
                <w:color w:val="auto"/>
              </w:rPr>
            </w:pPr>
            <w:r>
              <w:rPr>
                <w:rFonts w:ascii="Arial" w:cs="Arial" w:eastAsia="Arial" w:hAnsi="Arial"/>
                <w:sz w:val="17"/>
                <w:szCs w:val="17"/>
                <w:color w:val="auto"/>
                <w:w w:val="87"/>
              </w:rPr>
              <w:t>There occurs any adverse change to any of the assets owned by the Pledgors, which makes the Pledgee believe that the Pledgors’</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ability to perform any of their obligations is affected.</w:t>
            </w:r>
          </w:p>
        </w:tc>
      </w:tr>
      <w:tr>
        <w:trPr>
          <w:trHeight w:val="399"/>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7.1.10</w:t>
            </w:r>
          </w:p>
        </w:tc>
        <w:tc>
          <w:tcPr>
            <w:tcW w:w="8880" w:type="dxa"/>
            <w:vAlign w:val="bottom"/>
          </w:tcPr>
          <w:p>
            <w:pPr>
              <w:ind w:left="220"/>
              <w:spacing w:after="0"/>
              <w:rPr>
                <w:sz w:val="20"/>
                <w:szCs w:val="20"/>
                <w:color w:val="auto"/>
              </w:rPr>
            </w:pPr>
            <w:r>
              <w:rPr>
                <w:rFonts w:ascii="Arial" w:cs="Arial" w:eastAsia="Arial" w:hAnsi="Arial"/>
                <w:sz w:val="17"/>
                <w:szCs w:val="17"/>
                <w:color w:val="auto"/>
                <w:w w:val="96"/>
              </w:rPr>
              <w:t>Any other event that the Pledgee cannot exercise or otherwise dispose of the Pledge Rights under the applicable laws.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7.2</w:t>
            </w: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8"/>
              </w:rPr>
              <w:t>The Pledgors and/or Party C shall immediately notify the Pledgee in writing any of the events described in Section 7.1 above or the occurrence</w:t>
            </w:r>
          </w:p>
        </w:tc>
      </w:tr>
      <w:tr>
        <w:trPr>
          <w:trHeight w:val="212"/>
        </w:trPr>
        <w:tc>
          <w:tcPr>
            <w:tcW w:w="54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rPr>
              <w:t>or potential occurrence thereof the Pledgors and/or Party C becomes aware of or discovers.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7.3</w:t>
            </w: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92"/>
              </w:rPr>
              <w:t>Unless the default events listed in Section 7.1 above have been perfectly settled to the Pledgee’s satisfaction, the Pledgee may, upon the</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9"/>
              </w:rPr>
              <w:t>occurrence of such default event or at any time following the occurrence thereof, issue a written default notice to the Pledgors and/or Party C,</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8"/>
              </w:rPr>
              <w:t>requesting the Pledgors and/or Party C to immediately pay the money owned or other payables under the Exclusive Technical Consultation and</w:t>
            </w:r>
          </w:p>
        </w:tc>
      </w:tr>
      <w:tr>
        <w:trPr>
          <w:trHeight w:val="212"/>
        </w:trPr>
        <w:tc>
          <w:tcPr>
            <w:tcW w:w="54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94"/>
              </w:rPr>
              <w:t>Service Agreement or to timely perform the obligations under the Individual Agreements. In case the Pledgors or Party C fails to timely</w:t>
            </w:r>
          </w:p>
        </w:tc>
      </w:tr>
    </w:tbl>
    <w:p>
      <w:pPr>
        <w:ind w:left="1720" w:right="20"/>
        <w:spacing w:after="0" w:line="249" w:lineRule="auto"/>
        <w:rPr>
          <w:sz w:val="20"/>
          <w:szCs w:val="20"/>
          <w:color w:val="auto"/>
        </w:rPr>
      </w:pPr>
      <w:r>
        <w:rPr>
          <w:rFonts w:ascii="Arial" w:cs="Arial" w:eastAsia="Arial" w:hAnsi="Arial"/>
          <w:sz w:val="17"/>
          <w:szCs w:val="17"/>
          <w:color w:val="auto"/>
        </w:rPr>
        <w:t>correct their defaults, or take necessary remedies, within Ten (10) business days following the issuance of such written notice, the Pledgee may exercise the Pledge Rights pursuant to Section 8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84390"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16" w:name="page217"/>
    <w:bookmarkEnd w:id="216"/>
    <w:p>
      <w:pPr>
        <w:ind w:left="860" w:hanging="860"/>
        <w:spacing w:after="0"/>
        <w:tabs>
          <w:tab w:leader="none" w:pos="860"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Pledge Rights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The Pledgee shall issue a default notice to the Pledgors as described in Section 7.3 above upon its exercise of the Pledge Rights.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Subject to Section 7.3 above, the Pledgee may exercise the Pledge Rights at any time following its issuance of the default notice as described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in Section 7.3.</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Pledgee shall have the right to convert into money and sell all or part of the Equity hereunder subject to the statutory procedures, or to be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paid in priority from the money gained from auction or sale of such Equity, until full offset of the service costs and other payables unpaid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under the Individual Agreements and full performance of other obligations under the Individual Agreements.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When the Pledgee exercises the Pledge Rights pursuant to this Agreement, the Pledgors and/or Party C shall not create any barrier or hindrance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but shall offer necessary assistance, so as to facilitate the Pledgee’s realization of its Pledge Rights.</w:t>
            </w:r>
          </w:p>
        </w:tc>
      </w:tr>
    </w:tbl>
    <w:p>
      <w:pPr>
        <w:spacing w:after="0" w:line="183" w:lineRule="exact"/>
        <w:rPr>
          <w:sz w:val="20"/>
          <w:szCs w:val="20"/>
          <w:color w:val="auto"/>
        </w:rPr>
      </w:pPr>
    </w:p>
    <w:p>
      <w:pPr>
        <w:ind w:left="860" w:hanging="860"/>
        <w:spacing w:after="0"/>
        <w:tabs>
          <w:tab w:leader="none" w:pos="860"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Transfer</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9.1</w:t>
            </w: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The Pledgors shall not transfer to any third party any of their rights or obligations hereunder without the Pledgee’s prior written and explicit</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consent.</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780" w:type="dxa"/>
            <w:vAlign w:val="bottom"/>
          </w:tcPr>
          <w:p>
            <w:pPr>
              <w:ind w:left="320"/>
              <w:spacing w:after="0"/>
              <w:rPr>
                <w:sz w:val="20"/>
                <w:szCs w:val="20"/>
                <w:color w:val="auto"/>
              </w:rPr>
            </w:pPr>
            <w:r>
              <w:rPr>
                <w:rFonts w:ascii="Arial" w:cs="Arial" w:eastAsia="Arial" w:hAnsi="Arial"/>
                <w:sz w:val="17"/>
                <w:szCs w:val="17"/>
                <w:color w:val="auto"/>
              </w:rPr>
              <w:t>This Agreement shall be binding upon the Pledgors and their successors and the Pledgee and its successors or assignees.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9.3</w:t>
            </w: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The Pledgee may at any time transfer any or all of its rights or obligations under the Individual Agreements to any third party it specified,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under which circumstance, the assignee shall accordingly have and bear the rights and obligations which the Pledgee have and bear hereunder.</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Upon the transfer by the Pledgee of the rights or obligations hereunder, the Pledgors shall, as requested by the Pledgee, sign the corresponding</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agreements and/or documents regarding the transfer thereof.</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9.4</w:t>
            </w: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In case there is a change of the Pledgee due to the transfer of the rights or obligations as described in Section 9.3 above, the substitute Pledgee</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and the Pledgors shall re-sign the pledge agreement and the Pledgors shall be responsible for handling all applicable registration formalities.</w:t>
            </w:r>
          </w:p>
        </w:tc>
      </w:tr>
    </w:tbl>
    <w:p>
      <w:pPr>
        <w:spacing w:after="0" w:line="183" w:lineRule="exact"/>
        <w:rPr>
          <w:sz w:val="20"/>
          <w:szCs w:val="20"/>
          <w:color w:val="auto"/>
        </w:rPr>
      </w:pPr>
    </w:p>
    <w:p>
      <w:pPr>
        <w:ind w:left="860" w:hanging="860"/>
        <w:spacing w:after="0"/>
        <w:tabs>
          <w:tab w:leader="none" w:pos="86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Charges and Other Costs</w:t>
      </w:r>
    </w:p>
    <w:p>
      <w:pPr>
        <w:spacing w:after="0" w:line="207" w:lineRule="exact"/>
        <w:rPr>
          <w:rFonts w:ascii="Arial" w:cs="Arial" w:eastAsia="Arial" w:hAnsi="Arial"/>
          <w:sz w:val="17"/>
          <w:szCs w:val="17"/>
          <w:b w:val="1"/>
          <w:bCs w:val="1"/>
          <w:color w:val="auto"/>
        </w:rPr>
      </w:pPr>
    </w:p>
    <w:p>
      <w:pPr>
        <w:ind w:left="860" w:right="22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All costs and actual expenses related to this Agreement, including but not limited to the legal costs, print costs, stamp duty and any other tax and charges, shall be equally borne by the Pledgee and Party C.</w:t>
      </w:r>
    </w:p>
    <w:p>
      <w:pPr>
        <w:spacing w:after="0" w:line="163" w:lineRule="exact"/>
        <w:rPr>
          <w:rFonts w:ascii="Arial" w:cs="Arial" w:eastAsia="Arial" w:hAnsi="Arial"/>
          <w:sz w:val="17"/>
          <w:szCs w:val="17"/>
          <w:b w:val="1"/>
          <w:bCs w:val="1"/>
          <w:color w:val="auto"/>
        </w:rPr>
      </w:pPr>
    </w:p>
    <w:p>
      <w:pPr>
        <w:ind w:left="860" w:hanging="860"/>
        <w:spacing w:after="0"/>
        <w:tabs>
          <w:tab w:leader="none" w:pos="86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jc w:val="right"/>
              <w:ind w:right="217"/>
              <w:spacing w:after="0"/>
              <w:rPr>
                <w:sz w:val="20"/>
                <w:szCs w:val="20"/>
                <w:color w:val="auto"/>
              </w:rPr>
            </w:pPr>
            <w:r>
              <w:rPr>
                <w:rFonts w:ascii="Arial" w:cs="Arial" w:eastAsia="Arial" w:hAnsi="Arial"/>
                <w:sz w:val="17"/>
                <w:szCs w:val="17"/>
                <w:color w:val="auto"/>
              </w:rPr>
              <w:t>11.1</w:t>
            </w:r>
          </w:p>
        </w:tc>
        <w:tc>
          <w:tcPr>
            <w:tcW w:w="9840" w:type="dxa"/>
            <w:vAlign w:val="bottom"/>
          </w:tcPr>
          <w:p>
            <w:pPr>
              <w:ind w:left="2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Force Majeure Events</w:t>
            </w:r>
            <w:r>
              <w:rPr>
                <w:rFonts w:ascii="Arial" w:cs="Arial" w:eastAsia="Arial" w:hAnsi="Arial"/>
                <w:sz w:val="17"/>
                <w:szCs w:val="17"/>
                <w:color w:val="auto"/>
                <w:w w:val="94"/>
              </w:rPr>
              <w:t>” mean any events beyond the reasonable control of one Party that are unavoidable by the affected Party with</w:t>
            </w:r>
          </w:p>
        </w:tc>
      </w:tr>
      <w:tr>
        <w:trPr>
          <w:trHeight w:val="199"/>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90"/>
              </w:rPr>
              <w:t>reasonable care, including but not limited to any acts of government, natural force, fire, explosion, storm, flood, earthquake, tide, lightning or</w:t>
            </w:r>
          </w:p>
        </w:tc>
      </w:tr>
      <w:tr>
        <w:trPr>
          <w:trHeight w:val="195"/>
        </w:trPr>
        <w:tc>
          <w:tcPr>
            <w:tcW w:w="1440" w:type="dxa"/>
            <w:vAlign w:val="bottom"/>
          </w:tcPr>
          <w:p>
            <w:pPr>
              <w:spacing w:after="0"/>
              <w:rPr>
                <w:sz w:val="16"/>
                <w:szCs w:val="16"/>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88"/>
              </w:rPr>
              <w:t>war, provided that any credit, capital or financing shortage shall not be deemed to be the event beyond the reasonable control of one Party. The</w:t>
            </w:r>
          </w:p>
        </w:tc>
      </w:tr>
      <w:tr>
        <w:trPr>
          <w:trHeight w:val="203"/>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90"/>
              </w:rPr>
              <w:t>Party affected by any Force Majeure Events (hereinafter referred to as “</w:t>
            </w:r>
            <w:r>
              <w:rPr>
                <w:rFonts w:ascii="Arial" w:cs="Arial" w:eastAsia="Arial" w:hAnsi="Arial"/>
                <w:sz w:val="17"/>
                <w:szCs w:val="17"/>
                <w:b w:val="1"/>
                <w:bCs w:val="1"/>
                <w:color w:val="auto"/>
                <w:w w:val="90"/>
              </w:rPr>
              <w:t>Affected Party</w:t>
            </w:r>
            <w:r>
              <w:rPr>
                <w:rFonts w:ascii="Arial" w:cs="Arial" w:eastAsia="Arial" w:hAnsi="Arial"/>
                <w:sz w:val="17"/>
                <w:szCs w:val="17"/>
                <w:color w:val="auto"/>
                <w:w w:val="90"/>
              </w:rPr>
              <w:t>”) shall be exempted from its responsibility in whole or</w:t>
            </w:r>
          </w:p>
        </w:tc>
      </w:tr>
      <w:tr>
        <w:trPr>
          <w:trHeight w:val="199"/>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94"/>
              </w:rPr>
              <w:t>in part according to the effects of such Force Majeure Events on this Agreement, and the Affected Party who seeks exemption from its</w:t>
            </w:r>
          </w:p>
        </w:tc>
      </w:tr>
      <w:tr>
        <w:trPr>
          <w:trHeight w:val="199"/>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92"/>
              </w:rPr>
              <w:t>responsibility for the performance of this Agreement due to such Force Majeure Events shall notify the other Party of such Force Majeure</w:t>
            </w:r>
          </w:p>
        </w:tc>
      </w:tr>
      <w:tr>
        <w:trPr>
          <w:trHeight w:val="212"/>
        </w:trPr>
        <w:tc>
          <w:tcPr>
            <w:tcW w:w="1440" w:type="dxa"/>
            <w:vAlign w:val="bottom"/>
          </w:tcPr>
          <w:p>
            <w:pPr>
              <w:spacing w:after="0"/>
              <w:rPr>
                <w:sz w:val="18"/>
                <w:szCs w:val="18"/>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rPr>
              <w:t>Events not later than Ten (10) days after occurrence of such Force Majeure Events so that the Parties hereto negotiate about</w:t>
            </w:r>
          </w:p>
        </w:tc>
      </w:tr>
      <w:tr>
        <w:trPr>
          <w:trHeight w:val="434"/>
        </w:trPr>
        <w:tc>
          <w:tcPr>
            <w:tcW w:w="1440" w:type="dxa"/>
            <w:vAlign w:val="bottom"/>
          </w:tcPr>
          <w:p>
            <w:pPr>
              <w:spacing w:after="0"/>
              <w:rPr>
                <w:sz w:val="24"/>
                <w:szCs w:val="24"/>
                <w:color w:val="auto"/>
              </w:rPr>
            </w:pPr>
          </w:p>
        </w:tc>
        <w:tc>
          <w:tcPr>
            <w:tcW w:w="9840" w:type="dxa"/>
            <w:vAlign w:val="bottom"/>
          </w:tcPr>
          <w:p>
            <w:pPr>
              <w:ind w:left="4140"/>
              <w:spacing w:after="0"/>
              <w:rPr>
                <w:sz w:val="20"/>
                <w:szCs w:val="20"/>
                <w:color w:val="auto"/>
              </w:rPr>
            </w:pPr>
            <w:r>
              <w:rPr>
                <w:rFonts w:ascii="Arial" w:cs="Arial" w:eastAsia="Arial" w:hAnsi="Arial"/>
                <w:sz w:val="20"/>
                <w:szCs w:val="20"/>
                <w:color w:val="auto"/>
              </w:rPr>
              <w:t>6</w:t>
            </w:r>
          </w:p>
        </w:tc>
      </w:tr>
      <w:tr>
        <w:trPr>
          <w:trHeight w:val="94"/>
        </w:trPr>
        <w:tc>
          <w:tcPr>
            <w:tcW w:w="1440" w:type="dxa"/>
            <w:vAlign w:val="bottom"/>
            <w:tcBorders>
              <w:bottom w:val="single" w:sz="8" w:color="9A9A9A"/>
            </w:tcBorders>
          </w:tcPr>
          <w:p>
            <w:pPr>
              <w:spacing w:after="0"/>
              <w:rPr>
                <w:sz w:val="8"/>
                <w:szCs w:val="8"/>
                <w:color w:val="auto"/>
              </w:rPr>
            </w:pPr>
          </w:p>
        </w:tc>
        <w:tc>
          <w:tcPr>
            <w:tcW w:w="9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2" w:right="299" w:bottom="1440" w:gutter="0" w:footer="0" w:header="0"/>
        </w:sectPr>
      </w:pPr>
    </w:p>
    <w:bookmarkStart w:id="217" w:name="page218"/>
    <w:bookmarkEnd w:id="217"/>
    <w:tbl>
      <w:tblPr>
        <w:tblLayout w:type="fixed"/>
        <w:tblInd w:w="860" w:type="dxa"/>
        <w:tblCellMar>
          <w:top w:w="0" w:type="dxa"/>
          <w:left w:w="0" w:type="dxa"/>
          <w:bottom w:w="0" w:type="dxa"/>
          <w:right w:w="0" w:type="dxa"/>
        </w:tblCellMar>
      </w:tblPr>
      <w:tr>
        <w:trPr>
          <w:trHeight w:val="199"/>
        </w:trPr>
        <w:tc>
          <w:tcPr>
            <w:tcW w:w="580" w:type="dxa"/>
            <w:vAlign w:val="bottom"/>
          </w:tcPr>
          <w:p>
            <w:pPr>
              <w:spacing w:after="0"/>
              <w:rPr>
                <w:sz w:val="17"/>
                <w:szCs w:val="17"/>
                <w:color w:val="auto"/>
              </w:rPr>
            </w:pPr>
          </w:p>
        </w:tc>
        <w:tc>
          <w:tcPr>
            <w:tcW w:w="9740" w:type="dxa"/>
            <w:vAlign w:val="bottom"/>
          </w:tcPr>
          <w:p>
            <w:pPr>
              <w:ind w:left="280"/>
              <w:spacing w:after="0"/>
              <w:rPr>
                <w:sz w:val="20"/>
                <w:szCs w:val="20"/>
                <w:color w:val="auto"/>
              </w:rPr>
            </w:pPr>
            <w:r>
              <w:rPr>
                <w:rFonts w:ascii="Arial" w:cs="Arial" w:eastAsia="Arial" w:hAnsi="Arial"/>
                <w:sz w:val="17"/>
                <w:szCs w:val="17"/>
                <w:color w:val="auto"/>
                <w:w w:val="90"/>
              </w:rPr>
              <w:t>the amendment to this Agreement according to the effects of such Force Majeure Events and exempt in whole or in part the Affected Party</w:t>
            </w:r>
          </w:p>
        </w:tc>
      </w:tr>
      <w:tr>
        <w:trPr>
          <w:trHeight w:val="212"/>
        </w:trPr>
        <w:tc>
          <w:tcPr>
            <w:tcW w:w="58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7"/>
                <w:szCs w:val="17"/>
                <w:color w:val="auto"/>
              </w:rPr>
              <w:t>from its obligations under this Agreement.</w:t>
            </w:r>
          </w:p>
        </w:tc>
      </w:tr>
      <w:tr>
        <w:trPr>
          <w:trHeight w:val="386"/>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11.2</w:t>
            </w:r>
          </w:p>
        </w:tc>
        <w:tc>
          <w:tcPr>
            <w:tcW w:w="9740" w:type="dxa"/>
            <w:vAlign w:val="bottom"/>
          </w:tcPr>
          <w:p>
            <w:pPr>
              <w:ind w:left="28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80" w:type="dxa"/>
            <w:vAlign w:val="bottom"/>
          </w:tcPr>
          <w:p>
            <w:pPr>
              <w:spacing w:after="0"/>
              <w:rPr>
                <w:sz w:val="17"/>
                <w:szCs w:val="17"/>
                <w:color w:val="auto"/>
              </w:rPr>
            </w:pPr>
          </w:p>
        </w:tc>
        <w:tc>
          <w:tcPr>
            <w:tcW w:w="9740" w:type="dxa"/>
            <w:vAlign w:val="bottom"/>
          </w:tcPr>
          <w:p>
            <w:pPr>
              <w:ind w:left="280"/>
              <w:spacing w:after="0"/>
              <w:rPr>
                <w:sz w:val="20"/>
                <w:szCs w:val="20"/>
                <w:color w:val="auto"/>
              </w:rPr>
            </w:pPr>
            <w:r>
              <w:rPr>
                <w:rFonts w:ascii="Arial" w:cs="Arial" w:eastAsia="Arial" w:hAnsi="Arial"/>
                <w:sz w:val="17"/>
                <w:szCs w:val="17"/>
                <w:color w:val="auto"/>
                <w:w w:val="87"/>
              </w:rPr>
              <w:t>performance of its obligations delayed or hindered by such Force Majeure Events. Once such Force Majeure Events are eliminated, the Parties</w:t>
            </w:r>
          </w:p>
        </w:tc>
      </w:tr>
      <w:tr>
        <w:trPr>
          <w:trHeight w:val="212"/>
        </w:trPr>
        <w:tc>
          <w:tcPr>
            <w:tcW w:w="58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7"/>
                <w:szCs w:val="17"/>
                <w:color w:val="auto"/>
                <w:w w:val="97"/>
              </w:rPr>
              <w:t>hereto agree that they shall use their best efforts to restore the performance of their rights and obligations under this Agreement.</w:t>
            </w:r>
          </w:p>
        </w:tc>
      </w:tr>
    </w:tbl>
    <w:p>
      <w:pPr>
        <w:spacing w:after="0" w:line="183" w:lineRule="exact"/>
        <w:rPr>
          <w:sz w:val="20"/>
          <w:szCs w:val="20"/>
          <w:color w:val="auto"/>
        </w:rPr>
      </w:pPr>
    </w:p>
    <w:p>
      <w:pPr>
        <w:ind w:left="860" w:hanging="860"/>
        <w:spacing w:after="0"/>
        <w:tabs>
          <w:tab w:leader="none" w:pos="860"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Settlement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12.1</w:t>
            </w:r>
          </w:p>
        </w:tc>
        <w:tc>
          <w:tcPr>
            <w:tcW w:w="9780" w:type="dxa"/>
            <w:vAlign w:val="bottom"/>
          </w:tcPr>
          <w:p>
            <w:pPr>
              <w:ind w:left="28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tc>
      </w:tr>
      <w:tr>
        <w:trPr>
          <w:trHeight w:val="411"/>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12.2</w:t>
            </w:r>
          </w:p>
        </w:tc>
        <w:tc>
          <w:tcPr>
            <w:tcW w:w="9780" w:type="dxa"/>
            <w:vAlign w:val="bottom"/>
          </w:tcPr>
          <w:p>
            <w:pPr>
              <w:ind w:left="28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80" w:type="dxa"/>
            <w:vAlign w:val="bottom"/>
          </w:tcPr>
          <w:p>
            <w:pPr>
              <w:spacing w:after="0"/>
              <w:rPr>
                <w:sz w:val="17"/>
                <w:szCs w:val="17"/>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w w:val="88"/>
              </w:rPr>
              <w:t>resolve such disputes through consultation in good faith. If such disputes cannot be resolved through consultation, any Party may submit such</w:t>
            </w:r>
          </w:p>
        </w:tc>
      </w:tr>
      <w:tr>
        <w:trPr>
          <w:trHeight w:val="199"/>
        </w:trPr>
        <w:tc>
          <w:tcPr>
            <w:tcW w:w="580" w:type="dxa"/>
            <w:vAlign w:val="bottom"/>
          </w:tcPr>
          <w:p>
            <w:pPr>
              <w:spacing w:after="0"/>
              <w:rPr>
                <w:sz w:val="17"/>
                <w:szCs w:val="17"/>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80" w:type="dxa"/>
            <w:vAlign w:val="bottom"/>
          </w:tcPr>
          <w:p>
            <w:pPr>
              <w:spacing w:after="0"/>
              <w:rPr>
                <w:sz w:val="17"/>
                <w:szCs w:val="17"/>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w w:val="95"/>
              </w:rPr>
              <w:t>arbitration rules of such Commission in force. The place of arbitration shall be Beijing, and the language to be used in the arbitration</w:t>
            </w:r>
          </w:p>
        </w:tc>
      </w:tr>
      <w:tr>
        <w:trPr>
          <w:trHeight w:val="199"/>
        </w:trPr>
        <w:tc>
          <w:tcPr>
            <w:tcW w:w="580" w:type="dxa"/>
            <w:vAlign w:val="bottom"/>
          </w:tcPr>
          <w:p>
            <w:pPr>
              <w:spacing w:after="0"/>
              <w:rPr>
                <w:sz w:val="17"/>
                <w:szCs w:val="17"/>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Section shall be affected by</w:t>
            </w:r>
          </w:p>
        </w:tc>
      </w:tr>
      <w:tr>
        <w:trPr>
          <w:trHeight w:val="212"/>
        </w:trPr>
        <w:tc>
          <w:tcPr>
            <w:tcW w:w="580" w:type="dxa"/>
            <w:vAlign w:val="bottom"/>
          </w:tcPr>
          <w:p>
            <w:pPr>
              <w:spacing w:after="0"/>
              <w:rPr>
                <w:sz w:val="18"/>
                <w:szCs w:val="18"/>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12.3</w:t>
            </w:r>
          </w:p>
        </w:tc>
        <w:tc>
          <w:tcPr>
            <w:tcW w:w="9780" w:type="dxa"/>
            <w:vAlign w:val="bottom"/>
          </w:tcPr>
          <w:p>
            <w:pPr>
              <w:ind w:left="280"/>
              <w:spacing w:after="0"/>
              <w:rPr>
                <w:sz w:val="20"/>
                <w:szCs w:val="20"/>
                <w:color w:val="auto"/>
              </w:rPr>
            </w:pPr>
            <w:r>
              <w:rPr>
                <w:rFonts w:ascii="Arial" w:cs="Arial" w:eastAsia="Arial" w:hAnsi="Arial"/>
                <w:sz w:val="17"/>
                <w:szCs w:val="17"/>
                <w:color w:val="auto"/>
                <w:w w:val="92"/>
              </w:rPr>
              <w:t>Except for any matters disputed by the Parties hereto, the Parties hereto shall continue to perform their respective obligations under this</w:t>
            </w:r>
          </w:p>
        </w:tc>
      </w:tr>
      <w:tr>
        <w:trPr>
          <w:trHeight w:val="212"/>
        </w:trPr>
        <w:tc>
          <w:tcPr>
            <w:tcW w:w="580" w:type="dxa"/>
            <w:vAlign w:val="bottom"/>
          </w:tcPr>
          <w:p>
            <w:pPr>
              <w:spacing w:after="0"/>
              <w:rPr>
                <w:sz w:val="18"/>
                <w:szCs w:val="18"/>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rFonts w:ascii="Arial" w:cs="Arial" w:eastAsia="Arial" w:hAnsi="Arial"/>
          <w:sz w:val="17"/>
          <w:szCs w:val="17"/>
          <w:b w:val="1"/>
          <w:bCs w:val="1"/>
          <w:color w:val="auto"/>
        </w:rPr>
      </w:pPr>
    </w:p>
    <w:p>
      <w:pPr>
        <w:ind w:left="860" w:right="20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6"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Party A,</w:t>
      </w:r>
    </w:p>
    <w:p>
      <w:pPr>
        <w:spacing w:after="0" w:line="203"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Address: Building 6, yard 36, Chuangyuan Road, Laiguangying, Chaoyang District, Beijing</w:t>
      </w:r>
    </w:p>
    <w:p>
      <w:pPr>
        <w:spacing w:after="0" w:line="203"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Tel.: [*]</w:t>
      </w:r>
    </w:p>
    <w:p>
      <w:pPr>
        <w:spacing w:after="0" w:line="203" w:lineRule="exact"/>
        <w:rPr>
          <w:rFonts w:ascii="Arial" w:cs="Arial" w:eastAsia="Arial" w:hAnsi="Arial"/>
          <w:sz w:val="17"/>
          <w:szCs w:val="17"/>
          <w:b w:val="1"/>
          <w:bCs w:val="1"/>
          <w:color w:val="auto"/>
        </w:rPr>
      </w:pPr>
    </w:p>
    <w:p>
      <w:pPr>
        <w:ind w:left="860" w:right="8980"/>
        <w:spacing w:after="0" w:line="554" w:lineRule="auto"/>
        <w:rPr>
          <w:rFonts w:ascii="Arial" w:cs="Arial" w:eastAsia="Arial" w:hAnsi="Arial"/>
          <w:sz w:val="17"/>
          <w:szCs w:val="17"/>
          <w:b w:val="1"/>
          <w:bCs w:val="1"/>
          <w:color w:val="auto"/>
        </w:rPr>
      </w:pPr>
      <w:r>
        <w:rPr>
          <w:rFonts w:ascii="Arial" w:cs="Arial" w:eastAsia="Arial" w:hAnsi="Arial"/>
          <w:sz w:val="15"/>
          <w:szCs w:val="15"/>
          <w:color w:val="auto"/>
        </w:rPr>
        <w:t>Attn.: LIU Tongbo Party B and Party C:</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Address: No. 13 building, Lai Guang Ying Chao Lai Science Park, Chaoyang District, Beijing</w:t>
      </w:r>
    </w:p>
    <w:p>
      <w:pPr>
        <w:spacing w:after="0" w:line="203"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Tel.: [*]</w:t>
      </w:r>
    </w:p>
    <w:p>
      <w:pPr>
        <w:spacing w:after="0" w:line="203"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 Ming</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Annex</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annexes hereto shall form part of this Agreement.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84390"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218" w:name="page219"/>
    <w:bookmarkEnd w:id="218"/>
    <w:p>
      <w:pPr>
        <w:ind w:left="860" w:hanging="860"/>
        <w:spacing w:after="0"/>
        <w:tabs>
          <w:tab w:leader="none" w:pos="86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207" w:lineRule="exact"/>
        <w:rPr>
          <w:rFonts w:ascii="Arial" w:cs="Arial" w:eastAsia="Arial" w:hAnsi="Arial"/>
          <w:sz w:val="17"/>
          <w:szCs w:val="17"/>
          <w:b w:val="1"/>
          <w:bCs w:val="1"/>
          <w:color w:val="auto"/>
        </w:rPr>
      </w:pPr>
    </w:p>
    <w:p>
      <w:pPr>
        <w:ind w:left="8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Pledgee’s failure to exercise or delayed exercise of any rights, remedies, powers or privileges hereunder shall not be deemed to be waiver of such rights, remedies, powers or privileges. The Pledgee’s single or partial exercise of any rights, remedies, powers or privileges shall not exclude its exercise of any other rights, remedies, powers or privileges.</w:t>
      </w:r>
    </w:p>
    <w:p>
      <w:pPr>
        <w:spacing w:after="0" w:line="176"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5"/>
          <w:szCs w:val="15"/>
          <w:color w:val="auto"/>
        </w:rPr>
        <w:t>The rights, remedies, powers and privileges hereunder are cumulative and in addition to any other rights, remedies, powers and privileges under any law.</w:t>
      </w:r>
    </w:p>
    <w:p>
      <w:pPr>
        <w:spacing w:after="0" w:line="222" w:lineRule="exact"/>
        <w:rPr>
          <w:rFonts w:ascii="Arial" w:cs="Arial" w:eastAsia="Arial" w:hAnsi="Arial"/>
          <w:sz w:val="17"/>
          <w:szCs w:val="17"/>
          <w:b w:val="1"/>
          <w:bCs w:val="1"/>
          <w:color w:val="auto"/>
        </w:rPr>
      </w:pPr>
    </w:p>
    <w:p>
      <w:pPr>
        <w:ind w:left="860" w:hanging="860"/>
        <w:spacing w:after="0"/>
        <w:tabs>
          <w:tab w:leader="none" w:pos="86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16.1</w:t>
            </w:r>
          </w:p>
        </w:tc>
        <w:tc>
          <w:tcPr>
            <w:tcW w:w="9680" w:type="dxa"/>
            <w:vAlign w:val="bottom"/>
          </w:tcPr>
          <w:p>
            <w:pPr>
              <w:ind w:left="280"/>
              <w:spacing w:after="0"/>
              <w:rPr>
                <w:sz w:val="20"/>
                <w:szCs w:val="20"/>
                <w:color w:val="auto"/>
              </w:rPr>
            </w:pPr>
            <w:r>
              <w:rPr>
                <w:rFonts w:ascii="Arial" w:cs="Arial" w:eastAsia="Arial" w:hAnsi="Arial"/>
                <w:sz w:val="17"/>
                <w:szCs w:val="17"/>
                <w:color w:val="auto"/>
                <w:w w:val="92"/>
              </w:rPr>
              <w:t>Any modification or supplementation of or amendment to this Agreement shall be in writing and be effective only after being sealed and</w:t>
            </w:r>
          </w:p>
        </w:tc>
      </w:tr>
      <w:tr>
        <w:trPr>
          <w:trHeight w:val="212"/>
        </w:trPr>
        <w:tc>
          <w:tcPr>
            <w:tcW w:w="58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rPr>
              <w:t>signed by the Parties hereto.</w:t>
            </w:r>
          </w:p>
        </w:tc>
      </w:tr>
      <w:tr>
        <w:trPr>
          <w:trHeight w:val="386"/>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16.2</w:t>
            </w:r>
          </w:p>
        </w:tc>
        <w:tc>
          <w:tcPr>
            <w:tcW w:w="9680" w:type="dxa"/>
            <w:vAlign w:val="bottom"/>
          </w:tcPr>
          <w:p>
            <w:pPr>
              <w:ind w:left="280"/>
              <w:spacing w:after="0"/>
              <w:rPr>
                <w:sz w:val="20"/>
                <w:szCs w:val="20"/>
                <w:color w:val="auto"/>
              </w:rPr>
            </w:pPr>
            <w:r>
              <w:rPr>
                <w:rFonts w:ascii="Arial" w:cs="Arial" w:eastAsia="Arial" w:hAnsi="Arial"/>
                <w:sz w:val="17"/>
                <w:szCs w:val="17"/>
                <w:color w:val="auto"/>
                <w:w w:val="88"/>
              </w:rPr>
              <w:t>The Parties hereby acknowledge that this Agreement shall be a fair and reasonable agreement reached by the Parties hereto on the basis of</w:t>
            </w:r>
          </w:p>
        </w:tc>
      </w:tr>
      <w:tr>
        <w:trPr>
          <w:trHeight w:val="199"/>
        </w:trPr>
        <w:tc>
          <w:tcPr>
            <w:tcW w:w="580" w:type="dxa"/>
            <w:vAlign w:val="bottom"/>
          </w:tcPr>
          <w:p>
            <w:pPr>
              <w:spacing w:after="0"/>
              <w:rPr>
                <w:sz w:val="17"/>
                <w:szCs w:val="17"/>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w w:val="88"/>
              </w:rPr>
              <w:t>equality and mutual benefit. In case any provision hereof becomes invalid or cannot be enforced due to conflict with any applicable law, such</w:t>
            </w:r>
          </w:p>
        </w:tc>
      </w:tr>
      <w:tr>
        <w:trPr>
          <w:trHeight w:val="199"/>
        </w:trPr>
        <w:tc>
          <w:tcPr>
            <w:tcW w:w="580" w:type="dxa"/>
            <w:vAlign w:val="bottom"/>
          </w:tcPr>
          <w:p>
            <w:pPr>
              <w:spacing w:after="0"/>
              <w:rPr>
                <w:sz w:val="17"/>
                <w:szCs w:val="17"/>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w w:val="89"/>
              </w:rPr>
              <w:t>provision shall be invalid or unenforceable to the sole extent of the jurisdiction of such applicable law and shall in no way influence the legal</w:t>
            </w:r>
          </w:p>
        </w:tc>
      </w:tr>
      <w:tr>
        <w:trPr>
          <w:trHeight w:val="212"/>
        </w:trPr>
        <w:tc>
          <w:tcPr>
            <w:tcW w:w="58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rPr>
              <w:t>force of the remaining provisions of this Agreement.</w:t>
            </w:r>
          </w:p>
        </w:tc>
      </w:tr>
      <w:tr>
        <w:trPr>
          <w:trHeight w:val="386"/>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16.3</w:t>
            </w:r>
          </w:p>
        </w:tc>
        <w:tc>
          <w:tcPr>
            <w:tcW w:w="9680" w:type="dxa"/>
            <w:vAlign w:val="bottom"/>
          </w:tcPr>
          <w:p>
            <w:pPr>
              <w:ind w:left="280"/>
              <w:spacing w:after="0"/>
              <w:rPr>
                <w:sz w:val="20"/>
                <w:szCs w:val="20"/>
                <w:color w:val="auto"/>
              </w:rPr>
            </w:pPr>
            <w:r>
              <w:rPr>
                <w:rFonts w:ascii="Arial" w:cs="Arial" w:eastAsia="Arial" w:hAnsi="Arial"/>
                <w:sz w:val="17"/>
                <w:szCs w:val="17"/>
                <w:color w:val="auto"/>
                <w:w w:val="92"/>
              </w:rPr>
              <w:t>The Parties hereto agree that in case of any change to Party C’s shareholding structure or any addition or deduction of any of Party C’s</w:t>
            </w:r>
          </w:p>
        </w:tc>
      </w:tr>
      <w:tr>
        <w:trPr>
          <w:trHeight w:val="199"/>
        </w:trPr>
        <w:tc>
          <w:tcPr>
            <w:tcW w:w="580" w:type="dxa"/>
            <w:vAlign w:val="bottom"/>
          </w:tcPr>
          <w:p>
            <w:pPr>
              <w:spacing w:after="0"/>
              <w:rPr>
                <w:sz w:val="17"/>
                <w:szCs w:val="17"/>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w w:val="88"/>
              </w:rPr>
              <w:t>shareholders, Party A, Party C and Party C’s then-current shareholders shall re-sign this Agreement, and as of the effective date of the Equity</w:t>
            </w:r>
          </w:p>
        </w:tc>
      </w:tr>
      <w:tr>
        <w:trPr>
          <w:trHeight w:val="199"/>
        </w:trPr>
        <w:tc>
          <w:tcPr>
            <w:tcW w:w="580" w:type="dxa"/>
            <w:vAlign w:val="bottom"/>
          </w:tcPr>
          <w:p>
            <w:pPr>
              <w:spacing w:after="0"/>
              <w:rPr>
                <w:sz w:val="17"/>
                <w:szCs w:val="17"/>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w w:val="91"/>
              </w:rPr>
              <w:t>Interest Pledge Agreement re-entered into by and among the foregoing parties, this Agreement will automatically terminate and become</w:t>
            </w:r>
          </w:p>
        </w:tc>
      </w:tr>
      <w:tr>
        <w:trPr>
          <w:trHeight w:val="212"/>
        </w:trPr>
        <w:tc>
          <w:tcPr>
            <w:tcW w:w="58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rPr>
              <w:t>invalid.</w:t>
            </w:r>
          </w:p>
        </w:tc>
      </w:tr>
      <w:tr>
        <w:trPr>
          <w:trHeight w:val="39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16.4</w:t>
            </w:r>
          </w:p>
        </w:tc>
        <w:tc>
          <w:tcPr>
            <w:tcW w:w="9680" w:type="dxa"/>
            <w:vAlign w:val="bottom"/>
          </w:tcPr>
          <w:p>
            <w:pPr>
              <w:ind w:left="28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84390"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80"/>
          </w:cols>
          <w:pgMar w:left="320" w:top="322" w:right="399" w:bottom="1440" w:gutter="0" w:footer="0" w:header="0"/>
        </w:sectPr>
      </w:pPr>
    </w:p>
    <w:bookmarkStart w:id="219" w:name="page220"/>
    <w:bookmarkEnd w:id="219"/>
    <w:p>
      <w:pPr>
        <w:jc w:val="right"/>
        <w:ind w:right="1919"/>
        <w:spacing w:after="0"/>
        <w:rPr>
          <w:sz w:val="20"/>
          <w:szCs w:val="20"/>
          <w:color w:val="auto"/>
        </w:rPr>
      </w:pPr>
      <w:r>
        <w:rPr>
          <w:rFonts w:ascii="Arial" w:cs="Arial" w:eastAsia="Arial" w:hAnsi="Arial"/>
          <w:sz w:val="17"/>
          <w:szCs w:val="17"/>
          <w:b w:val="1"/>
          <w:bCs w:val="1"/>
          <w:color w:val="auto"/>
        </w:rPr>
        <w:t>[This page is the signature page to the Equity Interest Pledge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LI Ming</w:t>
      </w:r>
    </w:p>
    <w:p>
      <w:pPr>
        <w:spacing w:after="0" w:line="2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6"/>
          <w:szCs w:val="16"/>
          <w:u w:val="single" w:color="auto"/>
          <w:color w:val="auto"/>
        </w:rPr>
        <w:t>/s/ LI Ming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CHEN Di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r>
        <w:rPr>
          <w:rFonts w:ascii="Arial" w:cs="Arial" w:eastAsia="Arial" w:hAnsi="Arial"/>
          <w:sz w:val="17"/>
          <w:szCs w:val="17"/>
          <w:u w:val="single" w:color="auto"/>
          <w:color w:val="auto"/>
        </w:rPr>
        <w:t>/s/ CHEN Di</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 Ming</w:t>
      </w:r>
      <w:r>
        <w:rPr>
          <w:rFonts w:ascii="Arial" w:cs="Arial" w:eastAsia="Arial" w:hAnsi="Arial"/>
          <w:sz w:val="17"/>
          <w:szCs w:val="17"/>
          <w:color w:val="auto"/>
        </w:rPr>
        <w:t xml:space="preserve">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Equity Interest Pledge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184390"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220" w:name="page221"/>
    <w:bookmarkEnd w:id="220"/>
    <w:p>
      <w:pPr>
        <w:jc w:val="center"/>
        <w:ind w:right="40"/>
        <w:spacing w:after="0"/>
        <w:rPr>
          <w:sz w:val="20"/>
          <w:szCs w:val="20"/>
          <w:color w:val="auto"/>
        </w:rPr>
      </w:pPr>
      <w:r>
        <w:rPr>
          <w:rFonts w:ascii="Arial" w:cs="Arial" w:eastAsia="Arial" w:hAnsi="Arial"/>
          <w:sz w:val="20"/>
          <w:szCs w:val="20"/>
          <w:b w:val="1"/>
          <w:bCs w:val="1"/>
          <w:color w:val="auto"/>
        </w:rPr>
        <w:t>Annex I Pledgor</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60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right w:val="single" w:sz="8" w:color="auto"/>
            </w:tcBorders>
            <w:gridSpan w:val="2"/>
          </w:tcPr>
          <w:p>
            <w:pPr>
              <w:jc w:val="center"/>
              <w:ind w:right="531"/>
              <w:spacing w:after="0"/>
              <w:rPr>
                <w:sz w:val="20"/>
                <w:szCs w:val="20"/>
                <w:color w:val="auto"/>
              </w:rPr>
            </w:pPr>
            <w:r>
              <w:rPr>
                <w:rFonts w:ascii="Arial" w:cs="Arial" w:eastAsia="Arial" w:hAnsi="Arial"/>
                <w:sz w:val="17"/>
                <w:szCs w:val="17"/>
                <w:color w:val="auto"/>
                <w:w w:val="86"/>
              </w:rPr>
              <w:t>Name of Shareholders</w:t>
            </w:r>
          </w:p>
        </w:tc>
        <w:tc>
          <w:tcPr>
            <w:tcW w:w="4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ID Card No.</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192"/>
        </w:trPr>
        <w:tc>
          <w:tcPr>
            <w:tcW w:w="60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jc w:val="center"/>
              <w:ind w:right="831"/>
              <w:spacing w:after="0" w:line="192" w:lineRule="exact"/>
              <w:rPr>
                <w:sz w:val="20"/>
                <w:szCs w:val="20"/>
                <w:color w:val="auto"/>
              </w:rPr>
            </w:pPr>
            <w:r>
              <w:rPr>
                <w:rFonts w:ascii="Arial" w:cs="Arial" w:eastAsia="Arial" w:hAnsi="Arial"/>
                <w:sz w:val="17"/>
                <w:szCs w:val="17"/>
                <w:color w:val="auto"/>
              </w:rPr>
              <w:t>LI Ming</w:t>
            </w:r>
          </w:p>
        </w:tc>
        <w:tc>
          <w:tcPr>
            <w:tcW w:w="40" w:type="dxa"/>
            <w:vAlign w:val="bottom"/>
            <w:tcBorders>
              <w:bottom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192"/>
        </w:trPr>
        <w:tc>
          <w:tcPr>
            <w:tcW w:w="60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jc w:val="center"/>
              <w:ind w:right="851"/>
              <w:spacing w:after="0" w:line="192" w:lineRule="exact"/>
              <w:rPr>
                <w:sz w:val="20"/>
                <w:szCs w:val="20"/>
                <w:color w:val="auto"/>
              </w:rPr>
            </w:pPr>
            <w:r>
              <w:rPr>
                <w:rFonts w:ascii="Arial" w:cs="Arial" w:eastAsia="Arial" w:hAnsi="Arial"/>
                <w:sz w:val="17"/>
                <w:szCs w:val="17"/>
                <w:color w:val="auto"/>
                <w:w w:val="95"/>
              </w:rPr>
              <w:t>CHEN Di</w:t>
            </w:r>
          </w:p>
        </w:tc>
        <w:tc>
          <w:tcPr>
            <w:tcW w:w="40" w:type="dxa"/>
            <w:vAlign w:val="bottom"/>
            <w:tcBorders>
              <w:bottom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825"/>
        </w:trPr>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gridSpan w:val="3"/>
          </w:tcPr>
          <w:p>
            <w:pPr>
              <w:ind w:left="20"/>
              <w:spacing w:after="0"/>
              <w:rPr>
                <w:sz w:val="20"/>
                <w:szCs w:val="20"/>
                <w:color w:val="auto"/>
              </w:rPr>
            </w:pPr>
            <w:r>
              <w:rPr>
                <w:rFonts w:ascii="Arial" w:cs="Arial" w:eastAsia="Arial" w:hAnsi="Arial"/>
                <w:sz w:val="20"/>
                <w:szCs w:val="20"/>
                <w:b w:val="1"/>
                <w:bCs w:val="1"/>
                <w:color w:val="auto"/>
              </w:rPr>
              <w:t>Annex II Shareholding Structure</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89"/>
        </w:trPr>
        <w:tc>
          <w:tcPr>
            <w:tcW w:w="6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4"/>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1"/>
              </w:rPr>
              <w:t>S/N</w:t>
            </w:r>
          </w:p>
        </w:tc>
        <w:tc>
          <w:tcPr>
            <w:tcW w:w="3600" w:type="dxa"/>
            <w:vAlign w:val="bottom"/>
            <w:tcBorders>
              <w:bottom w:val="single" w:sz="8" w:color="auto"/>
            </w:tcBorders>
            <w:gridSpan w:val="4"/>
          </w:tcPr>
          <w:p>
            <w:pPr>
              <w:jc w:val="center"/>
              <w:ind w:left="1997"/>
              <w:spacing w:after="0" w:line="192" w:lineRule="exact"/>
              <w:rPr>
                <w:sz w:val="20"/>
                <w:szCs w:val="20"/>
                <w:color w:val="auto"/>
              </w:rPr>
            </w:pPr>
            <w:r>
              <w:rPr>
                <w:rFonts w:ascii="Arial" w:cs="Arial" w:eastAsia="Arial" w:hAnsi="Arial"/>
                <w:sz w:val="17"/>
                <w:szCs w:val="17"/>
                <w:color w:val="auto"/>
                <w:w w:val="86"/>
              </w:rPr>
              <w:t>Name of Shareholders</w:t>
            </w:r>
          </w:p>
        </w:tc>
        <w:tc>
          <w:tcPr>
            <w:tcW w:w="208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tcPr>
          <w:p>
            <w:pPr>
              <w:ind w:left="420"/>
              <w:spacing w:after="0" w:line="192" w:lineRule="exact"/>
              <w:rPr>
                <w:sz w:val="20"/>
                <w:szCs w:val="20"/>
                <w:color w:val="auto"/>
              </w:rPr>
            </w:pPr>
            <w:r>
              <w:rPr>
                <w:rFonts w:ascii="Arial" w:cs="Arial" w:eastAsia="Arial" w:hAnsi="Arial"/>
                <w:sz w:val="17"/>
                <w:szCs w:val="17"/>
                <w:color w:val="auto"/>
                <w:w w:val="95"/>
              </w:rPr>
              <w:t>Amount of Contribution</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ind w:left="640"/>
              <w:spacing w:after="0" w:line="192" w:lineRule="exact"/>
              <w:rPr>
                <w:sz w:val="20"/>
                <w:szCs w:val="20"/>
                <w:color w:val="auto"/>
              </w:rPr>
            </w:pPr>
            <w:r>
              <w:rPr>
                <w:rFonts w:ascii="Arial" w:cs="Arial" w:eastAsia="Arial" w:hAnsi="Arial"/>
                <w:sz w:val="17"/>
                <w:szCs w:val="17"/>
                <w:color w:val="auto"/>
              </w:rPr>
              <w:t>Equity Proportion</w:t>
            </w: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2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57"/>
              <w:spacing w:after="0" w:line="192" w:lineRule="exact"/>
              <w:rPr>
                <w:sz w:val="20"/>
                <w:szCs w:val="20"/>
                <w:color w:val="auto"/>
              </w:rPr>
            </w:pPr>
            <w:r>
              <w:rPr>
                <w:rFonts w:ascii="Arial" w:cs="Arial" w:eastAsia="Arial" w:hAnsi="Arial"/>
                <w:sz w:val="17"/>
                <w:szCs w:val="17"/>
                <w:color w:val="auto"/>
              </w:rPr>
              <w:t>LI Ming</w:t>
            </w: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tcPr>
          <w:p>
            <w:pPr>
              <w:jc w:val="center"/>
              <w:ind w:left="237"/>
              <w:spacing w:after="0" w:line="192" w:lineRule="exact"/>
              <w:rPr>
                <w:sz w:val="20"/>
                <w:szCs w:val="20"/>
                <w:color w:val="auto"/>
              </w:rPr>
            </w:pPr>
            <w:r>
              <w:rPr>
                <w:rFonts w:ascii="Arial" w:cs="Arial" w:eastAsia="Arial" w:hAnsi="Arial"/>
                <w:sz w:val="17"/>
                <w:szCs w:val="17"/>
                <w:color w:val="auto"/>
                <w:w w:val="84"/>
              </w:rPr>
              <w:t>190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95%</w:t>
            </w: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2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77"/>
              <w:spacing w:after="0" w:line="192" w:lineRule="exact"/>
              <w:rPr>
                <w:sz w:val="20"/>
                <w:szCs w:val="20"/>
                <w:color w:val="auto"/>
              </w:rPr>
            </w:pPr>
            <w:r>
              <w:rPr>
                <w:rFonts w:ascii="Arial" w:cs="Arial" w:eastAsia="Arial" w:hAnsi="Arial"/>
                <w:sz w:val="17"/>
                <w:szCs w:val="17"/>
                <w:color w:val="auto"/>
                <w:w w:val="95"/>
              </w:rPr>
              <w:t>CHEN Di</w:t>
            </w: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tcPr>
          <w:p>
            <w:pPr>
              <w:jc w:val="center"/>
              <w:ind w:left="237"/>
              <w:spacing w:after="0" w:line="192" w:lineRule="exact"/>
              <w:rPr>
                <w:sz w:val="20"/>
                <w:szCs w:val="20"/>
                <w:color w:val="auto"/>
              </w:rPr>
            </w:pPr>
            <w:r>
              <w:rPr>
                <w:rFonts w:ascii="Arial" w:cs="Arial" w:eastAsia="Arial" w:hAnsi="Arial"/>
                <w:sz w:val="17"/>
                <w:szCs w:val="17"/>
                <w:color w:val="auto"/>
                <w:w w:val="84"/>
              </w:rPr>
              <w:t>10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5%</w:t>
            </w:r>
          </w:p>
        </w:tc>
      </w:tr>
      <w:tr>
        <w:trPr>
          <w:trHeight w:val="192"/>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77"/>
              <w:spacing w:after="0" w:line="192" w:lineRule="exact"/>
              <w:rPr>
                <w:sz w:val="20"/>
                <w:szCs w:val="20"/>
                <w:color w:val="auto"/>
              </w:rPr>
            </w:pPr>
            <w:r>
              <w:rPr>
                <w:rFonts w:ascii="Arial" w:cs="Arial" w:eastAsia="Arial" w:hAnsi="Arial"/>
                <w:sz w:val="17"/>
                <w:szCs w:val="17"/>
                <w:color w:val="auto"/>
                <w:w w:val="89"/>
              </w:rPr>
              <w:t>Total</w:t>
            </w: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tcPr>
          <w:p>
            <w:pPr>
              <w:jc w:val="center"/>
              <w:ind w:left="237"/>
              <w:spacing w:after="0" w:line="192" w:lineRule="exact"/>
              <w:rPr>
                <w:sz w:val="20"/>
                <w:szCs w:val="20"/>
                <w:color w:val="auto"/>
              </w:rPr>
            </w:pPr>
            <w:r>
              <w:rPr>
                <w:rFonts w:ascii="Arial" w:cs="Arial" w:eastAsia="Arial" w:hAnsi="Arial"/>
                <w:sz w:val="17"/>
                <w:szCs w:val="17"/>
                <w:color w:val="auto"/>
                <w:w w:val="84"/>
              </w:rPr>
              <w:t>200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7"/>
              </w:rPr>
              <w:t>100%</w:t>
            </w:r>
          </w:p>
        </w:tc>
      </w:tr>
    </w:tbl>
    <w:p>
      <w:pPr>
        <w:spacing w:after="0" w:line="200" w:lineRule="exact"/>
        <w:rPr>
          <w:sz w:val="20"/>
          <w:szCs w:val="20"/>
          <w:color w:val="auto"/>
        </w:rPr>
      </w:pPr>
    </w:p>
    <w:p>
      <w:pPr>
        <w:spacing w:after="0" w:line="373"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Annex III Form of Party C’s Shareholders’ Register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Company: Tianjin Shangde Online Education Technology Co., Ltd.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1740" w:type="dxa"/>
            <w:vAlign w:val="bottom"/>
            <w:tcBorders>
              <w:top w:val="single" w:sz="8" w:color="auto"/>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88"/>
              </w:rPr>
              <w:t>Full name of the</w:t>
            </w:r>
          </w:p>
        </w:tc>
        <w:tc>
          <w:tcPr>
            <w:tcW w:w="60" w:type="dxa"/>
            <w:vAlign w:val="bottom"/>
            <w:tcBorders>
              <w:top w:val="single" w:sz="8" w:color="auto"/>
            </w:tcBorders>
          </w:tcPr>
          <w:p>
            <w:pPr>
              <w:spacing w:after="0"/>
              <w:rPr>
                <w:sz w:val="21"/>
                <w:szCs w:val="21"/>
                <w:color w:val="auto"/>
              </w:rPr>
            </w:pPr>
          </w:p>
        </w:tc>
        <w:tc>
          <w:tcPr>
            <w:tcW w:w="820" w:type="dxa"/>
            <w:vAlign w:val="bottom"/>
            <w:tcBorders>
              <w:top w:val="single" w:sz="8" w:color="auto"/>
              <w:right w:val="single" w:sz="8" w:color="auto"/>
            </w:tcBorders>
            <w:gridSpan w:val="4"/>
          </w:tcPr>
          <w:p>
            <w:pPr>
              <w:jc w:val="right"/>
              <w:ind w:right="17"/>
              <w:spacing w:after="0"/>
              <w:rPr>
                <w:sz w:val="20"/>
                <w:szCs w:val="20"/>
                <w:color w:val="auto"/>
              </w:rPr>
            </w:pPr>
            <w:r>
              <w:rPr>
                <w:rFonts w:ascii="Arial" w:cs="Arial" w:eastAsia="Arial" w:hAnsi="Arial"/>
                <w:sz w:val="17"/>
                <w:szCs w:val="17"/>
                <w:b w:val="1"/>
                <w:bCs w:val="1"/>
                <w:color w:val="auto"/>
                <w:w w:val="98"/>
              </w:rPr>
              <w:t>[LI Ming]</w:t>
            </w:r>
          </w:p>
        </w:tc>
        <w:tc>
          <w:tcPr>
            <w:tcW w:w="2140" w:type="dxa"/>
            <w:vAlign w:val="bottom"/>
            <w:tcBorders>
              <w:top w:val="single" w:sz="8" w:color="auto"/>
              <w:right w:val="single" w:sz="8" w:color="auto"/>
            </w:tcBorders>
            <w:gridSpan w:val="6"/>
          </w:tcPr>
          <w:p>
            <w:pPr>
              <w:jc w:val="right"/>
              <w:ind w:right="77"/>
              <w:spacing w:after="0"/>
              <w:rPr>
                <w:sz w:val="20"/>
                <w:szCs w:val="20"/>
                <w:color w:val="auto"/>
              </w:rPr>
            </w:pPr>
            <w:r>
              <w:rPr>
                <w:rFonts w:ascii="Arial" w:cs="Arial" w:eastAsia="Arial" w:hAnsi="Arial"/>
                <w:sz w:val="17"/>
                <w:szCs w:val="17"/>
                <w:b w:val="1"/>
                <w:bCs w:val="1"/>
                <w:color w:val="auto"/>
                <w:w w:val="97"/>
              </w:rPr>
              <w:t>ID Card No./ Registration</w:t>
            </w:r>
          </w:p>
        </w:tc>
        <w:tc>
          <w:tcPr>
            <w:tcW w:w="2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ind w:left="240"/>
              <w:spacing w:after="0"/>
              <w:rPr>
                <w:sz w:val="20"/>
                <w:szCs w:val="20"/>
                <w:color w:val="auto"/>
              </w:rPr>
            </w:pPr>
            <w:r>
              <w:rPr>
                <w:rFonts w:ascii="Arial" w:cs="Arial" w:eastAsia="Arial" w:hAnsi="Arial"/>
                <w:sz w:val="17"/>
                <w:szCs w:val="17"/>
                <w:b w:val="1"/>
                <w:bCs w:val="1"/>
                <w:color w:val="auto"/>
                <w:w w:val="88"/>
              </w:rPr>
              <w:t>[]Occupa tion/]</w:t>
            </w:r>
          </w:p>
        </w:tc>
        <w:tc>
          <w:tcPr>
            <w:tcW w:w="80" w:type="dxa"/>
            <w:vAlign w:val="bottom"/>
            <w:tcBorders>
              <w:top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Identity</w:t>
            </w:r>
          </w:p>
        </w:tc>
        <w:tc>
          <w:tcPr>
            <w:tcW w:w="620" w:type="dxa"/>
            <w:vAlign w:val="bottom"/>
            <w:tcBorders>
              <w:top w:val="single" w:sz="8" w:color="auto"/>
            </w:tcBorders>
          </w:tcPr>
          <w:p>
            <w:pPr>
              <w:spacing w:after="0"/>
              <w:rPr>
                <w:sz w:val="21"/>
                <w:szCs w:val="21"/>
                <w:color w:val="auto"/>
              </w:rPr>
            </w:pPr>
          </w:p>
        </w:tc>
        <w:tc>
          <w:tcPr>
            <w:tcW w:w="2100" w:type="dxa"/>
            <w:vAlign w:val="bottom"/>
            <w:tcBorders>
              <w:top w:val="single" w:sz="8" w:color="auto"/>
              <w:right w:val="single" w:sz="8" w:color="auto"/>
            </w:tcBorders>
            <w:gridSpan w:val="3"/>
          </w:tcPr>
          <w:p>
            <w:pPr>
              <w:jc w:val="right"/>
              <w:ind w:right="740"/>
              <w:spacing w:after="0"/>
              <w:rPr>
                <w:sz w:val="20"/>
                <w:szCs w:val="20"/>
                <w:color w:val="auto"/>
              </w:rPr>
            </w:pPr>
            <w:r>
              <w:rPr>
                <w:rFonts w:ascii="Arial" w:cs="Arial" w:eastAsia="Arial" w:hAnsi="Arial"/>
                <w:sz w:val="17"/>
                <w:szCs w:val="17"/>
                <w:b w:val="1"/>
                <w:bCs w:val="1"/>
                <w:color w:val="auto"/>
                <w:w w:val="89"/>
              </w:rPr>
              <w:t>Executive Director</w:t>
            </w:r>
          </w:p>
        </w:tc>
        <w:tc>
          <w:tcPr>
            <w:tcW w:w="20" w:type="dxa"/>
            <w:vAlign w:val="bottom"/>
          </w:tcPr>
          <w:p>
            <w:pPr>
              <w:spacing w:after="0"/>
              <w:rPr>
                <w:sz w:val="21"/>
                <w:szCs w:val="21"/>
                <w:color w:val="auto"/>
              </w:rPr>
            </w:pPr>
          </w:p>
        </w:tc>
      </w:tr>
      <w:tr>
        <w:trPr>
          <w:trHeight w:val="216"/>
        </w:trPr>
        <w:tc>
          <w:tcPr>
            <w:tcW w:w="174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88"/>
              </w:rPr>
              <w:t>Shareholder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Borders>
              <w:right w:val="single" w:sz="8" w:color="auto"/>
            </w:tcBorders>
            <w:gridSpan w:val="4"/>
          </w:tcPr>
          <w:p>
            <w:pPr>
              <w:jc w:val="right"/>
              <w:ind w:right="877"/>
              <w:spacing w:after="0"/>
              <w:rPr>
                <w:sz w:val="20"/>
                <w:szCs w:val="20"/>
                <w:color w:val="auto"/>
              </w:rPr>
            </w:pPr>
            <w:r>
              <w:rPr>
                <w:rFonts w:ascii="Arial" w:cs="Arial" w:eastAsia="Arial" w:hAnsi="Arial"/>
                <w:sz w:val="17"/>
                <w:szCs w:val="17"/>
                <w:b w:val="1"/>
                <w:bCs w:val="1"/>
                <w:color w:val="auto"/>
              </w:rPr>
              <w:t>No.</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6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1800" w:type="dxa"/>
            <w:vAlign w:val="bottom"/>
            <w:tcBorders>
              <w:left w:val="single" w:sz="8" w:color="auto"/>
            </w:tcBorders>
            <w:gridSpan w:val="3"/>
          </w:tcPr>
          <w:p>
            <w:pPr>
              <w:ind w:left="380"/>
              <w:spacing w:after="0"/>
              <w:rPr>
                <w:sz w:val="20"/>
                <w:szCs w:val="20"/>
                <w:color w:val="auto"/>
              </w:rPr>
            </w:pPr>
            <w:r>
              <w:rPr>
                <w:rFonts w:ascii="Arial" w:cs="Arial" w:eastAsia="Arial" w:hAnsi="Arial"/>
                <w:sz w:val="17"/>
                <w:szCs w:val="17"/>
                <w:b w:val="1"/>
                <w:bCs w:val="1"/>
                <w:color w:val="auto"/>
                <w:w w:val="85"/>
              </w:rPr>
              <w:t>Address of Domicile</w:t>
            </w:r>
          </w:p>
        </w:tc>
        <w:tc>
          <w:tcPr>
            <w:tcW w:w="1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center"/>
              <w:ind w:right="418"/>
              <w:spacing w:after="0"/>
              <w:rPr>
                <w:sz w:val="20"/>
                <w:szCs w:val="20"/>
                <w:color w:val="auto"/>
              </w:rPr>
            </w:pPr>
            <w:r>
              <w:rPr>
                <w:rFonts w:ascii="Arial" w:cs="Arial" w:eastAsia="Arial" w:hAnsi="Arial"/>
                <w:sz w:val="16"/>
                <w:szCs w:val="16"/>
                <w:b w:val="1"/>
                <w:bCs w:val="1"/>
                <w:color w:val="auto"/>
                <w:w w:val="74"/>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0"/>
        </w:trPr>
        <w:tc>
          <w:tcPr>
            <w:tcW w:w="16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174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86"/>
              </w:rPr>
              <w:t>Date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6"/>
          </w:tcPr>
          <w:p>
            <w:pPr>
              <w:jc w:val="center"/>
              <w:spacing w:after="0"/>
              <w:rPr>
                <w:sz w:val="20"/>
                <w:szCs w:val="20"/>
                <w:color w:val="auto"/>
              </w:rPr>
            </w:pPr>
            <w:r>
              <w:rPr>
                <w:rFonts w:ascii="Arial" w:cs="Arial" w:eastAsia="Arial" w:hAnsi="Arial"/>
                <w:sz w:val="17"/>
                <w:szCs w:val="17"/>
                <w:b w:val="1"/>
                <w:bCs w:val="1"/>
                <w:color w:val="auto"/>
                <w:w w:val="92"/>
              </w:rPr>
              <w:t>Contribution Amount/</w:t>
            </w:r>
          </w:p>
        </w:tc>
        <w:tc>
          <w:tcPr>
            <w:tcW w:w="1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gridSpan w:val="4"/>
          </w:tcPr>
          <w:p>
            <w:pPr>
              <w:jc w:val="right"/>
              <w:ind w:right="237"/>
              <w:spacing w:after="0"/>
              <w:rPr>
                <w:sz w:val="20"/>
                <w:szCs w:val="20"/>
                <w:color w:val="auto"/>
              </w:rPr>
            </w:pPr>
            <w:r>
              <w:rPr>
                <w:rFonts w:ascii="Arial" w:cs="Arial" w:eastAsia="Arial" w:hAnsi="Arial"/>
                <w:sz w:val="17"/>
                <w:szCs w:val="17"/>
                <w:b w:val="1"/>
                <w:bCs w:val="1"/>
                <w:color w:val="auto"/>
                <w:w w:val="98"/>
              </w:rPr>
              <w:t>Shareholding Percentage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ind w:right="177"/>
              <w:spacing w:after="0"/>
              <w:rPr>
                <w:sz w:val="20"/>
                <w:szCs w:val="20"/>
                <w:color w:val="auto"/>
              </w:rPr>
            </w:pPr>
            <w:r>
              <w:rPr>
                <w:rFonts w:ascii="Arial" w:cs="Arial" w:eastAsia="Arial" w:hAnsi="Arial"/>
                <w:sz w:val="17"/>
                <w:szCs w:val="17"/>
                <w:b w:val="1"/>
                <w:bCs w:val="1"/>
                <w:color w:val="auto"/>
                <w:w w:val="89"/>
              </w:rPr>
              <w:t>Note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5"/>
          </w:tcPr>
          <w:p>
            <w:pPr>
              <w:jc w:val="center"/>
              <w:ind w:right="157"/>
              <w:spacing w:after="0"/>
              <w:rPr>
                <w:sz w:val="20"/>
                <w:szCs w:val="20"/>
                <w:color w:val="auto"/>
              </w:rPr>
            </w:pPr>
            <w:r>
              <w:rPr>
                <w:rFonts w:ascii="Arial" w:cs="Arial" w:eastAsia="Arial" w:hAnsi="Arial"/>
                <w:sz w:val="17"/>
                <w:szCs w:val="17"/>
                <w:b w:val="1"/>
                <w:bCs w:val="1"/>
                <w:color w:val="auto"/>
                <w:w w:val="89"/>
              </w:rPr>
              <w:t>Consideration</w:t>
            </w: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6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9"/>
        </w:trPr>
        <w:tc>
          <w:tcPr>
            <w:tcW w:w="1680" w:type="dxa"/>
            <w:vAlign w:val="bottom"/>
            <w:tcBorders>
              <w:left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5"/>
          </w:tcPr>
          <w:p>
            <w:pPr>
              <w:jc w:val="center"/>
              <w:ind w:right="157"/>
              <w:spacing w:after="0"/>
              <w:rPr>
                <w:sz w:val="20"/>
                <w:szCs w:val="20"/>
                <w:color w:val="auto"/>
              </w:rPr>
            </w:pPr>
            <w:r>
              <w:rPr>
                <w:rFonts w:ascii="Arial" w:cs="Arial" w:eastAsia="Arial" w:hAnsi="Arial"/>
                <w:sz w:val="17"/>
                <w:szCs w:val="17"/>
                <w:color w:val="auto"/>
                <w:w w:val="94"/>
              </w:rPr>
              <w:t>CNY [190]</w:t>
            </w:r>
          </w:p>
        </w:tc>
        <w:tc>
          <w:tcPr>
            <w:tcW w:w="1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617"/>
              <w:spacing w:after="0"/>
              <w:rPr>
                <w:sz w:val="20"/>
                <w:szCs w:val="20"/>
                <w:color w:val="auto"/>
              </w:rPr>
            </w:pPr>
            <w:r>
              <w:rPr>
                <w:rFonts w:ascii="Arial" w:cs="Arial" w:eastAsia="Arial" w:hAnsi="Arial"/>
                <w:sz w:val="17"/>
                <w:szCs w:val="17"/>
                <w:color w:val="auto"/>
              </w:rPr>
              <w:t>95]%</w:t>
            </w:r>
          </w:p>
        </w:tc>
        <w:tc>
          <w:tcPr>
            <w:tcW w:w="320" w:type="dxa"/>
            <w:vAlign w:val="bottom"/>
          </w:tcPr>
          <w:p>
            <w:pPr>
              <w:spacing w:after="0"/>
              <w:rPr>
                <w:sz w:val="19"/>
                <w:szCs w:val="19"/>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w w:val="89"/>
              </w:rPr>
              <w:t>100% of the equity being pledged to [</w:t>
            </w:r>
          </w:p>
        </w:tc>
        <w:tc>
          <w:tcPr>
            <w:tcW w:w="2100" w:type="dxa"/>
            <w:vAlign w:val="bottom"/>
            <w:tcBorders>
              <w:right w:val="single" w:sz="8" w:color="auto"/>
            </w:tcBorders>
            <w:gridSpan w:val="3"/>
          </w:tcPr>
          <w:p>
            <w:pPr>
              <w:jc w:val="right"/>
              <w:ind w:right="380"/>
              <w:spacing w:after="0"/>
              <w:rPr>
                <w:sz w:val="20"/>
                <w:szCs w:val="20"/>
                <w:color w:val="auto"/>
              </w:rPr>
            </w:pPr>
            <w:r>
              <w:rPr>
                <w:rFonts w:ascii="Arial" w:cs="Arial" w:eastAsia="Arial" w:hAnsi="Arial"/>
                <w:sz w:val="17"/>
                <w:szCs w:val="17"/>
                <w:color w:val="auto"/>
                <w:w w:val="95"/>
              </w:rPr>
              <w:t>Wuhan Studyvip Online</w:t>
            </w:r>
          </w:p>
        </w:tc>
        <w:tc>
          <w:tcPr>
            <w:tcW w:w="20" w:type="dxa"/>
            <w:vAlign w:val="bottom"/>
          </w:tcPr>
          <w:p>
            <w:pPr>
              <w:spacing w:after="0"/>
              <w:rPr>
                <w:sz w:val="19"/>
                <w:szCs w:val="19"/>
                <w:color w:val="auto"/>
              </w:rPr>
            </w:pPr>
          </w:p>
        </w:tc>
      </w:tr>
      <w:tr>
        <w:trPr>
          <w:trHeight w:val="212"/>
        </w:trPr>
        <w:tc>
          <w:tcPr>
            <w:tcW w:w="168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tcPr>
          <w:p>
            <w:pPr>
              <w:ind w:left="300"/>
              <w:spacing w:after="0"/>
              <w:rPr>
                <w:sz w:val="20"/>
                <w:szCs w:val="20"/>
                <w:color w:val="auto"/>
              </w:rPr>
            </w:pPr>
            <w:r>
              <w:rPr>
                <w:rFonts w:ascii="Arial" w:cs="Arial" w:eastAsia="Arial" w:hAnsi="Arial"/>
                <w:sz w:val="17"/>
                <w:szCs w:val="17"/>
                <w:color w:val="auto"/>
                <w:w w:val="99"/>
              </w:rPr>
              <w:t>Education Co., Limited</w:t>
            </w:r>
          </w:p>
        </w:tc>
        <w:tc>
          <w:tcPr>
            <w:tcW w:w="1780" w:type="dxa"/>
            <w:vAlign w:val="bottom"/>
            <w:tcBorders>
              <w:right w:val="single" w:sz="8" w:color="auto"/>
            </w:tcBorders>
            <w:gridSpan w:val="2"/>
          </w:tcPr>
          <w:p>
            <w:pPr>
              <w:jc w:val="right"/>
              <w:ind w:right="15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50"/>
        </w:trPr>
        <w:tc>
          <w:tcPr>
            <w:tcW w:w="16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91"/>
        </w:trPr>
        <w:tc>
          <w:tcPr>
            <w:tcW w:w="1800" w:type="dxa"/>
            <w:vAlign w:val="bottom"/>
            <w:tcBorders>
              <w:bottom w:val="single" w:sz="8" w:color="auto"/>
            </w:tcBorders>
            <w:gridSpan w:val="3"/>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Full name of the</w:t>
            </w:r>
          </w:p>
        </w:tc>
        <w:tc>
          <w:tcPr>
            <w:tcW w:w="120" w:type="dxa"/>
            <w:vAlign w:val="bottom"/>
            <w:gridSpan w:val="2"/>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4"/>
          </w:tcPr>
          <w:p>
            <w:pPr>
              <w:ind w:left="100"/>
              <w:spacing w:after="0"/>
              <w:rPr>
                <w:sz w:val="20"/>
                <w:szCs w:val="20"/>
                <w:color w:val="auto"/>
              </w:rPr>
            </w:pPr>
            <w:r>
              <w:rPr>
                <w:rFonts w:ascii="Arial" w:cs="Arial" w:eastAsia="Arial" w:hAnsi="Arial"/>
                <w:sz w:val="17"/>
                <w:szCs w:val="17"/>
                <w:b w:val="1"/>
                <w:bCs w:val="1"/>
                <w:color w:val="auto"/>
                <w:w w:val="94"/>
              </w:rPr>
              <w:t>CHEN Di</w:t>
            </w:r>
          </w:p>
        </w:tc>
        <w:tc>
          <w:tcPr>
            <w:tcW w:w="580" w:type="dxa"/>
            <w:vAlign w:val="bottom"/>
            <w:tcBorders>
              <w:right w:val="single" w:sz="8" w:color="auto"/>
            </w:tcBorders>
          </w:tcPr>
          <w:p>
            <w:pPr>
              <w:jc w:val="center"/>
              <w:ind w:left="78"/>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w w:val="94"/>
              </w:rPr>
              <w:t>ID Card No./</w:t>
            </w:r>
          </w:p>
        </w:tc>
        <w:tc>
          <w:tcPr>
            <w:tcW w:w="220" w:type="dxa"/>
            <w:vAlign w:val="bottom"/>
            <w:tcBorders>
              <w:right w:val="single" w:sz="8" w:color="auto"/>
            </w:tcBorders>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20" w:type="dxa"/>
            <w:vAlign w:val="bottom"/>
            <w:gridSpan w:val="3"/>
          </w:tcPr>
          <w:p>
            <w:pPr>
              <w:ind w:left="360"/>
              <w:spacing w:after="0"/>
              <w:rPr>
                <w:sz w:val="20"/>
                <w:szCs w:val="20"/>
                <w:color w:val="auto"/>
              </w:rPr>
            </w:pPr>
            <w:r>
              <w:rPr>
                <w:rFonts w:ascii="Arial" w:cs="Arial" w:eastAsia="Arial" w:hAnsi="Arial"/>
                <w:sz w:val="17"/>
                <w:szCs w:val="17"/>
                <w:b w:val="1"/>
                <w:bCs w:val="1"/>
                <w:color w:val="auto"/>
              </w:rPr>
              <w:t>Occupation/ Identity</w:t>
            </w:r>
          </w:p>
        </w:tc>
        <w:tc>
          <w:tcPr>
            <w:tcW w:w="2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Shareholder</w:t>
            </w:r>
          </w:p>
        </w:tc>
        <w:tc>
          <w:tcPr>
            <w:tcW w:w="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b w:val="1"/>
                <w:bCs w:val="1"/>
                <w:color w:val="auto"/>
                <w:w w:val="91"/>
              </w:rPr>
              <w:t>Registration No.</w:t>
            </w:r>
          </w:p>
        </w:tc>
        <w:tc>
          <w:tcPr>
            <w:tcW w:w="22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680" w:type="dxa"/>
            <w:vAlign w:val="bottom"/>
            <w:tcBorders>
              <w:left w:val="single" w:sz="8" w:color="auto"/>
              <w:bottom w:val="single" w:sz="8" w:color="auto"/>
              <w:right w:val="single" w:sz="8" w:color="auto"/>
            </w:tcBorders>
          </w:tcPr>
          <w:p>
            <w:pPr>
              <w:spacing w:after="0"/>
              <w:rPr>
                <w:sz w:val="4"/>
                <w:szCs w:val="4"/>
                <w:color w:val="auto"/>
              </w:rPr>
            </w:pPr>
          </w:p>
        </w:tc>
        <w:tc>
          <w:tcPr>
            <w:tcW w:w="300" w:type="dxa"/>
            <w:vAlign w:val="bottom"/>
            <w:tcBorders>
              <w:bottom w:val="single" w:sz="8" w:color="auto"/>
            </w:tcBorders>
            <w:gridSpan w:val="3"/>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1980" w:type="dxa"/>
            <w:vAlign w:val="bottom"/>
            <w:tcBorders>
              <w:left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Address of Domicile</w:t>
            </w:r>
          </w:p>
        </w:tc>
        <w:tc>
          <w:tcPr>
            <w:tcW w:w="2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1"/>
                <w:szCs w:val="21"/>
                <w:color w:val="auto"/>
              </w:rPr>
            </w:pPr>
          </w:p>
        </w:tc>
        <w:tc>
          <w:tcPr>
            <w:tcW w:w="580" w:type="dxa"/>
            <w:vAlign w:val="bottom"/>
          </w:tcPr>
          <w:p>
            <w:pPr>
              <w:jc w:val="center"/>
              <w:ind w:left="78"/>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0"/>
        </w:trPr>
        <w:tc>
          <w:tcPr>
            <w:tcW w:w="16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right w:val="single" w:sz="8" w:color="auto"/>
            </w:tcBorders>
            <w:gridSpan w:val="3"/>
          </w:tcPr>
          <w:p>
            <w:pPr>
              <w:spacing w:after="0"/>
              <w:rPr>
                <w:sz w:val="4"/>
                <w:szCs w:val="4"/>
                <w:color w:val="auto"/>
              </w:rPr>
            </w:pPr>
          </w:p>
        </w:tc>
        <w:tc>
          <w:tcPr>
            <w:tcW w:w="82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Date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7"/>
          </w:tcPr>
          <w:p>
            <w:pPr>
              <w:ind w:left="120"/>
              <w:spacing w:after="0"/>
              <w:rPr>
                <w:sz w:val="20"/>
                <w:szCs w:val="20"/>
                <w:color w:val="auto"/>
              </w:rPr>
            </w:pPr>
            <w:r>
              <w:rPr>
                <w:rFonts w:ascii="Arial" w:cs="Arial" w:eastAsia="Arial" w:hAnsi="Arial"/>
                <w:sz w:val="17"/>
                <w:szCs w:val="17"/>
                <w:b w:val="1"/>
                <w:bCs w:val="1"/>
                <w:color w:val="auto"/>
                <w:w w:val="96"/>
              </w:rPr>
              <w:t>Contribution Amount/</w:t>
            </w: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gridSpan w:val="5"/>
          </w:tcPr>
          <w:p>
            <w:pPr>
              <w:ind w:left="440"/>
              <w:spacing w:after="0"/>
              <w:rPr>
                <w:sz w:val="20"/>
                <w:szCs w:val="20"/>
                <w:color w:val="auto"/>
              </w:rPr>
            </w:pPr>
            <w:r>
              <w:rPr>
                <w:rFonts w:ascii="Arial" w:cs="Arial" w:eastAsia="Arial" w:hAnsi="Arial"/>
                <w:sz w:val="17"/>
                <w:szCs w:val="17"/>
                <w:b w:val="1"/>
                <w:bCs w:val="1"/>
                <w:color w:val="auto"/>
              </w:rPr>
              <w:t>Shareholding Percentage</w:t>
            </w:r>
          </w:p>
        </w:tc>
        <w:tc>
          <w:tcPr>
            <w:tcW w:w="8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Note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5"/>
          </w:tcPr>
          <w:p>
            <w:pPr>
              <w:ind w:left="40"/>
              <w:spacing w:after="0"/>
              <w:rPr>
                <w:sz w:val="20"/>
                <w:szCs w:val="20"/>
                <w:color w:val="auto"/>
              </w:rPr>
            </w:pPr>
            <w:r>
              <w:rPr>
                <w:rFonts w:ascii="Arial" w:cs="Arial" w:eastAsia="Arial" w:hAnsi="Arial"/>
                <w:sz w:val="17"/>
                <w:szCs w:val="17"/>
                <w:b w:val="1"/>
                <w:bCs w:val="1"/>
                <w:color w:val="auto"/>
              </w:rPr>
              <w:t>Consideration</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68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02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9"/>
        </w:trPr>
        <w:tc>
          <w:tcPr>
            <w:tcW w:w="168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4"/>
          </w:tcPr>
          <w:p>
            <w:pPr>
              <w:ind w:left="140"/>
              <w:spacing w:after="0"/>
              <w:rPr>
                <w:sz w:val="20"/>
                <w:szCs w:val="20"/>
                <w:color w:val="auto"/>
              </w:rPr>
            </w:pPr>
            <w:r>
              <w:rPr>
                <w:rFonts w:ascii="Arial" w:cs="Arial" w:eastAsia="Arial" w:hAnsi="Arial"/>
                <w:sz w:val="17"/>
                <w:szCs w:val="17"/>
                <w:color w:val="auto"/>
              </w:rPr>
              <w:t>CNY [</w:t>
            </w:r>
          </w:p>
        </w:tc>
        <w:tc>
          <w:tcPr>
            <w:tcW w:w="580" w:type="dxa"/>
            <w:vAlign w:val="bottom"/>
          </w:tcPr>
          <w:p>
            <w:pPr>
              <w:jc w:val="center"/>
              <w:ind w:left="58"/>
              <w:spacing w:after="0"/>
              <w:rPr>
                <w:sz w:val="20"/>
                <w:szCs w:val="20"/>
                <w:color w:val="auto"/>
              </w:rPr>
            </w:pPr>
            <w:r>
              <w:rPr>
                <w:rFonts w:ascii="Arial" w:cs="Arial" w:eastAsia="Arial" w:hAnsi="Arial"/>
                <w:sz w:val="17"/>
                <w:szCs w:val="17"/>
                <w:color w:val="auto"/>
              </w:rPr>
              <w:t>10   ]</w:t>
            </w:r>
          </w:p>
        </w:tc>
        <w:tc>
          <w:tcPr>
            <w:tcW w:w="3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77"/>
              <w:spacing w:after="0"/>
              <w:rPr>
                <w:sz w:val="20"/>
                <w:szCs w:val="20"/>
                <w:color w:val="auto"/>
              </w:rPr>
            </w:pPr>
            <w:r>
              <w:rPr>
                <w:rFonts w:ascii="Arial" w:cs="Arial" w:eastAsia="Arial" w:hAnsi="Arial"/>
                <w:sz w:val="17"/>
                <w:szCs w:val="17"/>
                <w:color w:val="auto"/>
              </w:rPr>
              <w:t>5 ]%</w:t>
            </w:r>
          </w:p>
        </w:tc>
        <w:tc>
          <w:tcPr>
            <w:tcW w:w="3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840" w:type="dxa"/>
            <w:vAlign w:val="bottom"/>
            <w:gridSpan w:val="5"/>
          </w:tcPr>
          <w:p>
            <w:pPr>
              <w:ind w:left="120"/>
              <w:spacing w:after="0"/>
              <w:rPr>
                <w:sz w:val="20"/>
                <w:szCs w:val="20"/>
                <w:color w:val="auto"/>
              </w:rPr>
            </w:pPr>
            <w:r>
              <w:rPr>
                <w:rFonts w:ascii="Arial" w:cs="Arial" w:eastAsia="Arial" w:hAnsi="Arial"/>
                <w:sz w:val="17"/>
                <w:szCs w:val="17"/>
                <w:color w:val="auto"/>
                <w:w w:val="96"/>
              </w:rPr>
              <w:t>100% of the equity being pledged to [</w:t>
            </w:r>
          </w:p>
        </w:tc>
        <w:tc>
          <w:tcPr>
            <w:tcW w:w="1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90"/>
              </w:rPr>
              <w:t>Wuhan Studyvip Online</w:t>
            </w:r>
          </w:p>
        </w:tc>
        <w:tc>
          <w:tcPr>
            <w:tcW w:w="20" w:type="dxa"/>
            <w:vAlign w:val="bottom"/>
          </w:tcPr>
          <w:p>
            <w:pPr>
              <w:spacing w:after="0"/>
              <w:rPr>
                <w:sz w:val="19"/>
                <w:szCs w:val="19"/>
                <w:color w:val="auto"/>
              </w:rPr>
            </w:pPr>
          </w:p>
        </w:tc>
      </w:tr>
      <w:tr>
        <w:trPr>
          <w:trHeight w:val="212"/>
        </w:trPr>
        <w:tc>
          <w:tcPr>
            <w:tcW w:w="16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tcPr>
          <w:p>
            <w:pPr>
              <w:ind w:left="460"/>
              <w:spacing w:after="0"/>
              <w:rPr>
                <w:sz w:val="20"/>
                <w:szCs w:val="20"/>
                <w:color w:val="auto"/>
              </w:rPr>
            </w:pPr>
            <w:r>
              <w:rPr>
                <w:rFonts w:ascii="Arial" w:cs="Arial" w:eastAsia="Arial" w:hAnsi="Arial"/>
                <w:sz w:val="17"/>
                <w:szCs w:val="17"/>
                <w:color w:val="auto"/>
                <w:w w:val="90"/>
              </w:rPr>
              <w:t>Education Co., Limited</w:t>
            </w:r>
          </w:p>
        </w:tc>
        <w:tc>
          <w:tcPr>
            <w:tcW w:w="1780" w:type="dxa"/>
            <w:vAlign w:val="bottom"/>
            <w:tcBorders>
              <w:right w:val="single" w:sz="8" w:color="auto"/>
            </w:tcBorders>
            <w:gridSpan w:val="2"/>
          </w:tcPr>
          <w:p>
            <w:pPr>
              <w:jc w:val="right"/>
              <w:ind w:right="13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50"/>
        </w:trPr>
        <w:tc>
          <w:tcPr>
            <w:tcW w:w="168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695"/>
        </w:trPr>
        <w:tc>
          <w:tcPr>
            <w:tcW w:w="1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4" w:right="299" w:bottom="1440" w:gutter="0" w:footer="0" w:header="0"/>
        </w:sectPr>
      </w:pPr>
    </w:p>
    <w:bookmarkStart w:id="221" w:name="page222"/>
    <w:bookmarkEnd w:id="221"/>
    <w:p>
      <w:pPr>
        <w:spacing w:after="0"/>
        <w:rPr>
          <w:sz w:val="20"/>
          <w:szCs w:val="20"/>
          <w:color w:val="auto"/>
        </w:rPr>
      </w:pPr>
      <w:r>
        <w:rPr>
          <w:rFonts w:ascii="Arial" w:cs="Arial" w:eastAsia="Arial" w:hAnsi="Arial"/>
          <w:sz w:val="17"/>
          <w:szCs w:val="17"/>
          <w:b w:val="1"/>
          <w:bCs w:val="1"/>
          <w:color w:val="auto"/>
        </w:rPr>
        <w:t>Annotation:</w:t>
      </w:r>
    </w:p>
    <w:p>
      <w:pPr>
        <w:spacing w:after="0" w:line="203" w:lineRule="exact"/>
        <w:rPr>
          <w:sz w:val="20"/>
          <w:szCs w:val="20"/>
          <w:color w:val="auto"/>
        </w:rPr>
      </w:pPr>
    </w:p>
    <w:p>
      <w:pPr>
        <w:spacing w:after="0" w:line="257" w:lineRule="auto"/>
        <w:tabs>
          <w:tab w:leader="none" w:pos="166"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This Shareholders’ Register is prepared as per the Articles of Association of Beijing Odysseus Education Technology Co., Ltd.and the Equity Interest Pledge Agreement (the “Pledge Agreement”) was made as of the fifth day of August, 2020 and entered into by and among Beijing Odysseus Education Technology Co., Ltd. and its shareholders and Wuhan Studyvip Online Education Co., Limited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w:t>
      </w:r>
    </w:p>
    <w:p>
      <w:pPr>
        <w:spacing w:after="0" w:line="203"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b w:val="1"/>
          <w:bCs w:val="1"/>
          <w:color w:val="auto"/>
        </w:rPr>
        <w:t>This Shareholders’ Register is made in ONE (1) original and ONE (1) true and same photocopy of such original. Such ONE (1) original is placed at Tianjin Shangde Online</w:t>
      </w:r>
    </w:p>
    <w:p>
      <w:pPr>
        <w:spacing w:after="0" w:line="160" w:lineRule="exact"/>
        <w:rPr>
          <w:sz w:val="20"/>
          <w:szCs w:val="20"/>
          <w:color w:val="auto"/>
        </w:rPr>
      </w:pPr>
    </w:p>
    <w:p>
      <w:pPr>
        <w:ind w:right="440"/>
        <w:spacing w:after="0" w:line="269" w:lineRule="auto"/>
        <w:rPr>
          <w:sz w:val="20"/>
          <w:szCs w:val="20"/>
          <w:color w:val="auto"/>
        </w:rPr>
      </w:pPr>
      <w:r>
        <w:rPr>
          <w:rFonts w:ascii="Arial" w:cs="Arial" w:eastAsia="Arial" w:hAnsi="Arial"/>
          <w:sz w:val="17"/>
          <w:szCs w:val="17"/>
          <w:b w:val="1"/>
          <w:bCs w:val="1"/>
          <w:color w:val="auto"/>
        </w:rPr>
        <w:t>Education Technology Co., Ltd.; and such ONE (1) photocopy being sealed by Tianjin Shangde Online Education Technology Co., Ltd. is handed over to Wuhan Studyvip Online Education Co., Limited for custody.</w:t>
      </w:r>
    </w:p>
    <w:p>
      <w:pPr>
        <w:spacing w:after="0" w:line="160"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Beijing Odysseus Education Technology Co., Ltd. (Seal)</w:t>
      </w:r>
    </w:p>
    <w:p>
      <w:pPr>
        <w:spacing w:after="0" w:line="207" w:lineRule="exact"/>
        <w:rPr>
          <w:sz w:val="20"/>
          <w:szCs w:val="20"/>
          <w:color w:val="auto"/>
        </w:rPr>
      </w:pPr>
    </w:p>
    <w:p>
      <w:pPr>
        <w:spacing w:after="0"/>
        <w:tabs>
          <w:tab w:leader="none" w:pos="3360" w:val="left"/>
        </w:tabs>
        <w:rPr>
          <w:sz w:val="20"/>
          <w:szCs w:val="20"/>
          <w:color w:val="auto"/>
        </w:rPr>
      </w:pPr>
      <w:r>
        <w:rPr>
          <w:rFonts w:ascii="Arial" w:cs="Arial" w:eastAsia="Arial" w:hAnsi="Arial"/>
          <w:sz w:val="17"/>
          <w:szCs w:val="17"/>
          <w:color w:val="auto"/>
        </w:rPr>
        <w:t>Legal Representative (Signature):</w:t>
      </w:r>
      <w:r>
        <w:rPr>
          <w:sz w:val="20"/>
          <w:szCs w:val="20"/>
          <w:color w:val="auto"/>
        </w:rPr>
        <w:tab/>
      </w:r>
      <w:r>
        <w:rPr>
          <w:rFonts w:ascii="Arial" w:cs="Arial" w:eastAsia="Arial" w:hAnsi="Arial"/>
          <w:sz w:val="15"/>
          <w:szCs w:val="15"/>
          <w:color w:val="auto"/>
        </w:rPr>
        <w:t>/s/ LI Ming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2143760</wp:posOffset>
            </wp:positionH>
            <wp:positionV relativeFrom="paragraph">
              <wp:posOffset>10160</wp:posOffset>
            </wp:positionV>
            <wp:extent cx="124206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222" w:name="page223"/>
    <w:bookmarkEnd w:id="222"/>
    <w:p>
      <w:pPr>
        <w:jc w:val="right"/>
        <w:spacing w:after="0"/>
        <w:rPr>
          <w:sz w:val="20"/>
          <w:szCs w:val="20"/>
          <w:color w:val="auto"/>
        </w:rPr>
      </w:pPr>
      <w:r>
        <w:rPr>
          <w:rFonts w:ascii="Arial" w:cs="Arial" w:eastAsia="Arial" w:hAnsi="Arial"/>
          <w:sz w:val="17"/>
          <w:szCs w:val="17"/>
          <w:b w:val="1"/>
          <w:bCs w:val="1"/>
          <w:color w:val="auto"/>
        </w:rPr>
        <w:t>Exhibit 4.26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Agreement</w:t>
      </w:r>
    </w:p>
    <w:p>
      <w:pPr>
        <w:spacing w:after="0" w:line="20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This Option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fifth day of August,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Beijing Odysseus Education Technology Co., Ltd.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M1162, floor 1, no.1063-1, Huihe South Street, Banbidian village, Gaobeidian Township, Chaoyang District, Beijing, China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 Ming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580" w:hanging="580"/>
        <w:spacing w:after="0"/>
        <w:tabs>
          <w:tab w:leader="none" w:pos="5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Party A is a wholly foreign-owned enterprise incorporated and existing under the laws of the PRC.</w:t>
      </w:r>
    </w:p>
    <w:p>
      <w:pPr>
        <w:spacing w:after="0" w:line="203" w:lineRule="exact"/>
        <w:rPr>
          <w:rFonts w:ascii="Arial" w:cs="Arial" w:eastAsia="Arial" w:hAnsi="Arial"/>
          <w:sz w:val="17"/>
          <w:szCs w:val="17"/>
          <w:color w:val="auto"/>
        </w:rPr>
      </w:pPr>
    </w:p>
    <w:p>
      <w:pPr>
        <w:ind w:left="580" w:hanging="580"/>
        <w:spacing w:after="0"/>
        <w:tabs>
          <w:tab w:leader="none" w:pos="5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Party C is a limited liability company incorporated and existing under the laws of the PRC.</w:t>
      </w:r>
    </w:p>
    <w:p>
      <w:pPr>
        <w:spacing w:after="0" w:line="199" w:lineRule="exact"/>
        <w:rPr>
          <w:rFonts w:ascii="Arial" w:cs="Arial" w:eastAsia="Arial" w:hAnsi="Arial"/>
          <w:sz w:val="17"/>
          <w:szCs w:val="17"/>
          <w:color w:val="auto"/>
        </w:rPr>
      </w:pPr>
    </w:p>
    <w:p>
      <w:pPr>
        <w:ind w:left="580" w:hanging="580"/>
        <w:spacing w:after="0"/>
        <w:tabs>
          <w:tab w:leader="none" w:pos="5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Party B (“</w:t>
      </w:r>
      <w:r>
        <w:rPr>
          <w:rFonts w:ascii="Arial" w:cs="Arial" w:eastAsia="Arial" w:hAnsi="Arial"/>
          <w:sz w:val="17"/>
          <w:szCs w:val="17"/>
          <w:b w:val="1"/>
          <w:bCs w:val="1"/>
          <w:color w:val="auto"/>
        </w:rPr>
        <w:t>Grantors</w:t>
      </w:r>
      <w:r>
        <w:rPr>
          <w:rFonts w:ascii="Arial" w:cs="Arial" w:eastAsia="Arial" w:hAnsi="Arial"/>
          <w:sz w:val="17"/>
          <w:szCs w:val="17"/>
          <w:color w:val="auto"/>
        </w:rPr>
        <w:t>”) directly hold their interests in Party C, and the shareholdings are shown in Annex II hereto.</w:t>
      </w:r>
    </w:p>
    <w:p>
      <w:pPr>
        <w:spacing w:after="0" w:line="207" w:lineRule="exact"/>
        <w:rPr>
          <w:rFonts w:ascii="Arial" w:cs="Arial" w:eastAsia="Arial" w:hAnsi="Arial"/>
          <w:sz w:val="17"/>
          <w:szCs w:val="17"/>
          <w:color w:val="auto"/>
        </w:rPr>
      </w:pPr>
    </w:p>
    <w:p>
      <w:pPr>
        <w:ind w:left="580" w:hanging="580"/>
        <w:spacing w:after="0"/>
        <w:tabs>
          <w:tab w:leader="none" w:pos="5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Parties hereto signed the Equity Pledge Agreement on the fifth day of August, 2020.</w:t>
      </w:r>
    </w:p>
    <w:p>
      <w:pPr>
        <w:spacing w:after="0" w:line="203" w:lineRule="exact"/>
        <w:rPr>
          <w:rFonts w:ascii="Arial" w:cs="Arial" w:eastAsia="Arial" w:hAnsi="Arial"/>
          <w:sz w:val="17"/>
          <w:szCs w:val="17"/>
          <w:color w:val="auto"/>
        </w:rPr>
      </w:pPr>
    </w:p>
    <w:p>
      <w:pPr>
        <w:ind w:left="580" w:hanging="580"/>
        <w:spacing w:after="0" w:line="254" w:lineRule="auto"/>
        <w:tabs>
          <w:tab w:leader="none" w:pos="5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Party B intends to grant Party A or its designated qualified subject an exclusive option to purchase all or part of the shares/assets of Party C held by any or all of Grantors at any time subject to compliance with the requirements of Chinese laws.Therefore, this Agreement is entered into by and among the Parties as follows:</w:t>
      </w:r>
    </w:p>
    <w:p>
      <w:pPr>
        <w:spacing w:after="0" w:line="173" w:lineRule="exact"/>
        <w:rPr>
          <w:sz w:val="20"/>
          <w:szCs w:val="20"/>
          <w:color w:val="auto"/>
        </w:rPr>
      </w:pPr>
    </w:p>
    <w:p>
      <w:pPr>
        <w:ind w:left="580" w:hanging="580"/>
        <w:spacing w:after="0"/>
        <w:tabs>
          <w:tab w:leader="none" w:pos="58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Granting of the Option</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5"/>
          <w:szCs w:val="15"/>
          <w:color w:val="auto"/>
        </w:rPr>
        <w:t>Granting</w:t>
      </w:r>
    </w:p>
    <w:p>
      <w:pPr>
        <w:spacing w:after="0" w:line="228" w:lineRule="exact"/>
        <w:rPr>
          <w:sz w:val="20"/>
          <w:szCs w:val="20"/>
          <w:color w:val="auto"/>
        </w:rPr>
      </w:pPr>
    </w:p>
    <w:p>
      <w:pPr>
        <w:jc w:val="both"/>
        <w:ind w:left="1180"/>
        <w:spacing w:after="0" w:line="304" w:lineRule="auto"/>
        <w:rPr>
          <w:sz w:val="20"/>
          <w:szCs w:val="20"/>
          <w:color w:val="auto"/>
        </w:rPr>
      </w:pPr>
      <w:r>
        <w:rPr>
          <w:rFonts w:ascii="Arial" w:cs="Arial" w:eastAsia="Arial" w:hAnsi="Arial"/>
          <w:sz w:val="15"/>
          <w:szCs w:val="15"/>
          <w:color w:val="auto"/>
        </w:rPr>
        <w:t>Grantors agree that, on the date of signing this Agreement, they shall irrevocably grant Party A an option to purchase in installments or lump sum all their shares in Party C by Party A or its designated third party in such way of exercise as stipulated in Section 2.2 hereof. Such option shall be granted to Party A after this Agreement is signed by the Parties hereto and shall be irrevocable within the term of this Agreement once granted.</w:t>
      </w:r>
    </w:p>
    <w:p>
      <w:pPr>
        <w:spacing w:after="0" w:line="14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3"/>
          <w:szCs w:val="13"/>
          <w:color w:val="auto"/>
        </w:rPr>
        <w:t>Term</w:t>
      </w:r>
    </w:p>
    <w:p>
      <w:pPr>
        <w:spacing w:after="0" w:line="228" w:lineRule="exact"/>
        <w:rPr>
          <w:sz w:val="20"/>
          <w:szCs w:val="20"/>
          <w:color w:val="auto"/>
        </w:rPr>
      </w:pPr>
    </w:p>
    <w:p>
      <w:pPr>
        <w:jc w:val="both"/>
        <w:ind w:left="1180"/>
        <w:spacing w:after="0" w:line="264" w:lineRule="auto"/>
        <w:rPr>
          <w:sz w:val="20"/>
          <w:szCs w:val="20"/>
          <w:color w:val="auto"/>
        </w:rPr>
      </w:pPr>
      <w:r>
        <w:rPr>
          <w:rFonts w:ascii="Arial" w:cs="Arial" w:eastAsia="Arial" w:hAnsi="Arial"/>
          <w:sz w:val="17"/>
          <w:szCs w:val="17"/>
          <w:color w:val="auto"/>
        </w:rPr>
        <w:t>This Agreement shall take effect after being signed and/or sealed by the parties hereto, and shall not be terminated until Party A acquires all shares of Party C held by Grantors subject to the applicable laws of the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418465</wp:posOffset>
            </wp:positionV>
            <wp:extent cx="7184390" cy="41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3" w:name="page224"/>
    <w:bookmarkEnd w:id="223"/>
    <w:p>
      <w:pPr>
        <w:ind w:left="580" w:hanging="580"/>
        <w:spacing w:after="0"/>
        <w:tabs>
          <w:tab w:leader="none" w:pos="58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Option and Delivery</w:t>
      </w:r>
    </w:p>
    <w:p>
      <w:pPr>
        <w:spacing w:after="0" w:line="20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3"/>
          <w:szCs w:val="13"/>
          <w:b w:val="1"/>
          <w:bCs w:val="1"/>
          <w:color w:val="auto"/>
        </w:rPr>
        <w:t>Time of Exercise</w:t>
      </w:r>
    </w:p>
    <w:p>
      <w:pPr>
        <w:spacing w:after="0" w:line="207" w:lineRule="exact"/>
        <w:rPr>
          <w:sz w:val="20"/>
          <w:szCs w:val="20"/>
          <w:color w:val="auto"/>
        </w:rPr>
      </w:pPr>
    </w:p>
    <w:p>
      <w:pPr>
        <w:ind w:left="2380" w:right="40" w:hanging="859"/>
        <w:spacing w:after="0" w:line="264" w:lineRule="auto"/>
        <w:tabs>
          <w:tab w:leader="none" w:pos="23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Grantors unanimously agree that Party A may exercise the option in whole or in part at any time within the term of this Agreement subject to the applicable laws of the PRC;</w:t>
      </w:r>
    </w:p>
    <w:p>
      <w:pPr>
        <w:spacing w:after="0" w:line="168" w:lineRule="exact"/>
        <w:rPr>
          <w:sz w:val="20"/>
          <w:szCs w:val="20"/>
          <w:color w:val="auto"/>
        </w:rPr>
      </w:pPr>
    </w:p>
    <w:p>
      <w:pPr>
        <w:ind w:left="2380" w:right="60" w:hanging="859"/>
        <w:spacing w:after="0" w:line="264" w:lineRule="auto"/>
        <w:tabs>
          <w:tab w:leader="none" w:pos="236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Grantors unanimously agree that there shall not be any restrictions on number of Party A’s exercise unless Party A has acquired all shares of Party C; and</w:t>
      </w:r>
    </w:p>
    <w:p>
      <w:pPr>
        <w:spacing w:after="0" w:line="168" w:lineRule="exact"/>
        <w:rPr>
          <w:sz w:val="20"/>
          <w:szCs w:val="20"/>
          <w:color w:val="auto"/>
        </w:rPr>
      </w:pPr>
    </w:p>
    <w:p>
      <w:pPr>
        <w:ind w:left="2380" w:hanging="859"/>
        <w:spacing w:after="0" w:line="264" w:lineRule="auto"/>
        <w:tabs>
          <w:tab w:leader="none" w:pos="236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Grantors unanimously agree that Party A may designate any third party to exercise the option, provided that Party A shall inform in writing Grantors of such designation in advance.</w:t>
      </w:r>
    </w:p>
    <w:p>
      <w:pPr>
        <w:spacing w:after="0" w:line="16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3"/>
          <w:szCs w:val="13"/>
          <w:color w:val="auto"/>
        </w:rPr>
        <w:t>Exercise Consideration</w:t>
      </w:r>
    </w:p>
    <w:p>
      <w:pPr>
        <w:spacing w:after="0" w:line="203" w:lineRule="exact"/>
        <w:rPr>
          <w:sz w:val="20"/>
          <w:szCs w:val="20"/>
          <w:color w:val="auto"/>
        </w:rPr>
      </w:pPr>
    </w:p>
    <w:p>
      <w:pPr>
        <w:ind w:left="1540" w:right="40" w:hanging="8"/>
        <w:spacing w:after="0" w:line="264" w:lineRule="auto"/>
        <w:rPr>
          <w:sz w:val="20"/>
          <w:szCs w:val="20"/>
          <w:color w:val="auto"/>
        </w:rPr>
      </w:pPr>
      <w:r>
        <w:rPr>
          <w:rFonts w:ascii="Arial" w:cs="Arial" w:eastAsia="Arial" w:hAnsi="Arial"/>
          <w:sz w:val="17"/>
          <w:szCs w:val="17"/>
          <w:color w:val="auto"/>
        </w:rPr>
        <w:t>Unless otherwise agreed by the Parties hereto, Grantors unanimously agree that, when Party A or its designated third party exercises the option, all exercise</w:t>
      </w:r>
    </w:p>
    <w:p>
      <w:pPr>
        <w:spacing w:after="0" w:line="16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considerations obtained by Grantors therefor shall be immediately given to Party A or its designated third party free of charge.</w:t>
      </w:r>
    </w:p>
    <w:p>
      <w:pPr>
        <w:spacing w:after="0" w:line="20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Transfer</w:t>
      </w:r>
    </w:p>
    <w:p>
      <w:pPr>
        <w:spacing w:after="0" w:line="203" w:lineRule="exact"/>
        <w:rPr>
          <w:sz w:val="20"/>
          <w:szCs w:val="20"/>
          <w:color w:val="auto"/>
        </w:rPr>
      </w:pPr>
    </w:p>
    <w:p>
      <w:pPr>
        <w:ind w:left="1520" w:right="260" w:firstLine="1"/>
        <w:spacing w:after="0" w:line="251" w:lineRule="auto"/>
        <w:rPr>
          <w:sz w:val="20"/>
          <w:szCs w:val="20"/>
          <w:color w:val="auto"/>
        </w:rPr>
      </w:pPr>
      <w:r>
        <w:rPr>
          <w:rFonts w:ascii="Arial" w:cs="Arial" w:eastAsia="Arial" w:hAnsi="Arial"/>
          <w:sz w:val="17"/>
          <w:szCs w:val="17"/>
          <w:color w:val="auto"/>
        </w:rPr>
        <w:t>Grantors unanimously agree that Party A may transfer its option under this Agreement to any third party in whole or in part without separate approval of Grantors, and such transferees shall be deemed to be a party to this Agreement and may exercise the option according to this Agreement in respect of the share of the option acquired by it and shall enjoy and bear all of Party A’s rights and obligations under this Agreement.</w:t>
      </w:r>
    </w:p>
    <w:p>
      <w:pPr>
        <w:spacing w:after="0" w:line="17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Notice on Exercise</w:t>
      </w:r>
    </w:p>
    <w:p>
      <w:pPr>
        <w:spacing w:after="0" w:line="203" w:lineRule="exact"/>
        <w:rPr>
          <w:sz w:val="20"/>
          <w:szCs w:val="20"/>
          <w:color w:val="auto"/>
        </w:rPr>
      </w:pPr>
    </w:p>
    <w:p>
      <w:pPr>
        <w:ind w:left="2380" w:right="300" w:hanging="859"/>
        <w:spacing w:after="0" w:line="264" w:lineRule="auto"/>
        <w:tabs>
          <w:tab w:leader="none" w:pos="236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If Party A exercises the option hereunder, it shall notify in writing Grantors of such exercise Ten (10) working days prior to the delivery date (as defined below), and such notice shall specify the following terms:</w:t>
      </w:r>
    </w:p>
    <w:p>
      <w:pPr>
        <w:spacing w:after="0" w:line="164" w:lineRule="exact"/>
        <w:rPr>
          <w:sz w:val="20"/>
          <w:szCs w:val="20"/>
          <w:color w:val="auto"/>
        </w:rPr>
      </w:pPr>
    </w:p>
    <w:p>
      <w:pPr>
        <w:ind w:left="3040" w:right="160" w:hanging="661"/>
        <w:spacing w:after="0" w:line="337" w:lineRule="auto"/>
        <w:tabs>
          <w:tab w:leader="none" w:pos="304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Effective delivery date (“</w:t>
      </w:r>
      <w:r>
        <w:rPr>
          <w:rFonts w:ascii="Arial" w:cs="Arial" w:eastAsia="Arial" w:hAnsi="Arial"/>
          <w:sz w:val="15"/>
          <w:szCs w:val="15"/>
          <w:b w:val="1"/>
          <w:bCs w:val="1"/>
          <w:color w:val="auto"/>
        </w:rPr>
        <w:t>Delivery Date</w:t>
      </w:r>
      <w:r>
        <w:rPr>
          <w:rFonts w:ascii="Arial" w:cs="Arial" w:eastAsia="Arial" w:hAnsi="Arial"/>
          <w:sz w:val="15"/>
          <w:szCs w:val="15"/>
          <w:color w:val="auto"/>
        </w:rPr>
        <w:t>”) of the shares after the option is exercised, namely the date on which a formal application for share change registration is filed to the relevant administrative department of industry and commerce;</w:t>
      </w:r>
    </w:p>
    <w:p>
      <w:pPr>
        <w:spacing w:after="0" w:line="117" w:lineRule="exact"/>
        <w:rPr>
          <w:rFonts w:ascii="Arial" w:cs="Arial" w:eastAsia="Arial" w:hAnsi="Arial"/>
          <w:sz w:val="15"/>
          <w:szCs w:val="15"/>
          <w:color w:val="auto"/>
        </w:rPr>
      </w:pPr>
    </w:p>
    <w:p>
      <w:pPr>
        <w:ind w:left="3040" w:hanging="661"/>
        <w:spacing w:after="0"/>
        <w:tabs>
          <w:tab w:leader="none" w:pos="30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Name of the registered holder of the shares after the option is exercised;</w:t>
      </w:r>
    </w:p>
    <w:p>
      <w:pPr>
        <w:spacing w:after="0" w:line="203" w:lineRule="exact"/>
        <w:rPr>
          <w:rFonts w:ascii="Arial" w:cs="Arial" w:eastAsia="Arial" w:hAnsi="Arial"/>
          <w:sz w:val="17"/>
          <w:szCs w:val="17"/>
          <w:color w:val="auto"/>
        </w:rPr>
      </w:pPr>
    </w:p>
    <w:p>
      <w:pPr>
        <w:ind w:left="3040" w:hanging="661"/>
        <w:spacing w:after="0"/>
        <w:tabs>
          <w:tab w:leader="none" w:pos="30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Number of the shares purchased from Grantors;</w:t>
      </w:r>
    </w:p>
    <w:p>
      <w:pPr>
        <w:spacing w:after="0" w:line="203" w:lineRule="exact"/>
        <w:rPr>
          <w:rFonts w:ascii="Arial" w:cs="Arial" w:eastAsia="Arial" w:hAnsi="Arial"/>
          <w:sz w:val="17"/>
          <w:szCs w:val="17"/>
          <w:color w:val="auto"/>
        </w:rPr>
      </w:pPr>
    </w:p>
    <w:p>
      <w:pPr>
        <w:ind w:left="3040" w:hanging="661"/>
        <w:spacing w:after="0"/>
        <w:tabs>
          <w:tab w:leader="none" w:pos="30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Exercise consideration and its payment method; and</w:t>
      </w:r>
    </w:p>
    <w:p>
      <w:pPr>
        <w:spacing w:after="0" w:line="203" w:lineRule="exact"/>
        <w:rPr>
          <w:rFonts w:ascii="Arial" w:cs="Arial" w:eastAsia="Arial" w:hAnsi="Arial"/>
          <w:sz w:val="17"/>
          <w:szCs w:val="17"/>
          <w:color w:val="auto"/>
        </w:rPr>
      </w:pPr>
    </w:p>
    <w:p>
      <w:pPr>
        <w:ind w:left="3040" w:hanging="661"/>
        <w:spacing w:after="0"/>
        <w:tabs>
          <w:tab w:leader="none" w:pos="30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Power of attorney (if exercised by any third party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440690</wp:posOffset>
            </wp:positionV>
            <wp:extent cx="7184390" cy="412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20"/>
          </w:cols>
          <w:pgMar w:left="320" w:top="322" w:right="459" w:bottom="1440" w:gutter="0" w:footer="0" w:header="0"/>
        </w:sectPr>
      </w:pPr>
    </w:p>
    <w:bookmarkStart w:id="224" w:name="page225"/>
    <w:bookmarkEnd w:id="224"/>
    <w:p>
      <w:pPr>
        <w:jc w:val="both"/>
        <w:ind w:left="2331" w:right="280" w:hanging="859"/>
        <w:spacing w:after="0" w:line="249" w:lineRule="auto"/>
        <w:tabs>
          <w:tab w:leader="none" w:pos="231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7"/>
          <w:szCs w:val="17"/>
          <w:color w:val="auto"/>
        </w:rPr>
        <w:t>The Parties hereto agree that Party A may designate at any time any third party to exercise the option and acquire and register the shares in the name of such third party. Grantors agree that, as long as Party A or its designated third party requests to exercise the option,</w:t>
      </w:r>
    </w:p>
    <w:p>
      <w:pPr>
        <w:spacing w:after="0" w:line="2" w:lineRule="exact"/>
        <w:rPr>
          <w:sz w:val="20"/>
          <w:szCs w:val="20"/>
          <w:color w:val="auto"/>
        </w:rPr>
      </w:pPr>
    </w:p>
    <w:p>
      <w:pPr>
        <w:ind w:left="2331" w:right="100"/>
        <w:spacing w:after="0" w:line="249" w:lineRule="auto"/>
        <w:rPr>
          <w:sz w:val="20"/>
          <w:szCs w:val="20"/>
          <w:color w:val="auto"/>
        </w:rPr>
      </w:pPr>
      <w:r>
        <w:rPr>
          <w:rFonts w:ascii="Arial" w:cs="Arial" w:eastAsia="Arial" w:hAnsi="Arial"/>
          <w:sz w:val="17"/>
          <w:szCs w:val="17"/>
          <w:color w:val="auto"/>
        </w:rPr>
        <w:t>Grantors shall, within Ten (10) working days after receipt of a notice on exercise, sign a share transfer agreement and other relevant documents according to the notice on exercise and this Agreement.</w:t>
      </w:r>
    </w:p>
    <w:p>
      <w:pPr>
        <w:spacing w:after="0" w:line="180" w:lineRule="exact"/>
        <w:rPr>
          <w:sz w:val="20"/>
          <w:szCs w:val="20"/>
          <w:color w:val="auto"/>
        </w:rPr>
      </w:pPr>
    </w:p>
    <w:p>
      <w:pPr>
        <w:ind w:left="711"/>
        <w:spacing w:after="0"/>
        <w:tabs>
          <w:tab w:leader="none" w:pos="139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Transfer of Shares and Delivery</w:t>
      </w:r>
    </w:p>
    <w:p>
      <w:pPr>
        <w:spacing w:after="0" w:line="203" w:lineRule="exact"/>
        <w:rPr>
          <w:sz w:val="20"/>
          <w:szCs w:val="20"/>
          <w:color w:val="auto"/>
        </w:rPr>
      </w:pPr>
    </w:p>
    <w:p>
      <w:pPr>
        <w:ind w:left="2331" w:hanging="859"/>
        <w:spacing w:after="0" w:line="264" w:lineRule="auto"/>
        <w:tabs>
          <w:tab w:leader="none" w:pos="231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Whenever Party A exercises the option, within Ten (10) working days from the date of receipt of a notice on exercise sent by Party A according to the Section 2.4 hereof;</w:t>
      </w:r>
    </w:p>
    <w:p>
      <w:pPr>
        <w:spacing w:after="0" w:line="168" w:lineRule="exact"/>
        <w:rPr>
          <w:sz w:val="20"/>
          <w:szCs w:val="20"/>
          <w:color w:val="auto"/>
        </w:rPr>
      </w:pPr>
    </w:p>
    <w:p>
      <w:pPr>
        <w:ind w:left="3031" w:right="160" w:hanging="689"/>
        <w:spacing w:after="0" w:line="296" w:lineRule="auto"/>
        <w:tabs>
          <w:tab w:leader="none" w:pos="3031" w:val="left"/>
        </w:tabs>
        <w:numPr>
          <w:ilvl w:val="1"/>
          <w:numId w:val="209"/>
        </w:numPr>
        <w:rPr>
          <w:rFonts w:ascii="Arial" w:cs="Arial" w:eastAsia="Arial" w:hAnsi="Arial"/>
          <w:sz w:val="16"/>
          <w:szCs w:val="16"/>
          <w:color w:val="auto"/>
        </w:rPr>
      </w:pPr>
      <w:r>
        <w:rPr>
          <w:rFonts w:ascii="Arial" w:cs="Arial" w:eastAsia="Arial" w:hAnsi="Arial"/>
          <w:sz w:val="16"/>
          <w:szCs w:val="16"/>
          <w:color w:val="auto"/>
        </w:rPr>
        <w:t>Grantors shall cause Party C to promptly hold a shareholders’ meeting at which a shareholder resolution on the approval of the transfer of shares by Grantors to Party A and/or its designated third party shall be adopted; and</w:t>
      </w:r>
    </w:p>
    <w:p>
      <w:pPr>
        <w:spacing w:after="0" w:line="144" w:lineRule="exact"/>
        <w:rPr>
          <w:rFonts w:ascii="Arial" w:cs="Arial" w:eastAsia="Arial" w:hAnsi="Arial"/>
          <w:sz w:val="16"/>
          <w:szCs w:val="16"/>
          <w:color w:val="auto"/>
        </w:rPr>
      </w:pPr>
    </w:p>
    <w:p>
      <w:pPr>
        <w:ind w:left="3031" w:hanging="689"/>
        <w:spacing w:after="0" w:line="265" w:lineRule="auto"/>
        <w:tabs>
          <w:tab w:leader="none" w:pos="3031" w:val="left"/>
        </w:tabs>
        <w:numPr>
          <w:ilvl w:val="1"/>
          <w:numId w:val="209"/>
        </w:numPr>
        <w:rPr>
          <w:rFonts w:ascii="Arial" w:cs="Arial" w:eastAsia="Arial" w:hAnsi="Arial"/>
          <w:sz w:val="16"/>
          <w:szCs w:val="16"/>
          <w:color w:val="auto"/>
        </w:rPr>
      </w:pPr>
      <w:r>
        <w:rPr>
          <w:rFonts w:ascii="Arial" w:cs="Arial" w:eastAsia="Arial" w:hAnsi="Arial"/>
          <w:sz w:val="16"/>
          <w:szCs w:val="16"/>
          <w:color w:val="auto"/>
        </w:rPr>
        <w:t>Grantors shall sign all necessary contracts, agreements or documents, obtain all necessary government approvals and consents and take all necessary actions to transfer to Party A and/or its designated third party the ownership and all ancillary rights of the shares designated by Party A to be purchased without any security interests (other than the pledge under the Equity Pledge Agreement) and shall cause Party A and/or its designated third party to become the registered owner of the purchased shares and deliver to Party A and/or its designated third party the latest business license, articles of association, approval certificates (if applicable) and other relevant documents that are issued or registered by the relevant Chinese authorities, and such documents shall reflect any changes of Party C’s shares, directors and legal representative and other matters (if applicable).</w:t>
      </w:r>
    </w:p>
    <w:p>
      <w:pPr>
        <w:spacing w:after="0" w:line="164" w:lineRule="exact"/>
        <w:rPr>
          <w:rFonts w:ascii="Arial" w:cs="Arial" w:eastAsia="Arial" w:hAnsi="Arial"/>
          <w:sz w:val="16"/>
          <w:szCs w:val="16"/>
          <w:color w:val="auto"/>
        </w:rPr>
      </w:pPr>
    </w:p>
    <w:p>
      <w:pPr>
        <w:ind w:left="631" w:hanging="631"/>
        <w:spacing w:after="0"/>
        <w:tabs>
          <w:tab w:leader="none" w:pos="631"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and Undertakings</w:t>
      </w:r>
    </w:p>
    <w:p>
      <w:pPr>
        <w:spacing w:after="0" w:line="20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Grantors jointly and severally make the following representations and warranties:</w:t>
      </w:r>
    </w:p>
    <w:p>
      <w:pPr>
        <w:spacing w:after="0" w:line="203" w:lineRule="exact"/>
        <w:rPr>
          <w:sz w:val="20"/>
          <w:szCs w:val="20"/>
          <w:color w:val="auto"/>
        </w:rPr>
      </w:pPr>
    </w:p>
    <w:p>
      <w:pPr>
        <w:jc w:val="both"/>
        <w:ind w:left="2531" w:right="80" w:hanging="858"/>
        <w:spacing w:after="0" w:line="254" w:lineRule="auto"/>
        <w:tabs>
          <w:tab w:leader="none" w:pos="251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On the date of signing this Agreement and each Delivery Date, Grantors have the powers, rights, authority and ability to sign and deliver this Agreement and any share transfer agreement (hereinafter referred to as “</w:t>
      </w:r>
      <w:r>
        <w:rPr>
          <w:rFonts w:ascii="Arial" w:cs="Arial" w:eastAsia="Arial" w:hAnsi="Arial"/>
          <w:sz w:val="17"/>
          <w:szCs w:val="17"/>
          <w:b w:val="1"/>
          <w:bCs w:val="1"/>
          <w:color w:val="auto"/>
        </w:rPr>
        <w:t>Transfer Agreement</w:t>
      </w:r>
      <w:r>
        <w:rPr>
          <w:rFonts w:ascii="Arial" w:cs="Arial" w:eastAsia="Arial" w:hAnsi="Arial"/>
          <w:sz w:val="17"/>
          <w:szCs w:val="17"/>
          <w:color w:val="auto"/>
        </w:rPr>
        <w:t>”) signed by them as a party</w:t>
      </w:r>
    </w:p>
    <w:p>
      <w:pPr>
        <w:spacing w:after="0" w:line="177" w:lineRule="exact"/>
        <w:rPr>
          <w:sz w:val="20"/>
          <w:szCs w:val="20"/>
          <w:color w:val="auto"/>
        </w:rPr>
      </w:pPr>
    </w:p>
    <w:p>
      <w:pPr>
        <w:ind w:left="2551" w:right="120"/>
        <w:spacing w:after="0" w:line="278" w:lineRule="auto"/>
        <w:rPr>
          <w:sz w:val="20"/>
          <w:szCs w:val="20"/>
          <w:color w:val="auto"/>
        </w:rPr>
      </w:pPr>
      <w:r>
        <w:rPr>
          <w:rFonts w:ascii="Arial" w:cs="Arial" w:eastAsia="Arial" w:hAnsi="Arial"/>
          <w:sz w:val="16"/>
          <w:szCs w:val="16"/>
          <w:color w:val="auto"/>
        </w:rPr>
        <w:t>thereto for each share transfer according to this Agreement and to perform their obligations under this Agreement and any Transfer Agreement. This Agreement and any Transfer Agreement to which they are a party shall constitute their legal, effective and binding obligations that are enforceable on them according to the provisions thereof once signed.</w:t>
      </w:r>
    </w:p>
    <w:p>
      <w:pPr>
        <w:spacing w:after="0" w:line="158" w:lineRule="exact"/>
        <w:rPr>
          <w:sz w:val="20"/>
          <w:szCs w:val="20"/>
          <w:color w:val="auto"/>
        </w:rPr>
      </w:pPr>
    </w:p>
    <w:p>
      <w:pPr>
        <w:ind w:left="2531" w:right="20" w:hanging="858"/>
        <w:spacing w:after="0" w:line="266" w:lineRule="auto"/>
        <w:tabs>
          <w:tab w:leader="none" w:pos="251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No signing and delivery of this Agreement or any Transfer Agreement and no performance by Grantors of their obligations under this Agreement or any Transfer Agreement shall (i) result in any violation of any relevant laws and regulations of the PRC; (ii) conflict with the articles of association or other organizational documents; (iii) result in any breach of any binding agreements or instruments to which they are a party or constitute any breach of contract under any binding agreements or instruments to which they are a party; (iv) result in any breach of any licenses or approvals issued by the relevant competent government departments to them; or (v) cause any licenses or approvals issued by the relevant competent government departments to them to be suspended or revoked or attached with any conditions;</w:t>
      </w:r>
    </w:p>
    <w:p>
      <w:pPr>
        <w:spacing w:after="0" w:line="167" w:lineRule="exact"/>
        <w:rPr>
          <w:sz w:val="20"/>
          <w:szCs w:val="20"/>
          <w:color w:val="auto"/>
        </w:rPr>
      </w:pPr>
    </w:p>
    <w:p>
      <w:pPr>
        <w:ind w:left="2531" w:right="200" w:hanging="858"/>
        <w:spacing w:after="0" w:line="264" w:lineRule="auto"/>
        <w:tabs>
          <w:tab w:leader="none" w:pos="251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There is no suit, arbitration or other judicial or administrative proceedings that are pending or may have a substantial impact on the performance of this Agreement or any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291465</wp:posOffset>
            </wp:positionV>
            <wp:extent cx="7184390"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326" w:right="339" w:bottom="1440" w:gutter="0" w:footer="0" w:header="0"/>
        </w:sectPr>
      </w:pPr>
    </w:p>
    <w:bookmarkStart w:id="225" w:name="page226"/>
    <w:bookmarkEnd w:id="225"/>
    <w:p>
      <w:pPr>
        <w:jc w:val="center"/>
        <w:ind w:left="1620" w:right="420"/>
        <w:spacing w:after="0" w:line="296" w:lineRule="auto"/>
        <w:rPr>
          <w:sz w:val="20"/>
          <w:szCs w:val="20"/>
          <w:color w:val="auto"/>
        </w:rPr>
      </w:pPr>
      <w:r>
        <w:rPr>
          <w:rFonts w:ascii="Arial" w:cs="Arial" w:eastAsia="Arial" w:hAnsi="Arial"/>
          <w:sz w:val="16"/>
          <w:szCs w:val="16"/>
          <w:color w:val="auto"/>
        </w:rPr>
        <w:t>3.1.4       Grantors have good and marketable ownership of all shares of Party C. There are no pledges, liabilities and other third party encumbrances on Party C’s shares held by Grantors other than the pledge under the Equity Pledge Agreement.</w:t>
      </w:r>
    </w:p>
    <w:p>
      <w:pPr>
        <w:spacing w:after="0" w:line="144" w:lineRule="exact"/>
        <w:rPr>
          <w:sz w:val="20"/>
          <w:szCs w:val="20"/>
          <w:color w:val="auto"/>
        </w:rPr>
      </w:pPr>
    </w:p>
    <w:p>
      <w:pPr>
        <w:ind w:left="1920" w:right="720" w:hanging="858"/>
        <w:spacing w:after="0" w:line="264" w:lineRule="auto"/>
        <w:tabs>
          <w:tab w:leader="none" w:pos="190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color w:val="auto"/>
        </w:rPr>
        <w:t>Grantors have disclosed to Party A all circumstances that may have a material adverse effect on the performance of this Agreement.</w:t>
      </w:r>
    </w:p>
    <w:p>
      <w:pPr>
        <w:spacing w:after="0" w:line="168" w:lineRule="exact"/>
        <w:rPr>
          <w:sz w:val="20"/>
          <w:szCs w:val="20"/>
          <w:color w:val="auto"/>
        </w:rPr>
      </w:pPr>
    </w:p>
    <w:p>
      <w:pPr>
        <w:ind w:left="1920" w:right="40" w:hanging="858"/>
        <w:spacing w:after="0" w:line="264" w:lineRule="auto"/>
        <w:tabs>
          <w:tab w:leader="none" w:pos="190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The option granted by Grantors to Party A is exclusive, and Grantors have not otherwise granted any third party any other options or similar rights before or when granting the option to Party A.</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Grantors jointly and severally make the following undertakings:</w:t>
      </w:r>
    </w:p>
    <w:p>
      <w:pPr>
        <w:spacing w:after="0" w:line="203" w:lineRule="exact"/>
        <w:rPr>
          <w:sz w:val="20"/>
          <w:szCs w:val="20"/>
          <w:color w:val="auto"/>
        </w:rPr>
      </w:pPr>
    </w:p>
    <w:p>
      <w:pPr>
        <w:ind w:left="1920" w:right="40" w:hanging="858"/>
        <w:spacing w:after="0" w:line="304" w:lineRule="auto"/>
        <w:tabs>
          <w:tab w:leader="none" w:pos="19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Within the term of this Agreement, Grantors will not create any pledges, liabilities and any other third party encumbrances on Party C’s shares held by them other than those under the Equity Pledge Agreement separately signed by Grantors and Party A nor transfer, donate or otherwise dispose of any shares held by them to any third party other than the Parties to this Agreement.</w:t>
      </w:r>
    </w:p>
    <w:p>
      <w:pPr>
        <w:spacing w:after="0" w:line="142" w:lineRule="exact"/>
        <w:rPr>
          <w:sz w:val="20"/>
          <w:szCs w:val="20"/>
          <w:color w:val="auto"/>
        </w:rPr>
      </w:pPr>
    </w:p>
    <w:p>
      <w:pPr>
        <w:ind w:left="1060"/>
        <w:spacing w:after="0"/>
        <w:tabs>
          <w:tab w:leader="none" w:pos="190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Within the term of this Agreement, Grantors will not otherwise grant any other options or similar rights to any third party.</w:t>
      </w:r>
    </w:p>
    <w:p>
      <w:pPr>
        <w:spacing w:after="0" w:line="203" w:lineRule="exact"/>
        <w:rPr>
          <w:sz w:val="20"/>
          <w:szCs w:val="20"/>
          <w:color w:val="auto"/>
        </w:rPr>
      </w:pPr>
    </w:p>
    <w:p>
      <w:pPr>
        <w:ind w:left="1920" w:hanging="858"/>
        <w:spacing w:after="0" w:line="251" w:lineRule="auto"/>
        <w:tabs>
          <w:tab w:leader="none" w:pos="190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Within the term of this Agreement, Grantors will cause and ensure that the business carried out by Party C conforms to the applicable laws, regulations, rules and other management regulations and documents issued by the competent government departments and that there are no breach of the above provisions that results in a major adverse impact on the business or assets of the company.</w:t>
      </w:r>
    </w:p>
    <w:p>
      <w:pPr>
        <w:spacing w:after="0" w:line="179" w:lineRule="exact"/>
        <w:rPr>
          <w:sz w:val="20"/>
          <w:szCs w:val="20"/>
          <w:color w:val="auto"/>
        </w:rPr>
      </w:pPr>
    </w:p>
    <w:p>
      <w:pPr>
        <w:ind w:left="1920" w:right="140" w:hanging="858"/>
        <w:spacing w:after="0" w:line="251" w:lineRule="auto"/>
        <w:tabs>
          <w:tab w:leader="none" w:pos="190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Grantors will maintain the valid existence of Party C in accordance with good financial and commercial standards and practices, operate their business and deal with affairs in a prudent and efficient manner, use their best efforts to obtain and maintain any permits, licenses and approvals necessary for Party C’s continuous operation and ensure that any such permits, licenses and approvals will not be canceled, withdrawn or declared null and void.</w:t>
      </w:r>
    </w:p>
    <w:p>
      <w:pPr>
        <w:spacing w:after="0" w:line="179" w:lineRule="exact"/>
        <w:rPr>
          <w:sz w:val="20"/>
          <w:szCs w:val="20"/>
          <w:color w:val="auto"/>
        </w:rPr>
      </w:pPr>
    </w:p>
    <w:p>
      <w:pPr>
        <w:ind w:left="1060"/>
        <w:spacing w:after="0"/>
        <w:tabs>
          <w:tab w:leader="none" w:pos="190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5"/>
          <w:szCs w:val="15"/>
          <w:color w:val="auto"/>
        </w:rPr>
        <w:t>Grantors will provide Party A with all Party C’s operation and financial information at Party A’s request.</w:t>
      </w:r>
    </w:p>
    <w:p>
      <w:pPr>
        <w:spacing w:after="0" w:line="203" w:lineRule="exact"/>
        <w:rPr>
          <w:sz w:val="20"/>
          <w:szCs w:val="20"/>
          <w:color w:val="auto"/>
        </w:rPr>
      </w:pPr>
    </w:p>
    <w:p>
      <w:pPr>
        <w:ind w:left="1060"/>
        <w:spacing w:after="0"/>
        <w:tabs>
          <w:tab w:leader="none" w:pos="1900"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5"/>
          <w:szCs w:val="15"/>
          <w:color w:val="auto"/>
        </w:rPr>
        <w:t>Except as expressly agreed by Party A (or its designated third party) in writing, before Party A (or its designated third party)</w:t>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exercises its option and obtains all of Party C’s shares or assets, Grantors shall not jointly or individually:</w:t>
      </w:r>
    </w:p>
    <w:p>
      <w:pPr>
        <w:spacing w:after="0" w:line="191" w:lineRule="exact"/>
        <w:rPr>
          <w:sz w:val="20"/>
          <w:szCs w:val="20"/>
          <w:color w:val="auto"/>
        </w:rPr>
      </w:pPr>
    </w:p>
    <w:p>
      <w:pPr>
        <w:ind w:left="2420" w:right="40" w:hanging="763"/>
        <w:spacing w:after="0" w:line="264" w:lineRule="auto"/>
        <w:tabs>
          <w:tab w:leader="none" w:pos="24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Supplement or modify Party C’s constitutional documents in any form, and such supplements, alterations or modifications will</w:t>
      </w:r>
    </w:p>
    <w:p>
      <w:pPr>
        <w:spacing w:after="0" w:line="167" w:lineRule="exact"/>
        <w:rPr>
          <w:rFonts w:ascii="Arial" w:cs="Arial" w:eastAsia="Arial" w:hAnsi="Arial"/>
          <w:sz w:val="17"/>
          <w:szCs w:val="17"/>
          <w:color w:val="auto"/>
        </w:rPr>
      </w:pPr>
    </w:p>
    <w:p>
      <w:pPr>
        <w:ind w:left="2400" w:right="300"/>
        <w:spacing w:after="0" w:line="304" w:lineRule="auto"/>
        <w:rPr>
          <w:rFonts w:ascii="Arial" w:cs="Arial" w:eastAsia="Arial" w:hAnsi="Arial"/>
          <w:sz w:val="17"/>
          <w:szCs w:val="17"/>
          <w:color w:val="auto"/>
        </w:rPr>
      </w:pPr>
      <w:r>
        <w:rPr>
          <w:rFonts w:ascii="Arial" w:cs="Arial" w:eastAsia="Arial" w:hAnsi="Arial"/>
          <w:sz w:val="15"/>
          <w:szCs w:val="15"/>
          <w:color w:val="auto"/>
        </w:rPr>
        <w:t>have substantial adverse effects on any assets, responsibilities, operation, shares and other legal rights of Party C (excluding the same proportion of capital increase for the purpose of meeting the legal requirements) or may affect the effective performance of this Agreement and other agreements signed by Party A, Grantors and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401955</wp:posOffset>
            </wp:positionV>
            <wp:extent cx="7184390"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580"/>
          </w:cols>
          <w:pgMar w:left="980" w:top="526" w:right="339" w:bottom="1440" w:gutter="0" w:footer="0" w:header="0"/>
        </w:sectPr>
      </w:pPr>
    </w:p>
    <w:bookmarkStart w:id="226" w:name="page227"/>
    <w:bookmarkEnd w:id="226"/>
    <w:p>
      <w:pPr>
        <w:ind w:left="1960" w:right="100" w:hanging="763"/>
        <w:spacing w:after="0" w:line="278" w:lineRule="auto"/>
        <w:tabs>
          <w:tab w:leader="none" w:pos="19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Cause Party C to enter into or do any transactions or acts (excluding those that arise in the ordinary or daily business course or have been disclosed to and agreed by Party A expressly in writing in advance) that will have materially adverse effects on its assets, liabilities, operation, shares and other legitimate rights.</w:t>
      </w:r>
    </w:p>
    <w:p>
      <w:pPr>
        <w:spacing w:after="0" w:line="157" w:lineRule="exact"/>
        <w:rPr>
          <w:rFonts w:ascii="Arial" w:cs="Arial" w:eastAsia="Arial" w:hAnsi="Arial"/>
          <w:sz w:val="16"/>
          <w:szCs w:val="16"/>
          <w:color w:val="auto"/>
        </w:rPr>
      </w:pPr>
    </w:p>
    <w:p>
      <w:pPr>
        <w:ind w:left="1960" w:hanging="763"/>
        <w:spacing w:after="0"/>
        <w:tabs>
          <w:tab w:leader="none" w:pos="196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Cause any resolutions on the distribution of dividends or bonuses to be adopted at the shareholders’ meeting of Party C.</w:t>
      </w:r>
    </w:p>
    <w:p>
      <w:pPr>
        <w:spacing w:after="0" w:line="226" w:lineRule="exact"/>
        <w:rPr>
          <w:rFonts w:ascii="Arial" w:cs="Arial" w:eastAsia="Arial" w:hAnsi="Arial"/>
          <w:sz w:val="15"/>
          <w:szCs w:val="15"/>
          <w:color w:val="auto"/>
        </w:rPr>
      </w:pPr>
    </w:p>
    <w:p>
      <w:pPr>
        <w:ind w:left="1960" w:right="200" w:hanging="763"/>
        <w:spacing w:after="0" w:line="264" w:lineRule="auto"/>
        <w:tabs>
          <w:tab w:leader="none" w:pos="19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Sell, assign, mortgage or otherwise dispose of any legal or beneficial interests on Party C’s shares or allow to create any other security interests thereon at any time from the effective date of this Agreement.</w:t>
      </w:r>
    </w:p>
    <w:p>
      <w:pPr>
        <w:spacing w:after="0" w:line="167" w:lineRule="exact"/>
        <w:rPr>
          <w:rFonts w:ascii="Arial" w:cs="Arial" w:eastAsia="Arial" w:hAnsi="Arial"/>
          <w:sz w:val="17"/>
          <w:szCs w:val="17"/>
          <w:color w:val="auto"/>
        </w:rPr>
      </w:pPr>
    </w:p>
    <w:p>
      <w:pPr>
        <w:ind w:left="1960" w:right="220" w:hanging="763"/>
        <w:spacing w:after="0" w:line="251" w:lineRule="auto"/>
        <w:tabs>
          <w:tab w:leader="none" w:pos="19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Cause any sales, transfer, mortgage or otherwise disposal of any legal or beneficial interests on shares to be approved at the shareholders’ meeting of Party C, or allow to create any other security interests thereon, or adopt a shareholder resolution on the increase or decrease of Party C’s registered capital or otherwise modify the structure of the registered capital.</w:t>
      </w:r>
    </w:p>
    <w:p>
      <w:pPr>
        <w:spacing w:after="0" w:line="178" w:lineRule="exact"/>
        <w:rPr>
          <w:rFonts w:ascii="Arial" w:cs="Arial" w:eastAsia="Arial" w:hAnsi="Arial"/>
          <w:sz w:val="17"/>
          <w:szCs w:val="17"/>
          <w:color w:val="auto"/>
        </w:rPr>
      </w:pPr>
    </w:p>
    <w:p>
      <w:pPr>
        <w:ind w:left="1960" w:hanging="763"/>
        <w:spacing w:after="0" w:line="420" w:lineRule="auto"/>
        <w:tabs>
          <w:tab w:leader="none" w:pos="196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Cause any merger or association of Party C with any persons to be approved at the shareholders’ meeting of Party C, or acquire investments from any persons or make an investment to any persons, or carry out reorganization in any other form.</w:t>
      </w:r>
    </w:p>
    <w:p>
      <w:pPr>
        <w:spacing w:after="0" w:line="74" w:lineRule="exact"/>
        <w:rPr>
          <w:rFonts w:ascii="Arial" w:cs="Arial" w:eastAsia="Arial" w:hAnsi="Arial"/>
          <w:sz w:val="13"/>
          <w:szCs w:val="13"/>
          <w:color w:val="auto"/>
        </w:rPr>
      </w:pPr>
    </w:p>
    <w:p>
      <w:pPr>
        <w:ind w:left="1960" w:right="60" w:hanging="763"/>
        <w:spacing w:after="0" w:line="264" w:lineRule="auto"/>
        <w:tabs>
          <w:tab w:leader="none" w:pos="19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Cause any winding-up, liquidation or dissolution and other matters of Party C to be approved at the shareholders’ meeting of Party C.</w:t>
      </w:r>
    </w:p>
    <w:p>
      <w:pPr>
        <w:spacing w:after="0" w:line="168" w:lineRule="exact"/>
        <w:rPr>
          <w:sz w:val="20"/>
          <w:szCs w:val="20"/>
          <w:color w:val="auto"/>
        </w:rPr>
      </w:pPr>
    </w:p>
    <w:p>
      <w:pPr>
        <w:ind w:left="1460" w:right="100" w:hanging="858"/>
        <w:spacing w:after="0" w:line="264" w:lineRule="auto"/>
        <w:tabs>
          <w:tab w:leader="none" w:pos="1440" w:val="left"/>
        </w:tabs>
        <w:rPr>
          <w:sz w:val="20"/>
          <w:szCs w:val="20"/>
          <w:color w:val="auto"/>
        </w:rPr>
      </w:pPr>
      <w:r>
        <w:rPr>
          <w:rFonts w:ascii="Arial" w:cs="Arial" w:eastAsia="Arial" w:hAnsi="Arial"/>
          <w:sz w:val="17"/>
          <w:szCs w:val="17"/>
          <w:color w:val="auto"/>
        </w:rPr>
        <w:t>3.2.7</w:t>
      </w:r>
      <w:r>
        <w:rPr>
          <w:sz w:val="20"/>
          <w:szCs w:val="20"/>
          <w:color w:val="auto"/>
        </w:rPr>
        <w:tab/>
      </w:r>
      <w:r>
        <w:rPr>
          <w:rFonts w:ascii="Arial" w:cs="Arial" w:eastAsia="Arial" w:hAnsi="Arial"/>
          <w:sz w:val="17"/>
          <w:szCs w:val="17"/>
          <w:color w:val="auto"/>
        </w:rPr>
        <w:t>Before Party A (or its designated third party) exercises its option and obtains all of Party C’s shares or assets, Grantors undertake that:</w:t>
      </w:r>
    </w:p>
    <w:p>
      <w:pPr>
        <w:spacing w:after="0" w:line="168" w:lineRule="exact"/>
        <w:rPr>
          <w:sz w:val="20"/>
          <w:szCs w:val="20"/>
          <w:color w:val="auto"/>
        </w:rPr>
      </w:pPr>
    </w:p>
    <w:p>
      <w:pPr>
        <w:ind w:left="1960" w:hanging="676"/>
        <w:spacing w:after="0" w:line="332" w:lineRule="auto"/>
        <w:tabs>
          <w:tab w:leader="none" w:pos="19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They will forthwith notify Party A in writing of any suits, arbitration or administrative proceedings that have arisen or may arise in relation to the shares owned by them or of any circumstances that may have any adverse effect on such shares.</w:t>
      </w:r>
    </w:p>
    <w:p>
      <w:pPr>
        <w:spacing w:after="0" w:line="120" w:lineRule="exact"/>
        <w:rPr>
          <w:rFonts w:ascii="Arial" w:cs="Arial" w:eastAsia="Arial" w:hAnsi="Arial"/>
          <w:sz w:val="15"/>
          <w:szCs w:val="15"/>
          <w:color w:val="auto"/>
        </w:rPr>
      </w:pPr>
    </w:p>
    <w:p>
      <w:pPr>
        <w:ind w:left="1960" w:right="40" w:hanging="676"/>
        <w:spacing w:after="0" w:line="288" w:lineRule="auto"/>
        <w:tabs>
          <w:tab w:leader="none" w:pos="19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They will cause the shareholders’ meeting of Party C to examine and approve the transfer of the purchased shares as specified in this Agreement, cause Party C to amend its articles of association so as to reflect any changes of Party C’s shares after Party A and/or its designated third party exercises the option according to this Agreement and other changes as set forth herein and immediately apply to the authorities of the PRC for approval (if required by law) and change of registration, and cause the shareholders’ meeting of Party C to approve and appoint such persons as designated by Party A and/or its designated third party as Party C’s director and legal representative (if necessary).</w:t>
      </w:r>
    </w:p>
    <w:p>
      <w:pPr>
        <w:spacing w:after="0" w:line="153" w:lineRule="exact"/>
        <w:rPr>
          <w:rFonts w:ascii="Arial" w:cs="Arial" w:eastAsia="Arial" w:hAnsi="Arial"/>
          <w:sz w:val="15"/>
          <w:szCs w:val="15"/>
          <w:color w:val="auto"/>
        </w:rPr>
      </w:pPr>
    </w:p>
    <w:p>
      <w:pPr>
        <w:ind w:left="1960" w:right="440" w:hanging="676"/>
        <w:spacing w:after="0" w:line="251" w:lineRule="auto"/>
        <w:tabs>
          <w:tab w:leader="none" w:pos="19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Before Party A and/or its designated third party exercises the option, they will enter into all necessary or appropriate documents, take all necessary or appropriate actions and make all necessary or appropriate accusations or make all necessary and appropriate defenses for all claims in order to maintain their lawful and effective ownership over the appropriate shares.</w:t>
      </w:r>
    </w:p>
    <w:p>
      <w:pPr>
        <w:spacing w:after="0" w:line="178" w:lineRule="exact"/>
        <w:rPr>
          <w:rFonts w:ascii="Arial" w:cs="Arial" w:eastAsia="Arial" w:hAnsi="Arial"/>
          <w:sz w:val="17"/>
          <w:szCs w:val="17"/>
          <w:color w:val="auto"/>
        </w:rPr>
      </w:pPr>
    </w:p>
    <w:p>
      <w:pPr>
        <w:ind w:left="1960" w:right="260" w:hanging="676"/>
        <w:spacing w:after="0" w:line="278" w:lineRule="auto"/>
        <w:tabs>
          <w:tab w:leader="none" w:pos="19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Upon Party A’s request at any time, they will unconditionally transfer their shares to Party A and/or its designated third party at the time specified by Party A and waive their right of first refusal against any other shareholders of Party C in respect of the above transfer of shares by them according to Party A’s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412115</wp:posOffset>
            </wp:positionV>
            <wp:extent cx="7184390"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20"/>
          </w:cols>
          <w:pgMar w:left="1440" w:top="326" w:right="339" w:bottom="1440" w:gutter="0" w:footer="0" w:header="0"/>
        </w:sectPr>
      </w:pPr>
    </w:p>
    <w:bookmarkStart w:id="227" w:name="page228"/>
    <w:bookmarkEnd w:id="227"/>
    <w:p>
      <w:pPr>
        <w:ind w:left="2420" w:right="40" w:hanging="676"/>
        <w:spacing w:after="0" w:line="264" w:lineRule="auto"/>
        <w:tabs>
          <w:tab w:leader="none" w:pos="24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They will strictly abide by this Agreement and other agreements jointly or severally entered into by and between Grantors and</w:t>
      </w:r>
    </w:p>
    <w:p>
      <w:pPr>
        <w:spacing w:after="0" w:line="168" w:lineRule="exact"/>
        <w:rPr>
          <w:sz w:val="20"/>
          <w:szCs w:val="20"/>
          <w:color w:val="auto"/>
        </w:rPr>
      </w:pPr>
    </w:p>
    <w:p>
      <w:pPr>
        <w:ind w:left="2420" w:right="380"/>
        <w:spacing w:after="0" w:line="264" w:lineRule="auto"/>
        <w:rPr>
          <w:sz w:val="20"/>
          <w:szCs w:val="20"/>
          <w:color w:val="auto"/>
        </w:rPr>
      </w:pPr>
      <w:r>
        <w:rPr>
          <w:rFonts w:ascii="Arial" w:cs="Arial" w:eastAsia="Arial" w:hAnsi="Arial"/>
          <w:sz w:val="17"/>
          <w:szCs w:val="17"/>
          <w:color w:val="auto"/>
        </w:rPr>
        <w:t>Party A, conscientiously perform their obligations under such agreements and will not do any acts/omissions that are likely to affect the validity and enforceability of such agreements.</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Party C and Grantors hereby jointly and severally make the following representations, warranties and undertakings to Party A:</w:t>
      </w:r>
    </w:p>
    <w:p>
      <w:pPr>
        <w:spacing w:after="0" w:line="203" w:lineRule="exact"/>
        <w:rPr>
          <w:sz w:val="20"/>
          <w:szCs w:val="20"/>
          <w:color w:val="auto"/>
        </w:rPr>
      </w:pPr>
    </w:p>
    <w:p>
      <w:pPr>
        <w:ind w:left="1920" w:right="200" w:hanging="858"/>
        <w:spacing w:after="0" w:line="264" w:lineRule="auto"/>
        <w:tabs>
          <w:tab w:leader="none" w:pos="190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Except as agreed by Party A (or its designated third party) in writing, before Party A (or its designated third party) exercises its option and obtains all of Party C’s shares or interests, Party C shall not:</w:t>
      </w:r>
    </w:p>
    <w:p>
      <w:pPr>
        <w:spacing w:after="0" w:line="168" w:lineRule="exact"/>
        <w:rPr>
          <w:sz w:val="20"/>
          <w:szCs w:val="20"/>
          <w:color w:val="auto"/>
        </w:rPr>
      </w:pPr>
    </w:p>
    <w:p>
      <w:pPr>
        <w:ind w:left="2600" w:right="360" w:hanging="657"/>
        <w:spacing w:after="0" w:line="254" w:lineRule="auto"/>
        <w:tabs>
          <w:tab w:leader="none" w:pos="2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Sell, assign, mortgage or otherwise dispose of any assets, business or incomes or allow to create any other security interests thereon (excluding those that arise in the ordinary or daily business course or have been disclosed to and agreed by Party A expressly in writing in advance);</w:t>
      </w:r>
    </w:p>
    <w:p>
      <w:pPr>
        <w:spacing w:after="0" w:line="176" w:lineRule="exact"/>
        <w:rPr>
          <w:rFonts w:ascii="Arial" w:cs="Arial" w:eastAsia="Arial" w:hAnsi="Arial"/>
          <w:sz w:val="17"/>
          <w:szCs w:val="17"/>
          <w:color w:val="auto"/>
        </w:rPr>
      </w:pPr>
    </w:p>
    <w:p>
      <w:pPr>
        <w:ind w:left="2600" w:right="40" w:hanging="657"/>
        <w:spacing w:after="0" w:line="254" w:lineRule="auto"/>
        <w:tabs>
          <w:tab w:leader="none" w:pos="2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Enter into any transactions (excluding those that arise in the ordinary or daily business course or have been disclosed to and agreed by Party A expressly in writing in advance) that will or may have materially adverse effects on its assets, liabilities, operation, shares and other legitimate rights;</w:t>
      </w:r>
    </w:p>
    <w:p>
      <w:pPr>
        <w:spacing w:after="0" w:line="176" w:lineRule="exact"/>
        <w:rPr>
          <w:rFonts w:ascii="Arial" w:cs="Arial" w:eastAsia="Arial" w:hAnsi="Arial"/>
          <w:sz w:val="17"/>
          <w:szCs w:val="17"/>
          <w:color w:val="auto"/>
        </w:rPr>
      </w:pPr>
    </w:p>
    <w:p>
      <w:pPr>
        <w:ind w:left="2600" w:hanging="657"/>
        <w:spacing w:after="0"/>
        <w:tabs>
          <w:tab w:leader="none" w:pos="2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Distribute any dividends or bonuses to each shareholder in any form;</w:t>
      </w:r>
    </w:p>
    <w:p>
      <w:pPr>
        <w:spacing w:after="0" w:line="203" w:lineRule="exact"/>
        <w:rPr>
          <w:rFonts w:ascii="Arial" w:cs="Arial" w:eastAsia="Arial" w:hAnsi="Arial"/>
          <w:sz w:val="17"/>
          <w:szCs w:val="17"/>
          <w:color w:val="auto"/>
        </w:rPr>
      </w:pPr>
    </w:p>
    <w:p>
      <w:pPr>
        <w:ind w:left="2600" w:right="240" w:hanging="657"/>
        <w:spacing w:after="0" w:line="254" w:lineRule="auto"/>
        <w:tabs>
          <w:tab w:leader="none" w:pos="2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Incur, inherit, guarantee or allow the existence of any debts other than (i) any debts that arise in the ordinary or daily business course rather than by borrowing, and (ii) any debts that have been disclosed to and agreed by Party A expressly in writing in advance;</w:t>
      </w:r>
    </w:p>
    <w:p>
      <w:pPr>
        <w:spacing w:after="0" w:line="176" w:lineRule="exact"/>
        <w:rPr>
          <w:rFonts w:ascii="Arial" w:cs="Arial" w:eastAsia="Arial" w:hAnsi="Arial"/>
          <w:sz w:val="17"/>
          <w:szCs w:val="17"/>
          <w:color w:val="auto"/>
        </w:rPr>
      </w:pPr>
    </w:p>
    <w:p>
      <w:pPr>
        <w:ind w:left="2600" w:right="80" w:hanging="657"/>
        <w:spacing w:after="0" w:line="332" w:lineRule="auto"/>
        <w:tabs>
          <w:tab w:leader="none" w:pos="260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Sign any significant contracts other than those signed in the ordinary business course (for the purpose of this Article, if the amount under a contract is more than RMB50,000, such contract shall be deemed to be a significant contract);</w:t>
      </w:r>
    </w:p>
    <w:p>
      <w:pPr>
        <w:spacing w:after="0" w:line="120" w:lineRule="exact"/>
        <w:rPr>
          <w:rFonts w:ascii="Arial" w:cs="Arial" w:eastAsia="Arial" w:hAnsi="Arial"/>
          <w:sz w:val="15"/>
          <w:szCs w:val="15"/>
          <w:color w:val="auto"/>
        </w:rPr>
      </w:pPr>
    </w:p>
    <w:p>
      <w:pPr>
        <w:ind w:left="2600" w:hanging="657"/>
        <w:spacing w:after="0"/>
        <w:tabs>
          <w:tab w:leader="none" w:pos="2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Adopt a shareholder resolution on the increase or decrease of</w:t>
      </w:r>
    </w:p>
    <w:p>
      <w:pPr>
        <w:spacing w:after="0" w:line="203" w:lineRule="exact"/>
        <w:rPr>
          <w:rFonts w:ascii="Arial" w:cs="Arial" w:eastAsia="Arial" w:hAnsi="Arial"/>
          <w:sz w:val="17"/>
          <w:szCs w:val="17"/>
          <w:color w:val="auto"/>
        </w:rPr>
      </w:pPr>
    </w:p>
    <w:p>
      <w:pPr>
        <w:ind w:left="2600"/>
        <w:spacing w:after="0"/>
        <w:rPr>
          <w:rFonts w:ascii="Arial" w:cs="Arial" w:eastAsia="Arial" w:hAnsi="Arial"/>
          <w:sz w:val="17"/>
          <w:szCs w:val="17"/>
          <w:color w:val="auto"/>
        </w:rPr>
      </w:pPr>
      <w:r>
        <w:rPr>
          <w:rFonts w:ascii="Arial" w:cs="Arial" w:eastAsia="Arial" w:hAnsi="Arial"/>
          <w:sz w:val="17"/>
          <w:szCs w:val="17"/>
          <w:color w:val="auto"/>
        </w:rPr>
        <w:t>Party C’s registered capital or otherwise modify the structure of the registered capital;</w:t>
      </w:r>
    </w:p>
    <w:p>
      <w:pPr>
        <w:spacing w:after="0" w:line="203" w:lineRule="exact"/>
        <w:rPr>
          <w:rFonts w:ascii="Arial" w:cs="Arial" w:eastAsia="Arial" w:hAnsi="Arial"/>
          <w:sz w:val="17"/>
          <w:szCs w:val="17"/>
          <w:color w:val="auto"/>
        </w:rPr>
      </w:pPr>
    </w:p>
    <w:p>
      <w:pPr>
        <w:ind w:left="2600" w:hanging="657"/>
        <w:spacing w:after="0"/>
        <w:tabs>
          <w:tab w:leader="none" w:pos="2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Supplement, modify or amend Party C’s articles of association in any form; and</w:t>
      </w:r>
    </w:p>
    <w:p>
      <w:pPr>
        <w:spacing w:after="0" w:line="203" w:lineRule="exact"/>
        <w:rPr>
          <w:rFonts w:ascii="Arial" w:cs="Arial" w:eastAsia="Arial" w:hAnsi="Arial"/>
          <w:sz w:val="17"/>
          <w:szCs w:val="17"/>
          <w:color w:val="auto"/>
        </w:rPr>
      </w:pPr>
    </w:p>
    <w:p>
      <w:pPr>
        <w:ind w:left="2600" w:right="240" w:hanging="657"/>
        <w:spacing w:after="0" w:line="264" w:lineRule="auto"/>
        <w:tabs>
          <w:tab w:leader="none" w:pos="2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Enter into merge or association with any persons, or acquire investments from any persons or make an investment to any persons.</w:t>
      </w:r>
    </w:p>
    <w:p>
      <w:pPr>
        <w:spacing w:after="0" w:line="168" w:lineRule="exact"/>
        <w:rPr>
          <w:sz w:val="20"/>
          <w:szCs w:val="20"/>
          <w:color w:val="auto"/>
        </w:rPr>
      </w:pPr>
    </w:p>
    <w:p>
      <w:pPr>
        <w:jc w:val="right"/>
        <w:ind w:left="1060"/>
        <w:spacing w:after="0" w:line="332" w:lineRule="auto"/>
        <w:rPr>
          <w:sz w:val="20"/>
          <w:szCs w:val="20"/>
          <w:color w:val="auto"/>
        </w:rPr>
      </w:pPr>
      <w:r>
        <w:rPr>
          <w:rFonts w:ascii="Arial" w:cs="Arial" w:eastAsia="Arial" w:hAnsi="Arial"/>
          <w:sz w:val="15"/>
          <w:szCs w:val="15"/>
          <w:color w:val="auto"/>
        </w:rPr>
        <w:t>3.3.2       On the date of signing this Agreement and each Delivery Date, Party C has no outstanding debts other than (i) any debts arising in its ordinary business course; and (ii) any debts that have been disclosed to and agreed by Party A expressly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387985</wp:posOffset>
            </wp:positionV>
            <wp:extent cx="7184390"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560"/>
          </w:cols>
          <w:pgMar w:left="980" w:top="326" w:right="359" w:bottom="1440" w:gutter="0" w:footer="0" w:header="0"/>
        </w:sectPr>
      </w:pPr>
    </w:p>
    <w:bookmarkStart w:id="228" w:name="page229"/>
    <w:bookmarkEnd w:id="228"/>
    <w:p>
      <w:pPr>
        <w:jc w:val="both"/>
        <w:ind w:left="2531" w:right="140" w:hanging="858"/>
        <w:spacing w:after="0" w:line="304" w:lineRule="auto"/>
        <w:tabs>
          <w:tab w:leader="none" w:pos="251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5"/>
          <w:szCs w:val="15"/>
          <w:color w:val="auto"/>
        </w:rPr>
        <w:t>On the date of signing this Agreement and each Delivery Date, there is no suit, arbitration or administrative proceedings that are ongoing or may occur in relation to the shares, Party C’s assets or that may have a substantial impact on the performance of this Agreement by Party C other than those that have been disclosed to and agreed by Party A expressly in writing in advance.</w:t>
      </w:r>
    </w:p>
    <w:p>
      <w:pPr>
        <w:spacing w:after="0" w:line="142" w:lineRule="exact"/>
        <w:rPr>
          <w:sz w:val="20"/>
          <w:szCs w:val="20"/>
          <w:color w:val="auto"/>
        </w:rPr>
      </w:pPr>
    </w:p>
    <w:p>
      <w:pPr>
        <w:ind w:left="1671"/>
        <w:spacing w:after="0"/>
        <w:tabs>
          <w:tab w:leader="none" w:pos="2510"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3"/>
          <w:szCs w:val="13"/>
          <w:color w:val="auto"/>
        </w:rPr>
        <w:t>Party C has not been declared bankrupt.</w:t>
      </w:r>
    </w:p>
    <w:p>
      <w:pPr>
        <w:spacing w:after="0" w:line="203" w:lineRule="exact"/>
        <w:rPr>
          <w:sz w:val="20"/>
          <w:szCs w:val="20"/>
          <w:color w:val="auto"/>
        </w:rPr>
      </w:pPr>
    </w:p>
    <w:p>
      <w:pPr>
        <w:ind w:left="2531" w:hanging="858"/>
        <w:spacing w:after="0" w:line="267" w:lineRule="auto"/>
        <w:tabs>
          <w:tab w:leader="none" w:pos="2510" w:val="left"/>
        </w:tabs>
        <w:rPr>
          <w:sz w:val="20"/>
          <w:szCs w:val="20"/>
          <w:color w:val="auto"/>
        </w:rPr>
      </w:pPr>
      <w:r>
        <w:rPr>
          <w:rFonts w:ascii="Arial" w:cs="Arial" w:eastAsia="Arial" w:hAnsi="Arial"/>
          <w:sz w:val="17"/>
          <w:szCs w:val="17"/>
          <w:color w:val="auto"/>
        </w:rPr>
        <w:t>3.3.5</w:t>
      </w:r>
      <w:r>
        <w:rPr>
          <w:sz w:val="20"/>
          <w:szCs w:val="20"/>
          <w:color w:val="auto"/>
        </w:rPr>
        <w:tab/>
      </w:r>
      <w:r>
        <w:rPr>
          <w:rFonts w:ascii="Arial" w:cs="Arial" w:eastAsia="Arial" w:hAnsi="Arial"/>
          <w:sz w:val="16"/>
          <w:szCs w:val="16"/>
          <w:color w:val="auto"/>
        </w:rPr>
        <w:t>Party C hereby undertakes to Party A that it will comply with all laws and regulations applicable to the acquisition of shares and assets within the term of this Agreement, bear all expenses arising out of the share transfer and handle all procedures necessary for enabling Party A or its designated third party to become Party C’s shareholder, including but not limited to assisting Party A in obtaining any necessary approvals in relation to the share transfer from the approval authorities, submitting the relevant applications required for handling the share change registration to the competent administrative department of industry and commerce and amending the register of shareholders.</w:t>
      </w:r>
    </w:p>
    <w:p>
      <w:pPr>
        <w:spacing w:after="0" w:line="163" w:lineRule="exact"/>
        <w:rPr>
          <w:sz w:val="20"/>
          <w:szCs w:val="20"/>
          <w:color w:val="auto"/>
        </w:rPr>
      </w:pPr>
    </w:p>
    <w:p>
      <w:pPr>
        <w:ind w:left="631" w:hanging="631"/>
        <w:spacing w:after="0"/>
        <w:tabs>
          <w:tab w:leader="none" w:pos="631"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207" w:lineRule="exact"/>
        <w:rPr>
          <w:sz w:val="20"/>
          <w:szCs w:val="20"/>
          <w:color w:val="auto"/>
        </w:rPr>
      </w:pPr>
    </w:p>
    <w:p>
      <w:pPr>
        <w:ind w:left="591"/>
        <w:spacing w:after="0"/>
        <w:rPr>
          <w:sz w:val="20"/>
          <w:szCs w:val="20"/>
          <w:color w:val="auto"/>
        </w:rPr>
      </w:pPr>
      <w:r>
        <w:rPr>
          <w:rFonts w:ascii="Arial" w:cs="Arial" w:eastAsia="Arial" w:hAnsi="Arial"/>
          <w:sz w:val="17"/>
          <w:szCs w:val="17"/>
          <w:color w:val="auto"/>
        </w:rPr>
        <w:t>All taxes arising out of the performance of this Agreement shall be borne by Party C.</w:t>
      </w:r>
    </w:p>
    <w:p>
      <w:pPr>
        <w:spacing w:after="0" w:line="199" w:lineRule="exact"/>
        <w:rPr>
          <w:sz w:val="20"/>
          <w:szCs w:val="20"/>
          <w:color w:val="auto"/>
        </w:rPr>
      </w:pPr>
    </w:p>
    <w:p>
      <w:pPr>
        <w:ind w:left="631" w:hanging="631"/>
        <w:spacing w:after="0"/>
        <w:tabs>
          <w:tab w:leader="none" w:pos="631"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Breach of Contract</w:t>
      </w:r>
    </w:p>
    <w:p>
      <w:pPr>
        <w:spacing w:after="0" w:line="207" w:lineRule="exact"/>
        <w:rPr>
          <w:sz w:val="20"/>
          <w:szCs w:val="20"/>
          <w:color w:val="auto"/>
        </w:rPr>
      </w:pPr>
    </w:p>
    <w:p>
      <w:pPr>
        <w:jc w:val="both"/>
        <w:ind w:left="591" w:right="40"/>
        <w:spacing w:after="0" w:line="254" w:lineRule="auto"/>
        <w:rPr>
          <w:sz w:val="20"/>
          <w:szCs w:val="20"/>
          <w:color w:val="auto"/>
        </w:rPr>
      </w:pPr>
      <w:r>
        <w:rPr>
          <w:rFonts w:ascii="Arial" w:cs="Arial" w:eastAsia="Arial" w:hAnsi="Arial"/>
          <w:sz w:val="17"/>
          <w:szCs w:val="17"/>
          <w:color w:val="auto"/>
        </w:rPr>
        <w:t>Except as otherwise stipulated herein, if any Party fails to fully perform or suspend the performance of its obligations under this Agreement and fails to correct such breach within Thirty (30) days from the date of receipt of a notice from the other Party, or any of its representations and warranties under this Agreement are untrue, inaccurate or misleading, such Party shall be deemed to have breached this Agreement.</w:t>
      </w:r>
    </w:p>
    <w:p>
      <w:pPr>
        <w:spacing w:after="0" w:line="177" w:lineRule="exact"/>
        <w:rPr>
          <w:sz w:val="20"/>
          <w:szCs w:val="20"/>
          <w:color w:val="auto"/>
        </w:rPr>
      </w:pPr>
    </w:p>
    <w:p>
      <w:pPr>
        <w:ind w:left="591" w:right="20"/>
        <w:spacing w:after="0" w:line="295" w:lineRule="auto"/>
        <w:rPr>
          <w:sz w:val="20"/>
          <w:szCs w:val="20"/>
          <w:color w:val="auto"/>
        </w:rPr>
      </w:pPr>
      <w:r>
        <w:rPr>
          <w:rFonts w:ascii="Arial" w:cs="Arial" w:eastAsia="Arial" w:hAnsi="Arial"/>
          <w:sz w:val="15"/>
          <w:szCs w:val="15"/>
          <w:color w:val="auto"/>
        </w:rPr>
        <w:t>If any Party hereto breaches this Agreement or any of its representations and warranties under this Agreement, the non-breaching Party may notify in writing the breaching Party of correcting such breach within Ten (10) days from the date of receipt of a notice, taking appropriate measures to effectively and promptly avoid any damage and continuing to perform this Agreement. If any damage occurs, the breaching Party shall make compensation to the non-breaching Party so that the non-breaching Party can obtain all rights and interests that should have been obtained by it in the case of the performance of this Agreement</w:t>
      </w:r>
    </w:p>
    <w:p>
      <w:pPr>
        <w:spacing w:after="0" w:line="149" w:lineRule="exact"/>
        <w:rPr>
          <w:sz w:val="20"/>
          <w:szCs w:val="20"/>
          <w:color w:val="auto"/>
        </w:rPr>
      </w:pPr>
    </w:p>
    <w:p>
      <w:pPr>
        <w:ind w:left="591" w:right="480"/>
        <w:spacing w:after="0" w:line="264" w:lineRule="auto"/>
        <w:rPr>
          <w:sz w:val="20"/>
          <w:szCs w:val="20"/>
          <w:color w:val="auto"/>
        </w:rPr>
      </w:pPr>
      <w:r>
        <w:rPr>
          <w:rFonts w:ascii="Arial" w:cs="Arial" w:eastAsia="Arial" w:hAnsi="Arial"/>
          <w:sz w:val="17"/>
          <w:szCs w:val="17"/>
          <w:color w:val="auto"/>
        </w:rPr>
        <w:t>If all of the Parties breach this Agreement, they shall determine the respective amount of compensation payable by them according to the degree of their respective breach.</w:t>
      </w:r>
    </w:p>
    <w:p>
      <w:pPr>
        <w:spacing w:after="0" w:line="164" w:lineRule="exact"/>
        <w:rPr>
          <w:sz w:val="20"/>
          <w:szCs w:val="20"/>
          <w:color w:val="auto"/>
        </w:rPr>
      </w:pPr>
    </w:p>
    <w:p>
      <w:pPr>
        <w:ind w:left="631" w:hanging="631"/>
        <w:spacing w:after="0"/>
        <w:tabs>
          <w:tab w:leader="none" w:pos="631"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20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Governing Law</w:t>
      </w:r>
    </w:p>
    <w:p>
      <w:pPr>
        <w:spacing w:after="0" w:line="203" w:lineRule="exact"/>
        <w:rPr>
          <w:sz w:val="20"/>
          <w:szCs w:val="20"/>
          <w:color w:val="auto"/>
        </w:rPr>
      </w:pPr>
    </w:p>
    <w:p>
      <w:pPr>
        <w:ind w:left="1471"/>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203"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Arbitration</w:t>
      </w:r>
    </w:p>
    <w:p>
      <w:pPr>
        <w:spacing w:after="0" w:line="203" w:lineRule="exact"/>
        <w:rPr>
          <w:sz w:val="20"/>
          <w:szCs w:val="20"/>
          <w:color w:val="auto"/>
        </w:rPr>
      </w:pPr>
    </w:p>
    <w:p>
      <w:pPr>
        <w:ind w:left="1471" w:right="220"/>
        <w:spacing w:after="0" w:line="278" w:lineRule="auto"/>
        <w:rPr>
          <w:sz w:val="20"/>
          <w:szCs w:val="20"/>
          <w:color w:val="auto"/>
        </w:rPr>
      </w:pPr>
      <w:r>
        <w:rPr>
          <w:rFonts w:ascii="Arial" w:cs="Arial" w:eastAsia="Arial" w:hAnsi="Arial"/>
          <w:sz w:val="16"/>
          <w:szCs w:val="16"/>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w:t>
      </w:r>
    </w:p>
    <w:p>
      <w:pPr>
        <w:spacing w:after="0" w:line="158" w:lineRule="exact"/>
        <w:rPr>
          <w:sz w:val="20"/>
          <w:szCs w:val="20"/>
          <w:color w:val="auto"/>
        </w:rPr>
      </w:pPr>
    </w:p>
    <w:p>
      <w:pPr>
        <w:ind w:left="1471" w:right="100"/>
        <w:spacing w:after="0" w:line="254" w:lineRule="auto"/>
        <w:rPr>
          <w:sz w:val="20"/>
          <w:szCs w:val="20"/>
          <w:color w:val="auto"/>
        </w:rPr>
      </w:pPr>
      <w:r>
        <w:rPr>
          <w:rFonts w:ascii="Arial" w:cs="Arial" w:eastAsia="Arial" w:hAnsi="Arial"/>
          <w:sz w:val="17"/>
          <w:szCs w:val="17"/>
          <w:color w:val="auto"/>
        </w:rPr>
        <w:t>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297180</wp:posOffset>
            </wp:positionV>
            <wp:extent cx="7184390" cy="41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326" w:right="339" w:bottom="1440" w:gutter="0" w:footer="0" w:header="0"/>
        </w:sectPr>
      </w:pPr>
    </w:p>
    <w:bookmarkStart w:id="229" w:name="page230"/>
    <w:bookmarkEnd w:id="229"/>
    <w:p>
      <w:pPr>
        <w:ind w:left="611"/>
        <w:spacing w:after="0"/>
        <w:tabs>
          <w:tab w:leader="none" w:pos="145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Continue to Perform</w:t>
      </w:r>
    </w:p>
    <w:p>
      <w:pPr>
        <w:spacing w:after="0" w:line="203" w:lineRule="exact"/>
        <w:rPr>
          <w:sz w:val="20"/>
          <w:szCs w:val="20"/>
          <w:color w:val="auto"/>
        </w:rPr>
      </w:pPr>
    </w:p>
    <w:p>
      <w:pPr>
        <w:ind w:left="1471" w:right="640"/>
        <w:spacing w:after="0" w:line="264" w:lineRule="auto"/>
        <w:rPr>
          <w:sz w:val="20"/>
          <w:szCs w:val="20"/>
          <w:color w:val="auto"/>
        </w:rPr>
      </w:pP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64" w:lineRule="exact"/>
        <w:rPr>
          <w:sz w:val="20"/>
          <w:szCs w:val="20"/>
          <w:color w:val="auto"/>
        </w:rPr>
      </w:pPr>
    </w:p>
    <w:p>
      <w:pPr>
        <w:ind w:left="411" w:hanging="411"/>
        <w:spacing w:after="0"/>
        <w:tabs>
          <w:tab w:leader="none" w:pos="411"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Confidential Information</w:t>
      </w:r>
    </w:p>
    <w:p>
      <w:pPr>
        <w:spacing w:after="0" w:line="203" w:lineRule="exact"/>
        <w:rPr>
          <w:sz w:val="20"/>
          <w:szCs w:val="20"/>
          <w:color w:val="auto"/>
        </w:rPr>
      </w:pPr>
    </w:p>
    <w:p>
      <w:pPr>
        <w:ind w:left="1471" w:right="80" w:firstLine="1"/>
        <w:spacing w:after="0" w:line="254" w:lineRule="auto"/>
        <w:rPr>
          <w:sz w:val="20"/>
          <w:szCs w:val="20"/>
          <w:color w:val="auto"/>
        </w:rPr>
      </w:pPr>
      <w:r>
        <w:rPr>
          <w:rFonts w:ascii="Arial" w:cs="Arial" w:eastAsia="Arial" w:hAnsi="Arial"/>
          <w:sz w:val="17"/>
          <w:szCs w:val="17"/>
          <w:color w:val="auto"/>
        </w:rPr>
        <w:t>Any contents of this Agreement and its annexes shall be kept confidential. Any Party shall not disclose to any third party any information contained herein (unless they obtain the prior written consent of the Parties hereto). These provisions hereof shall survive the termination of this Agreement.</w:t>
      </w:r>
    </w:p>
    <w:p>
      <w:pPr>
        <w:spacing w:after="0" w:line="17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color w:val="auto"/>
        </w:rPr>
        <w:t>Exceptions</w:t>
      </w:r>
    </w:p>
    <w:p>
      <w:pPr>
        <w:spacing w:after="0" w:line="203" w:lineRule="exact"/>
        <w:rPr>
          <w:sz w:val="20"/>
          <w:szCs w:val="20"/>
          <w:color w:val="auto"/>
        </w:rPr>
      </w:pPr>
    </w:p>
    <w:p>
      <w:pPr>
        <w:ind w:left="1471" w:right="80" w:firstLine="1"/>
        <w:spacing w:after="0" w:line="264" w:lineRule="auto"/>
        <w:rPr>
          <w:sz w:val="20"/>
          <w:szCs w:val="20"/>
          <w:color w:val="auto"/>
        </w:rPr>
      </w:pPr>
      <w:r>
        <w:rPr>
          <w:rFonts w:ascii="Arial" w:cs="Arial" w:eastAsia="Arial" w:hAnsi="Arial"/>
          <w:sz w:val="17"/>
          <w:szCs w:val="17"/>
          <w:color w:val="auto"/>
        </w:rPr>
        <w:t>Any disclosure of any confidential information required by the laws, court judgments, arbitral awards and decisions of governmental authorities shall not constitute a breach of the Section 7.1 above.</w:t>
      </w:r>
    </w:p>
    <w:p>
      <w:pPr>
        <w:spacing w:after="0" w:line="164" w:lineRule="exact"/>
        <w:rPr>
          <w:sz w:val="20"/>
          <w:szCs w:val="20"/>
          <w:color w:val="auto"/>
        </w:rPr>
      </w:pPr>
    </w:p>
    <w:p>
      <w:pPr>
        <w:ind w:left="631" w:hanging="631"/>
        <w:spacing w:after="0"/>
        <w:tabs>
          <w:tab w:leader="none" w:pos="631"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tbl>
      <w:tblPr>
        <w:tblLayout w:type="fixed"/>
        <w:tblInd w:w="611" w:type="dxa"/>
        <w:tblCellMar>
          <w:top w:w="0" w:type="dxa"/>
          <w:left w:w="0" w:type="dxa"/>
          <w:bottom w:w="0" w:type="dxa"/>
          <w:right w:w="0" w:type="dxa"/>
        </w:tblCellMar>
      </w:tblPr>
      <w:tr>
        <w:trPr>
          <w:trHeight w:val="212"/>
        </w:trPr>
        <w:tc>
          <w:tcPr>
            <w:tcW w:w="760" w:type="dxa"/>
            <w:vAlign w:val="bottom"/>
          </w:tcPr>
          <w:p>
            <w:pPr>
              <w:jc w:val="right"/>
              <w:ind w:right="477"/>
              <w:spacing w:after="0"/>
              <w:rPr>
                <w:sz w:val="20"/>
                <w:szCs w:val="20"/>
                <w:color w:val="auto"/>
              </w:rPr>
            </w:pPr>
            <w:r>
              <w:rPr>
                <w:rFonts w:ascii="Arial" w:cs="Arial" w:eastAsia="Arial" w:hAnsi="Arial"/>
                <w:sz w:val="17"/>
                <w:szCs w:val="17"/>
                <w:color w:val="auto"/>
                <w:w w:val="75"/>
              </w:rPr>
              <w:t>8.1</w:t>
            </w:r>
          </w:p>
        </w:tc>
        <w:tc>
          <w:tcPr>
            <w:tcW w:w="9740" w:type="dxa"/>
            <w:vAlign w:val="bottom"/>
          </w:tcPr>
          <w:p>
            <w:pPr>
              <w:ind w:left="100"/>
              <w:spacing w:after="0"/>
              <w:rPr>
                <w:sz w:val="20"/>
                <w:szCs w:val="20"/>
                <w:color w:val="auto"/>
              </w:rPr>
            </w:pPr>
            <w:r>
              <w:rPr>
                <w:rFonts w:ascii="Arial" w:cs="Arial" w:eastAsia="Arial" w:hAnsi="Arial"/>
                <w:sz w:val="17"/>
                <w:szCs w:val="17"/>
                <w:color w:val="auto"/>
              </w:rPr>
              <w:t>Entire Agreement</w:t>
            </w:r>
          </w:p>
        </w:tc>
      </w:tr>
      <w:tr>
        <w:trPr>
          <w:trHeight w:val="386"/>
        </w:trPr>
        <w:tc>
          <w:tcPr>
            <w:tcW w:w="760" w:type="dxa"/>
            <w:vAlign w:val="bottom"/>
          </w:tcPr>
          <w:p>
            <w:pPr>
              <w:spacing w:after="0"/>
              <w:rPr>
                <w:sz w:val="24"/>
                <w:szCs w:val="24"/>
                <w:color w:val="auto"/>
              </w:rPr>
            </w:pPr>
          </w:p>
        </w:tc>
        <w:tc>
          <w:tcPr>
            <w:tcW w:w="9740" w:type="dxa"/>
            <w:vAlign w:val="bottom"/>
          </w:tcPr>
          <w:p>
            <w:pPr>
              <w:ind w:left="100"/>
              <w:spacing w:after="0"/>
              <w:rPr>
                <w:sz w:val="20"/>
                <w:szCs w:val="20"/>
                <w:color w:val="auto"/>
              </w:rPr>
            </w:pPr>
            <w:r>
              <w:rPr>
                <w:rFonts w:ascii="Arial" w:cs="Arial" w:eastAsia="Arial" w:hAnsi="Arial"/>
                <w:sz w:val="17"/>
                <w:szCs w:val="17"/>
                <w:color w:val="auto"/>
                <w:w w:val="95"/>
              </w:rPr>
              <w:t>This Agreement shall constitute an entire agreement among the Parties hereto in respect of the matters involved herein. In case of any</w:t>
            </w:r>
          </w:p>
        </w:tc>
      </w:tr>
      <w:tr>
        <w:trPr>
          <w:trHeight w:val="199"/>
        </w:trPr>
        <w:tc>
          <w:tcPr>
            <w:tcW w:w="760" w:type="dxa"/>
            <w:vAlign w:val="bottom"/>
          </w:tcPr>
          <w:p>
            <w:pPr>
              <w:spacing w:after="0"/>
              <w:rPr>
                <w:sz w:val="17"/>
                <w:szCs w:val="17"/>
                <w:color w:val="auto"/>
              </w:rPr>
            </w:pPr>
          </w:p>
        </w:tc>
        <w:tc>
          <w:tcPr>
            <w:tcW w:w="9740" w:type="dxa"/>
            <w:vAlign w:val="bottom"/>
          </w:tcPr>
          <w:p>
            <w:pPr>
              <w:ind w:left="100"/>
              <w:spacing w:after="0"/>
              <w:rPr>
                <w:sz w:val="20"/>
                <w:szCs w:val="20"/>
                <w:color w:val="auto"/>
              </w:rPr>
            </w:pPr>
            <w:r>
              <w:rPr>
                <w:rFonts w:ascii="Arial" w:cs="Arial" w:eastAsia="Arial" w:hAnsi="Arial"/>
                <w:sz w:val="17"/>
                <w:szCs w:val="17"/>
                <w:color w:val="auto"/>
                <w:w w:val="87"/>
              </w:rPr>
              <w:t>discrepancies between any prior discussions, negotiations and agreement and this Agreement, this Agreement shall prevail. This Agreement shall</w:t>
            </w:r>
          </w:p>
        </w:tc>
      </w:tr>
      <w:tr>
        <w:trPr>
          <w:trHeight w:val="199"/>
        </w:trPr>
        <w:tc>
          <w:tcPr>
            <w:tcW w:w="760" w:type="dxa"/>
            <w:vAlign w:val="bottom"/>
          </w:tcPr>
          <w:p>
            <w:pPr>
              <w:spacing w:after="0"/>
              <w:rPr>
                <w:sz w:val="17"/>
                <w:szCs w:val="17"/>
                <w:color w:val="auto"/>
              </w:rPr>
            </w:pPr>
          </w:p>
        </w:tc>
        <w:tc>
          <w:tcPr>
            <w:tcW w:w="9740" w:type="dxa"/>
            <w:vAlign w:val="bottom"/>
          </w:tcPr>
          <w:p>
            <w:pPr>
              <w:ind w:left="100"/>
              <w:spacing w:after="0"/>
              <w:rPr>
                <w:sz w:val="20"/>
                <w:szCs w:val="20"/>
                <w:color w:val="auto"/>
              </w:rPr>
            </w:pPr>
            <w:r>
              <w:rPr>
                <w:rFonts w:ascii="Arial" w:cs="Arial" w:eastAsia="Arial" w:hAnsi="Arial"/>
                <w:sz w:val="17"/>
                <w:szCs w:val="17"/>
                <w:color w:val="auto"/>
                <w:w w:val="94"/>
              </w:rPr>
              <w:t>be amended by the Parties in writing. Any annexes hereto shall form an integral part of this Agreement and be equally authentic as this</w:t>
            </w:r>
          </w:p>
        </w:tc>
      </w:tr>
      <w:tr>
        <w:trPr>
          <w:trHeight w:val="212"/>
        </w:trPr>
        <w:tc>
          <w:tcPr>
            <w:tcW w:w="760" w:type="dxa"/>
            <w:vAlign w:val="bottom"/>
          </w:tcPr>
          <w:p>
            <w:pPr>
              <w:spacing w:after="0"/>
              <w:rPr>
                <w:sz w:val="18"/>
                <w:szCs w:val="18"/>
                <w:color w:val="auto"/>
              </w:rPr>
            </w:pPr>
          </w:p>
        </w:tc>
        <w:tc>
          <w:tcPr>
            <w:tcW w:w="9740" w:type="dxa"/>
            <w:vAlign w:val="bottom"/>
          </w:tcPr>
          <w:p>
            <w:pPr>
              <w:ind w:left="100"/>
              <w:spacing w:after="0"/>
              <w:rPr>
                <w:sz w:val="20"/>
                <w:szCs w:val="20"/>
                <w:color w:val="auto"/>
              </w:rPr>
            </w:pPr>
            <w:r>
              <w:rPr>
                <w:rFonts w:ascii="Arial" w:cs="Arial" w:eastAsia="Arial" w:hAnsi="Arial"/>
                <w:sz w:val="17"/>
                <w:szCs w:val="17"/>
                <w:color w:val="auto"/>
              </w:rPr>
              <w:t>Agreement.</w:t>
            </w:r>
          </w:p>
        </w:tc>
      </w:tr>
      <w:tr>
        <w:trPr>
          <w:trHeight w:val="399"/>
        </w:trPr>
        <w:tc>
          <w:tcPr>
            <w:tcW w:w="760" w:type="dxa"/>
            <w:vAlign w:val="bottom"/>
          </w:tcPr>
          <w:p>
            <w:pPr>
              <w:jc w:val="right"/>
              <w:ind w:right="477"/>
              <w:spacing w:after="0"/>
              <w:rPr>
                <w:sz w:val="20"/>
                <w:szCs w:val="20"/>
                <w:color w:val="auto"/>
              </w:rPr>
            </w:pPr>
            <w:r>
              <w:rPr>
                <w:rFonts w:ascii="Arial" w:cs="Arial" w:eastAsia="Arial" w:hAnsi="Arial"/>
                <w:sz w:val="17"/>
                <w:szCs w:val="17"/>
                <w:color w:val="auto"/>
                <w:w w:val="75"/>
              </w:rPr>
              <w:t>8.2</w:t>
            </w:r>
          </w:p>
        </w:tc>
        <w:tc>
          <w:tcPr>
            <w:tcW w:w="9740" w:type="dxa"/>
            <w:vAlign w:val="bottom"/>
          </w:tcPr>
          <w:p>
            <w:pPr>
              <w:ind w:left="100"/>
              <w:spacing w:after="0"/>
              <w:rPr>
                <w:sz w:val="20"/>
                <w:szCs w:val="20"/>
                <w:color w:val="auto"/>
              </w:rPr>
            </w:pPr>
            <w:r>
              <w:rPr>
                <w:rFonts w:ascii="Arial" w:cs="Arial" w:eastAsia="Arial" w:hAnsi="Arial"/>
                <w:sz w:val="17"/>
                <w:szCs w:val="17"/>
                <w:color w:val="auto"/>
              </w:rPr>
              <w:t>Notices</w:t>
            </w:r>
          </w:p>
        </w:tc>
      </w:tr>
      <w:tr>
        <w:trPr>
          <w:trHeight w:val="399"/>
        </w:trPr>
        <w:tc>
          <w:tcPr>
            <w:tcW w:w="760" w:type="dxa"/>
            <w:vAlign w:val="bottom"/>
          </w:tcPr>
          <w:p>
            <w:pPr>
              <w:jc w:val="right"/>
              <w:spacing w:after="0"/>
              <w:rPr>
                <w:sz w:val="20"/>
                <w:szCs w:val="20"/>
                <w:color w:val="auto"/>
              </w:rPr>
            </w:pPr>
            <w:r>
              <w:rPr>
                <w:rFonts w:ascii="Arial" w:cs="Arial" w:eastAsia="Arial" w:hAnsi="Arial"/>
                <w:sz w:val="17"/>
                <w:szCs w:val="17"/>
                <w:color w:val="auto"/>
              </w:rPr>
              <w:t>8.2.1</w:t>
            </w:r>
          </w:p>
        </w:tc>
        <w:tc>
          <w:tcPr>
            <w:tcW w:w="9740" w:type="dxa"/>
            <w:vAlign w:val="bottom"/>
          </w:tcPr>
          <w:p>
            <w:pPr>
              <w:ind w:left="640"/>
              <w:spacing w:after="0"/>
              <w:rPr>
                <w:sz w:val="20"/>
                <w:szCs w:val="20"/>
                <w:color w:val="auto"/>
              </w:rPr>
            </w:pPr>
            <w:r>
              <w:rPr>
                <w:rFonts w:ascii="Arial" w:cs="Arial" w:eastAsia="Arial" w:hAnsi="Arial"/>
                <w:sz w:val="17"/>
                <w:szCs w:val="17"/>
                <w:color w:val="auto"/>
                <w:w w:val="89"/>
              </w:rPr>
              <w:t>Any notices sent by the Parties for the performance of their rights and obligations under this Agreement shall be made in writing and be</w:t>
            </w:r>
          </w:p>
        </w:tc>
      </w:tr>
    </w:tbl>
    <w:p>
      <w:pPr>
        <w:ind w:left="2011" w:right="80"/>
        <w:spacing w:after="0" w:line="249" w:lineRule="auto"/>
        <w:rPr>
          <w:sz w:val="20"/>
          <w:szCs w:val="20"/>
          <w:color w:val="auto"/>
        </w:rPr>
      </w:pPr>
      <w:r>
        <w:rPr>
          <w:rFonts w:ascii="Arial" w:cs="Arial" w:eastAsia="Arial" w:hAnsi="Arial"/>
          <w:sz w:val="17"/>
          <w:szCs w:val="17"/>
          <w:color w:val="auto"/>
        </w:rPr>
        <w:t>sent to the following addresses of one or all of the Parties hereto by personal delivery, registered mail, postage prepaid mail, recognized express service or facsimile transmission:</w:t>
      </w:r>
    </w:p>
    <w:p>
      <w:pPr>
        <w:spacing w:after="0" w:line="176" w:lineRule="exact"/>
        <w:rPr>
          <w:sz w:val="20"/>
          <w:szCs w:val="20"/>
          <w:color w:val="auto"/>
        </w:rPr>
      </w:pPr>
    </w:p>
    <w:p>
      <w:pPr>
        <w:ind w:left="2011"/>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left="2011"/>
        <w:spacing w:after="0"/>
        <w:rPr>
          <w:sz w:val="20"/>
          <w:szCs w:val="20"/>
          <w:color w:val="auto"/>
        </w:rPr>
      </w:pPr>
      <w:r>
        <w:rPr>
          <w:rFonts w:ascii="Arial" w:cs="Arial" w:eastAsia="Arial" w:hAnsi="Arial"/>
          <w:sz w:val="17"/>
          <w:szCs w:val="17"/>
          <w:color w:val="auto"/>
        </w:rPr>
        <w:t>Address: Building 6, yard 36, Chuangyuan Road, Laiguangying, Chaoyang District, Beijing</w:t>
      </w:r>
    </w:p>
    <w:p>
      <w:pPr>
        <w:spacing w:after="0" w:line="16" w:lineRule="exact"/>
        <w:rPr>
          <w:sz w:val="20"/>
          <w:szCs w:val="20"/>
          <w:color w:val="auto"/>
        </w:rPr>
      </w:pPr>
    </w:p>
    <w:p>
      <w:pPr>
        <w:ind w:left="2011"/>
        <w:spacing w:after="0"/>
        <w:rPr>
          <w:sz w:val="20"/>
          <w:szCs w:val="20"/>
          <w:color w:val="auto"/>
        </w:rPr>
      </w:pPr>
      <w:r>
        <w:rPr>
          <w:rFonts w:ascii="Arial" w:cs="Arial" w:eastAsia="Arial" w:hAnsi="Arial"/>
          <w:sz w:val="17"/>
          <w:szCs w:val="17"/>
          <w:color w:val="auto"/>
        </w:rPr>
        <w:t>Tel.: [•]</w:t>
      </w:r>
    </w:p>
    <w:p>
      <w:pPr>
        <w:spacing w:after="0" w:line="4" w:lineRule="exact"/>
        <w:rPr>
          <w:sz w:val="20"/>
          <w:szCs w:val="20"/>
          <w:color w:val="auto"/>
        </w:rPr>
      </w:pPr>
    </w:p>
    <w:p>
      <w:pPr>
        <w:ind w:left="2011"/>
        <w:spacing w:after="0"/>
        <w:rPr>
          <w:sz w:val="20"/>
          <w:szCs w:val="20"/>
          <w:color w:val="auto"/>
        </w:rPr>
      </w:pPr>
      <w:r>
        <w:rPr>
          <w:rFonts w:ascii="Arial" w:cs="Arial" w:eastAsia="Arial" w:hAnsi="Arial"/>
          <w:sz w:val="17"/>
          <w:szCs w:val="17"/>
          <w:color w:val="auto"/>
        </w:rPr>
        <w:t>Attn.: LIU Tongbo</w:t>
      </w:r>
    </w:p>
    <w:p>
      <w:pPr>
        <w:spacing w:after="0" w:line="187" w:lineRule="exact"/>
        <w:rPr>
          <w:sz w:val="20"/>
          <w:szCs w:val="20"/>
          <w:color w:val="auto"/>
        </w:rPr>
      </w:pPr>
    </w:p>
    <w:p>
      <w:pPr>
        <w:ind w:left="2011"/>
        <w:spacing w:after="0"/>
        <w:rPr>
          <w:sz w:val="20"/>
          <w:szCs w:val="20"/>
          <w:color w:val="auto"/>
        </w:rPr>
      </w:pPr>
      <w:r>
        <w:rPr>
          <w:rFonts w:ascii="Arial" w:cs="Arial" w:eastAsia="Arial" w:hAnsi="Arial"/>
          <w:sz w:val="17"/>
          <w:szCs w:val="17"/>
          <w:b w:val="1"/>
          <w:bCs w:val="1"/>
          <w:color w:val="auto"/>
        </w:rPr>
        <w:t>Party B and Party C</w:t>
      </w:r>
      <w:r>
        <w:rPr>
          <w:rFonts w:ascii="Arial" w:cs="Arial" w:eastAsia="Arial" w:hAnsi="Arial"/>
          <w:sz w:val="17"/>
          <w:szCs w:val="17"/>
          <w:color w:val="auto"/>
        </w:rPr>
        <w:t>:</w:t>
      </w:r>
    </w:p>
    <w:p>
      <w:pPr>
        <w:spacing w:after="0" w:line="207" w:lineRule="exact"/>
        <w:rPr>
          <w:sz w:val="20"/>
          <w:szCs w:val="20"/>
          <w:color w:val="auto"/>
        </w:rPr>
      </w:pPr>
    </w:p>
    <w:p>
      <w:pPr>
        <w:ind w:left="2011"/>
        <w:spacing w:after="0"/>
        <w:rPr>
          <w:sz w:val="20"/>
          <w:szCs w:val="20"/>
          <w:color w:val="auto"/>
        </w:rPr>
      </w:pPr>
      <w:r>
        <w:rPr>
          <w:rFonts w:ascii="Arial" w:cs="Arial" w:eastAsia="Arial" w:hAnsi="Arial"/>
          <w:sz w:val="17"/>
          <w:szCs w:val="17"/>
          <w:color w:val="auto"/>
        </w:rPr>
        <w:t>Address: No. 13 building, Lai Guang Ying Chao Lai Science Park, Chaoyang District, Beijing</w:t>
      </w:r>
    </w:p>
    <w:p>
      <w:pPr>
        <w:spacing w:after="0" w:line="16" w:lineRule="exact"/>
        <w:rPr>
          <w:sz w:val="20"/>
          <w:szCs w:val="20"/>
          <w:color w:val="auto"/>
        </w:rPr>
      </w:pPr>
    </w:p>
    <w:p>
      <w:pPr>
        <w:ind w:left="2011"/>
        <w:spacing w:after="0"/>
        <w:rPr>
          <w:sz w:val="20"/>
          <w:szCs w:val="20"/>
          <w:color w:val="auto"/>
        </w:rPr>
      </w:pPr>
      <w:r>
        <w:rPr>
          <w:rFonts w:ascii="Arial" w:cs="Arial" w:eastAsia="Arial" w:hAnsi="Arial"/>
          <w:sz w:val="17"/>
          <w:szCs w:val="17"/>
          <w:color w:val="auto"/>
        </w:rPr>
        <w:t>Tel.: [•]</w:t>
      </w:r>
    </w:p>
    <w:p>
      <w:pPr>
        <w:spacing w:after="0" w:line="4" w:lineRule="exact"/>
        <w:rPr>
          <w:sz w:val="20"/>
          <w:szCs w:val="20"/>
          <w:color w:val="auto"/>
        </w:rPr>
      </w:pPr>
    </w:p>
    <w:p>
      <w:pPr>
        <w:ind w:left="2011"/>
        <w:spacing w:after="0"/>
        <w:rPr>
          <w:sz w:val="20"/>
          <w:szCs w:val="20"/>
          <w:color w:val="auto"/>
        </w:rPr>
      </w:pPr>
      <w:r>
        <w:rPr>
          <w:rFonts w:ascii="Arial" w:cs="Arial" w:eastAsia="Arial" w:hAnsi="Arial"/>
          <w:sz w:val="17"/>
          <w:szCs w:val="17"/>
          <w:color w:val="auto"/>
        </w:rPr>
        <w:t>Attn.: LI 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432435</wp:posOffset>
            </wp:positionV>
            <wp:extent cx="7184390" cy="412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11"/>
          </w:cols>
          <w:pgMar w:left="369" w:top="526" w:right="419" w:bottom="1440" w:gutter="0" w:footer="0" w:header="0"/>
        </w:sectPr>
      </w:pPr>
    </w:p>
    <w:bookmarkStart w:id="230" w:name="page231"/>
    <w:bookmarkEnd w:id="230"/>
    <w:p>
      <w:pPr>
        <w:ind w:left="1520"/>
        <w:spacing w:after="0"/>
        <w:tabs>
          <w:tab w:leader="none" w:pos="2360"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3"/>
          <w:szCs w:val="13"/>
          <w:color w:val="auto"/>
        </w:rPr>
        <w:t>All notices and correspondences shall be deemed to have been delivered under the following circumstances:</w:t>
      </w:r>
    </w:p>
    <w:p>
      <w:pPr>
        <w:spacing w:after="0" w:line="203" w:lineRule="exact"/>
        <w:rPr>
          <w:sz w:val="20"/>
          <w:szCs w:val="20"/>
          <w:color w:val="auto"/>
        </w:rPr>
      </w:pPr>
    </w:p>
    <w:p>
      <w:pPr>
        <w:ind w:left="3040" w:right="200" w:hanging="661"/>
        <w:spacing w:after="0" w:line="254" w:lineRule="auto"/>
        <w:tabs>
          <w:tab w:leader="none" w:pos="30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If delivered by fax, the date displayed on the fax machine shall be the date of delivery, provided that, when such notices sent by fax are delivered later than 5:00 p.m. or on any non-working day in the place of delivery, the working day following the date displayed shall be the date of delivery;</w:t>
      </w:r>
    </w:p>
    <w:p>
      <w:pPr>
        <w:spacing w:after="0" w:line="176" w:lineRule="exact"/>
        <w:rPr>
          <w:rFonts w:ascii="Arial" w:cs="Arial" w:eastAsia="Arial" w:hAnsi="Arial"/>
          <w:sz w:val="17"/>
          <w:szCs w:val="17"/>
          <w:color w:val="auto"/>
        </w:rPr>
      </w:pPr>
    </w:p>
    <w:p>
      <w:pPr>
        <w:ind w:left="3040" w:right="100" w:hanging="661"/>
        <w:spacing w:after="0" w:line="264" w:lineRule="auto"/>
        <w:tabs>
          <w:tab w:leader="none" w:pos="30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If delivered by personal delivery (including by express mail service), the date of signing for such notices shall be the date of delivery; and</w:t>
      </w:r>
    </w:p>
    <w:p>
      <w:pPr>
        <w:spacing w:after="0" w:line="167" w:lineRule="exact"/>
        <w:rPr>
          <w:rFonts w:ascii="Arial" w:cs="Arial" w:eastAsia="Arial" w:hAnsi="Arial"/>
          <w:sz w:val="17"/>
          <w:szCs w:val="17"/>
          <w:color w:val="auto"/>
        </w:rPr>
      </w:pPr>
    </w:p>
    <w:p>
      <w:pPr>
        <w:ind w:left="3040" w:right="220" w:hanging="661"/>
        <w:spacing w:after="0" w:line="265" w:lineRule="auto"/>
        <w:tabs>
          <w:tab w:leader="none" w:pos="30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If delivered by registered mail, the Fifteenth (15</w:t>
      </w:r>
      <w:r>
        <w:rPr>
          <w:rFonts w:ascii="Arial" w:cs="Arial" w:eastAsia="Arial" w:hAnsi="Arial"/>
          <w:sz w:val="14"/>
          <w:szCs w:val="14"/>
          <w:color w:val="auto"/>
        </w:rPr>
        <w:t>th</w:t>
      </w:r>
      <w:r>
        <w:rPr>
          <w:rFonts w:ascii="Arial" w:cs="Arial" w:eastAsia="Arial" w:hAnsi="Arial"/>
          <w:sz w:val="17"/>
          <w:szCs w:val="17"/>
          <w:color w:val="auto"/>
        </w:rPr>
        <w:t>) day following the date shown in the return receipt of such registered mail shall be the date of delivery.</w:t>
      </w:r>
    </w:p>
    <w:p>
      <w:pPr>
        <w:spacing w:after="0" w:line="167" w:lineRule="exact"/>
        <w:rPr>
          <w:sz w:val="20"/>
          <w:szCs w:val="20"/>
          <w:color w:val="auto"/>
        </w:rPr>
      </w:pPr>
    </w:p>
    <w:p>
      <w:pPr>
        <w:ind w:left="1520"/>
        <w:spacing w:after="0"/>
        <w:tabs>
          <w:tab w:leader="none" w:pos="2360" w:val="left"/>
        </w:tabs>
        <w:rPr>
          <w:sz w:val="20"/>
          <w:szCs w:val="20"/>
          <w:color w:val="auto"/>
        </w:rPr>
      </w:pPr>
      <w:r>
        <w:rPr>
          <w:rFonts w:ascii="Arial" w:cs="Arial" w:eastAsia="Arial" w:hAnsi="Arial"/>
          <w:sz w:val="17"/>
          <w:szCs w:val="17"/>
          <w:color w:val="auto"/>
        </w:rPr>
        <w:t>8.2.3</w:t>
      </w:r>
      <w:r>
        <w:rPr>
          <w:sz w:val="20"/>
          <w:szCs w:val="20"/>
          <w:color w:val="auto"/>
        </w:rPr>
        <w:tab/>
      </w:r>
      <w:r>
        <w:rPr>
          <w:rFonts w:ascii="Arial" w:cs="Arial" w:eastAsia="Arial" w:hAnsi="Arial"/>
          <w:sz w:val="15"/>
          <w:szCs w:val="15"/>
          <w:color w:val="auto"/>
        </w:rPr>
        <w:t>Binding force</w:t>
      </w:r>
    </w:p>
    <w:p>
      <w:pPr>
        <w:spacing w:after="0" w:line="203"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This Agreement shall be binding on the Parties hereto.</w:t>
      </w:r>
    </w:p>
    <w:p>
      <w:pPr>
        <w:spacing w:after="0" w:line="20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3"/>
          <w:szCs w:val="13"/>
          <w:color w:val="auto"/>
        </w:rPr>
        <w:t>Language</w:t>
      </w:r>
    </w:p>
    <w:p>
      <w:pPr>
        <w:spacing w:after="0" w:line="20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This Agreement is written in Chinese and is executed in four (4) copies.</w:t>
      </w:r>
    </w:p>
    <w:p>
      <w:pPr>
        <w:spacing w:after="0" w:line="20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color w:val="auto"/>
        </w:rPr>
        <w:t>Day and Working Day</w:t>
      </w:r>
    </w:p>
    <w:p>
      <w:pPr>
        <w:spacing w:after="0" w:line="19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Day</w:t>
      </w:r>
      <w:r>
        <w:rPr>
          <w:rFonts w:ascii="Arial" w:cs="Arial" w:eastAsia="Arial" w:hAnsi="Arial"/>
          <w:sz w:val="17"/>
          <w:szCs w:val="17"/>
          <w:color w:val="auto"/>
        </w:rPr>
        <w:t>” referred to herein shall be the calendar day; “</w:t>
      </w:r>
      <w:r>
        <w:rPr>
          <w:rFonts w:ascii="Arial" w:cs="Arial" w:eastAsia="Arial" w:hAnsi="Arial"/>
          <w:sz w:val="17"/>
          <w:szCs w:val="17"/>
          <w:b w:val="1"/>
          <w:bCs w:val="1"/>
          <w:color w:val="auto"/>
        </w:rPr>
        <w:t>Working Day</w:t>
      </w:r>
      <w:r>
        <w:rPr>
          <w:rFonts w:ascii="Arial" w:cs="Arial" w:eastAsia="Arial" w:hAnsi="Arial"/>
          <w:sz w:val="17"/>
          <w:szCs w:val="17"/>
          <w:color w:val="auto"/>
        </w:rPr>
        <w:t>” referred to herein shall be any day from Monday to Friday.</w:t>
      </w:r>
    </w:p>
    <w:p>
      <w:pPr>
        <w:spacing w:after="0" w:line="20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3"/>
          <w:szCs w:val="13"/>
          <w:color w:val="auto"/>
        </w:rPr>
        <w:t>Headings</w:t>
      </w:r>
    </w:p>
    <w:p>
      <w:pPr>
        <w:spacing w:after="0" w:line="20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The headings hereunder are for reading convenience only and shall not be used for the interpretation of this Agreement.</w:t>
      </w:r>
    </w:p>
    <w:p>
      <w:pPr>
        <w:spacing w:after="0" w:line="20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3"/>
          <w:szCs w:val="13"/>
          <w:color w:val="auto"/>
        </w:rPr>
        <w:t>Pending matters</w:t>
      </w:r>
    </w:p>
    <w:p>
      <w:pPr>
        <w:spacing w:after="0" w:line="203"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Any matters not stipulated herein shall be resolved by the Parties hereto through friendly consultation in accordance with the laws of the PRC.</w:t>
      </w:r>
    </w:p>
    <w:p>
      <w:pPr>
        <w:spacing w:after="0" w:line="22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Termination</w:t>
      </w:r>
    </w:p>
    <w:p>
      <w:pPr>
        <w:spacing w:after="0" w:line="203" w:lineRule="exact"/>
        <w:rPr>
          <w:sz w:val="20"/>
          <w:szCs w:val="20"/>
          <w:color w:val="auto"/>
        </w:rPr>
      </w:pPr>
    </w:p>
    <w:p>
      <w:pPr>
        <w:ind w:left="1520" w:firstLine="1"/>
        <w:spacing w:after="0" w:line="278" w:lineRule="auto"/>
        <w:rPr>
          <w:sz w:val="20"/>
          <w:szCs w:val="20"/>
          <w:color w:val="auto"/>
        </w:rPr>
      </w:pPr>
      <w:r>
        <w:rPr>
          <w:rFonts w:ascii="Arial" w:cs="Arial" w:eastAsia="Arial" w:hAnsi="Arial"/>
          <w:sz w:val="16"/>
          <w:szCs w:val="16"/>
          <w:color w:val="auto"/>
        </w:rPr>
        <w:t>The Parties hereto acknowledge that, in case of any change of shareholding structure of Party C or any increase or decrease of shareholders, Party A, Party C and all existing shareholders of Party C shall re-sign this Agreement and that this Agreement shall be automatically terminated and become invalid from the effective date of the option agreement re-signed by the aforesaid Parties.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remainder of this page is intentionally left blank]</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[This page is the signature page to the Option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432435</wp:posOffset>
            </wp:positionV>
            <wp:extent cx="7184390" cy="41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00"/>
          </w:cols>
          <w:pgMar w:left="320" w:top="326" w:right="379" w:bottom="1440" w:gutter="0" w:footer="0" w:header="0"/>
        </w:sectPr>
      </w:pPr>
    </w:p>
    <w:bookmarkStart w:id="231" w:name="page232"/>
    <w:bookmarkEnd w:id="231"/>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LI Ming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Ming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CHEN Di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CHEN Di</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 Ming</w:t>
      </w:r>
      <w:r>
        <w:rPr>
          <w:rFonts w:ascii="Arial" w:cs="Arial" w:eastAsia="Arial" w:hAnsi="Arial"/>
          <w:sz w:val="17"/>
          <w:szCs w:val="17"/>
          <w:color w:val="auto"/>
        </w:rPr>
        <w:t xml:space="preserve"> (Seal)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 Party C’s Shareholders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S/N</w:t>
            </w:r>
          </w:p>
        </w:tc>
        <w:tc>
          <w:tcPr>
            <w:tcW w:w="54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right w:val="single" w:sz="8" w:color="auto"/>
            </w:tcBorders>
          </w:tcPr>
          <w:p>
            <w:pPr>
              <w:jc w:val="center"/>
              <w:ind w:right="473"/>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7"/>
                <w:szCs w:val="17"/>
                <w:color w:val="auto"/>
              </w:rPr>
              <w:t>ID Card No.</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540" w:type="dxa"/>
            <w:vAlign w:val="bottom"/>
            <w:tcBorders>
              <w:bottom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ind w:right="473"/>
              <w:spacing w:after="0" w:line="192" w:lineRule="exact"/>
              <w:rPr>
                <w:sz w:val="20"/>
                <w:szCs w:val="20"/>
                <w:color w:val="auto"/>
              </w:rPr>
            </w:pPr>
            <w:r>
              <w:rPr>
                <w:rFonts w:ascii="Arial" w:cs="Arial" w:eastAsia="Arial" w:hAnsi="Arial"/>
                <w:sz w:val="17"/>
                <w:szCs w:val="17"/>
                <w:color w:val="auto"/>
              </w:rPr>
              <w:t>LI Ming</w:t>
            </w:r>
          </w:p>
        </w:tc>
        <w:tc>
          <w:tcPr>
            <w:tcW w:w="60" w:type="dxa"/>
            <w:vAlign w:val="bottom"/>
            <w:tcBorders>
              <w:bottom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540" w:type="dxa"/>
            <w:vAlign w:val="bottom"/>
            <w:tcBorders>
              <w:bottom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ind w:right="493"/>
              <w:spacing w:after="0" w:line="192" w:lineRule="exact"/>
              <w:rPr>
                <w:sz w:val="20"/>
                <w:szCs w:val="20"/>
                <w:color w:val="auto"/>
              </w:rPr>
            </w:pPr>
            <w:r>
              <w:rPr>
                <w:rFonts w:ascii="Arial" w:cs="Arial" w:eastAsia="Arial" w:hAnsi="Arial"/>
                <w:sz w:val="17"/>
                <w:szCs w:val="17"/>
                <w:color w:val="auto"/>
                <w:w w:val="95"/>
              </w:rPr>
              <w:t>CHEN Di</w:t>
            </w:r>
          </w:p>
        </w:tc>
        <w:tc>
          <w:tcPr>
            <w:tcW w:w="60" w:type="dxa"/>
            <w:vAlign w:val="bottom"/>
            <w:tcBorders>
              <w:bottom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0" w:type="dxa"/>
            <w:vAlign w:val="bottom"/>
            <w:gridSpan w:val="4"/>
          </w:tcPr>
          <w:p>
            <w:pPr>
              <w:ind w:left="20"/>
              <w:spacing w:after="0"/>
              <w:rPr>
                <w:sz w:val="20"/>
                <w:szCs w:val="20"/>
                <w:color w:val="auto"/>
              </w:rPr>
            </w:pPr>
            <w:r>
              <w:rPr>
                <w:rFonts w:ascii="Arial" w:cs="Arial" w:eastAsia="Arial" w:hAnsi="Arial"/>
                <w:sz w:val="20"/>
                <w:szCs w:val="20"/>
                <w:b w:val="1"/>
                <w:bCs w:val="1"/>
                <w:color w:val="auto"/>
              </w:rPr>
              <w:t>Annex II Party C’s Shareholding Structure</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2"/>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660" w:type="dxa"/>
            <w:vAlign w:val="bottom"/>
            <w:gridSpan w:val="4"/>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right w:val="single" w:sz="8" w:color="auto"/>
            </w:tcBorders>
          </w:tcPr>
          <w:p>
            <w:pPr>
              <w:spacing w:after="0"/>
              <w:rPr>
                <w:sz w:val="15"/>
                <w:szCs w:val="15"/>
                <w:color w:val="auto"/>
              </w:rPr>
            </w:pPr>
          </w:p>
        </w:tc>
        <w:tc>
          <w:tcPr>
            <w:tcW w:w="2460" w:type="dxa"/>
            <w:vAlign w:val="bottom"/>
            <w:tcBorders>
              <w:right w:val="single" w:sz="8" w:color="auto"/>
            </w:tcBorders>
            <w:gridSpan w:val="2"/>
          </w:tcPr>
          <w:p>
            <w:pPr>
              <w:ind w:left="200"/>
              <w:spacing w:after="0" w:line="180" w:lineRule="exact"/>
              <w:rPr>
                <w:sz w:val="20"/>
                <w:szCs w:val="20"/>
                <w:color w:val="auto"/>
              </w:rPr>
            </w:pPr>
            <w:r>
              <w:rPr>
                <w:rFonts w:ascii="Arial" w:cs="Arial" w:eastAsia="Arial" w:hAnsi="Arial"/>
                <w:sz w:val="17"/>
                <w:szCs w:val="17"/>
                <w:color w:val="auto"/>
              </w:rPr>
              <w:t>Amount of Contribution (CNY</w:t>
            </w:r>
          </w:p>
        </w:tc>
        <w:tc>
          <w:tcPr>
            <w:tcW w:w="2480" w:type="dxa"/>
            <w:vAlign w:val="bottom"/>
            <w:tcBorders>
              <w:right w:val="single" w:sz="8" w:color="auto"/>
            </w:tcBorders>
          </w:tcPr>
          <w:p>
            <w:pPr>
              <w:ind w:left="640"/>
              <w:spacing w:after="0" w:line="180" w:lineRule="exact"/>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660" w:type="dxa"/>
            <w:vAlign w:val="bottom"/>
            <w:gridSpan w:val="4"/>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120" w:type="dxa"/>
            <w:vAlign w:val="bottom"/>
            <w:vMerge w:val="restart"/>
          </w:tcPr>
          <w:p>
            <w:pPr>
              <w:jc w:val="center"/>
              <w:ind w:left="237"/>
              <w:spacing w:after="0"/>
              <w:rPr>
                <w:sz w:val="20"/>
                <w:szCs w:val="20"/>
                <w:color w:val="auto"/>
              </w:rPr>
            </w:pPr>
            <w:r>
              <w:rPr>
                <w:rFonts w:ascii="Arial" w:cs="Arial" w:eastAsia="Arial" w:hAnsi="Arial"/>
                <w:sz w:val="17"/>
                <w:szCs w:val="17"/>
                <w:color w:val="auto"/>
                <w:w w:val="90"/>
              </w:rPr>
              <w:t>10000)</w:t>
            </w:r>
          </w:p>
        </w:tc>
        <w:tc>
          <w:tcPr>
            <w:tcW w:w="34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212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2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177"/>
              <w:spacing w:after="0" w:line="192" w:lineRule="exact"/>
              <w:rPr>
                <w:sz w:val="20"/>
                <w:szCs w:val="20"/>
                <w:color w:val="auto"/>
              </w:rPr>
            </w:pPr>
            <w:r>
              <w:rPr>
                <w:rFonts w:ascii="Arial" w:cs="Arial" w:eastAsia="Arial" w:hAnsi="Arial"/>
                <w:sz w:val="17"/>
                <w:szCs w:val="17"/>
                <w:color w:val="auto"/>
              </w:rPr>
              <w:t>LI Ming</w:t>
            </w:r>
          </w:p>
        </w:tc>
        <w:tc>
          <w:tcPr>
            <w:tcW w:w="2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tcPr>
          <w:p>
            <w:pPr>
              <w:jc w:val="center"/>
              <w:ind w:left="237"/>
              <w:spacing w:after="0" w:line="192" w:lineRule="exact"/>
              <w:rPr>
                <w:sz w:val="20"/>
                <w:szCs w:val="20"/>
                <w:color w:val="auto"/>
              </w:rPr>
            </w:pPr>
            <w:r>
              <w:rPr>
                <w:rFonts w:ascii="Arial" w:cs="Arial" w:eastAsia="Arial" w:hAnsi="Arial"/>
                <w:sz w:val="17"/>
                <w:szCs w:val="17"/>
                <w:color w:val="auto"/>
                <w:w w:val="84"/>
              </w:rPr>
              <w:t>190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2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197"/>
              <w:spacing w:after="0" w:line="192" w:lineRule="exact"/>
              <w:rPr>
                <w:sz w:val="20"/>
                <w:szCs w:val="20"/>
                <w:color w:val="auto"/>
              </w:rPr>
            </w:pPr>
            <w:r>
              <w:rPr>
                <w:rFonts w:ascii="Arial" w:cs="Arial" w:eastAsia="Arial" w:hAnsi="Arial"/>
                <w:sz w:val="17"/>
                <w:szCs w:val="17"/>
                <w:color w:val="auto"/>
                <w:w w:val="95"/>
              </w:rPr>
              <w:t>CHEN Di</w:t>
            </w:r>
          </w:p>
        </w:tc>
        <w:tc>
          <w:tcPr>
            <w:tcW w:w="2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tcPr>
          <w:p>
            <w:pPr>
              <w:jc w:val="center"/>
              <w:ind w:left="237"/>
              <w:spacing w:after="0" w:line="192" w:lineRule="exact"/>
              <w:rPr>
                <w:sz w:val="20"/>
                <w:szCs w:val="20"/>
                <w:color w:val="auto"/>
              </w:rPr>
            </w:pPr>
            <w:r>
              <w:rPr>
                <w:rFonts w:ascii="Arial" w:cs="Arial" w:eastAsia="Arial" w:hAnsi="Arial"/>
                <w:sz w:val="17"/>
                <w:szCs w:val="17"/>
                <w:color w:val="auto"/>
                <w:w w:val="84"/>
              </w:rPr>
              <w:t>10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37"/>
              <w:spacing w:after="0" w:line="192" w:lineRule="exact"/>
              <w:rPr>
                <w:sz w:val="20"/>
                <w:szCs w:val="20"/>
                <w:color w:val="auto"/>
              </w:rPr>
            </w:pPr>
            <w:r>
              <w:rPr>
                <w:rFonts w:ascii="Arial" w:cs="Arial" w:eastAsia="Arial" w:hAnsi="Arial"/>
                <w:sz w:val="17"/>
                <w:szCs w:val="17"/>
                <w:color w:val="auto"/>
                <w:w w:val="89"/>
              </w:rPr>
              <w:t>Total</w:t>
            </w:r>
          </w:p>
        </w:tc>
        <w:tc>
          <w:tcPr>
            <w:tcW w:w="2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tcPr>
          <w:p>
            <w:pPr>
              <w:jc w:val="center"/>
              <w:ind w:left="237"/>
              <w:spacing w:after="0" w:line="192" w:lineRule="exact"/>
              <w:rPr>
                <w:sz w:val="20"/>
                <w:szCs w:val="20"/>
                <w:color w:val="auto"/>
              </w:rPr>
            </w:pPr>
            <w:r>
              <w:rPr>
                <w:rFonts w:ascii="Arial" w:cs="Arial" w:eastAsia="Arial" w:hAnsi="Arial"/>
                <w:sz w:val="17"/>
                <w:szCs w:val="17"/>
                <w:color w:val="auto"/>
                <w:w w:val="84"/>
              </w:rPr>
              <w:t>200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322" w:right="339" w:bottom="1440" w:gutter="0" w:footer="0" w:header="0"/>
        </w:sectPr>
      </w:pPr>
    </w:p>
    <w:bookmarkStart w:id="232" w:name="page233"/>
    <w:bookmarkEnd w:id="232"/>
    <w:p>
      <w:pPr>
        <w:ind w:left="10340"/>
        <w:spacing w:after="0"/>
        <w:rPr>
          <w:sz w:val="20"/>
          <w:szCs w:val="20"/>
          <w:color w:val="auto"/>
        </w:rPr>
      </w:pPr>
      <w:r>
        <w:rPr>
          <w:rFonts w:ascii="Arial" w:cs="Arial" w:eastAsia="Arial" w:hAnsi="Arial"/>
          <w:sz w:val="16"/>
          <w:szCs w:val="16"/>
          <w:b w:val="1"/>
          <w:bCs w:val="1"/>
          <w:color w:val="auto"/>
        </w:rPr>
        <w:t>Exhibit 4.27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following parties acknowledge that, for the purpose of the performance by the shareholders (“Authorizers”) of Beijing Odysseus Education Technology Co., Ltd. (“</w:t>
      </w:r>
      <w:r>
        <w:rPr>
          <w:rFonts w:ascii="Arial" w:cs="Arial" w:eastAsia="Arial" w:hAnsi="Arial"/>
          <w:sz w:val="17"/>
          <w:szCs w:val="17"/>
          <w:b w:val="1"/>
          <w:bCs w:val="1"/>
          <w:color w:val="auto"/>
        </w:rPr>
        <w:t>Beijing Odysseus</w:t>
      </w:r>
      <w:r>
        <w:rPr>
          <w:rFonts w:ascii="Arial" w:cs="Arial" w:eastAsia="Arial" w:hAnsi="Arial"/>
          <w:sz w:val="17"/>
          <w:szCs w:val="17"/>
          <w:color w:val="auto"/>
        </w:rPr>
        <w:t>”) of any specific obligations required by them as the shareholders of Beijing Odysseus,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LI Ming, CHEN Di,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The Authorizers hereby irrevocably authorize to the maximum scope permitted by law Wuhan Studyvip Online Education Co., Limited ("</w:t>
      </w:r>
      <w:r>
        <w:rPr>
          <w:rFonts w:ascii="Arial" w:cs="Arial" w:eastAsia="Arial" w:hAnsi="Arial"/>
          <w:sz w:val="15"/>
          <w:szCs w:val="15"/>
          <w:b w:val="1"/>
          <w:bCs w:val="1"/>
          <w:color w:val="auto"/>
        </w:rPr>
        <w:t>WFOE</w:t>
      </w:r>
      <w:r>
        <w:rPr>
          <w:rFonts w:ascii="Arial" w:cs="Arial" w:eastAsia="Arial" w:hAnsi="Arial"/>
          <w:sz w:val="15"/>
          <w:szCs w:val="15"/>
          <w:color w:val="auto"/>
        </w:rPr>
        <w:t>") or its designated person or authorized representative (“</w:t>
      </w:r>
      <w:r>
        <w:rPr>
          <w:rFonts w:ascii="Arial" w:cs="Arial" w:eastAsia="Arial" w:hAnsi="Arial"/>
          <w:sz w:val="15"/>
          <w:szCs w:val="15"/>
          <w:b w:val="1"/>
          <w:bCs w:val="1"/>
          <w:color w:val="auto"/>
        </w:rPr>
        <w:t>Authorized Person</w:t>
      </w:r>
      <w:r>
        <w:rPr>
          <w:rFonts w:ascii="Arial" w:cs="Arial" w:eastAsia="Arial" w:hAnsi="Arial"/>
          <w:sz w:val="15"/>
          <w:szCs w:val="15"/>
          <w:color w:val="auto"/>
        </w:rPr>
        <w:t>”) to exercise all their shareholder rights corresponding to all voting shares (“</w:t>
      </w:r>
      <w:r>
        <w:rPr>
          <w:rFonts w:ascii="Arial" w:cs="Arial" w:eastAsia="Arial" w:hAnsi="Arial"/>
          <w:sz w:val="15"/>
          <w:szCs w:val="15"/>
          <w:b w:val="1"/>
          <w:bCs w:val="1"/>
          <w:color w:val="auto"/>
        </w:rPr>
        <w:t>Shares</w:t>
      </w:r>
      <w:r>
        <w:rPr>
          <w:rFonts w:ascii="Arial" w:cs="Arial" w:eastAsia="Arial" w:hAnsi="Arial"/>
          <w:sz w:val="15"/>
          <w:szCs w:val="15"/>
          <w:color w:val="auto"/>
        </w:rPr>
        <w:t>”) held by them in Beijing Odysseus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w:t>
      </w:r>
    </w:p>
    <w:p>
      <w:pPr>
        <w:jc w:val="both"/>
        <w:spacing w:after="0" w:line="246" w:lineRule="auto"/>
        <w:tabs>
          <w:tab w:leader="none" w:pos="23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Beijing Odysseus at the meeting of shareholders of Beijing Odysseus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designated by the board of directors of the WFOE.</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Unless the Business Operation Agreement signed by Beijing Odysseus,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the fifth day of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3" w:name="page234"/>
    <w:bookmarkEnd w:id="233"/>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LI Ming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Ming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CHEN Di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CHEN Di</w:t>
      </w:r>
    </w:p>
    <w:p>
      <w:pPr>
        <w:spacing w:after="0" w:line="390" w:lineRule="exact"/>
        <w:rPr>
          <w:sz w:val="20"/>
          <w:szCs w:val="20"/>
          <w:color w:val="auto"/>
        </w:rPr>
      </w:pPr>
    </w:p>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Studyvip Online Education Co., Limited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LIU Tongbo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Title: Authorized Representative</w:t>
      </w:r>
    </w:p>
    <w:p>
      <w:pPr>
        <w:sectPr>
          <w:pgSz w:w="11900" w:h="16838" w:orient="portrait"/>
          <w:cols w:equalWidth="0" w:num="1">
            <w:col w:w="10139"/>
          </w:cols>
          <w:pgMar w:left="320" w:top="127" w:right="1440"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20" w:type="dxa"/>
            <w:vAlign w:val="bottom"/>
          </w:tcPr>
          <w:p>
            <w:pPr>
              <w:jc w:val="right"/>
              <w:spacing w:after="0"/>
              <w:rPr>
                <w:sz w:val="20"/>
                <w:szCs w:val="20"/>
                <w:color w:val="auto"/>
              </w:rPr>
            </w:pPr>
            <w:r>
              <w:rPr>
                <w:rFonts w:ascii="Arial" w:cs="Arial" w:eastAsia="Arial" w:hAnsi="Arial"/>
                <w:sz w:val="17"/>
                <w:szCs w:val="17"/>
                <w:b w:val="1"/>
                <w:bCs w:val="1"/>
                <w:color w:val="auto"/>
              </w:rPr>
              <w:t>Exhibit 4.28</w:t>
            </w:r>
          </w:p>
        </w:tc>
      </w:tr>
      <w:tr>
        <w:trPr>
          <w:trHeight w:val="598"/>
        </w:trPr>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40" w:type="dxa"/>
            <w:vAlign w:val="bottom"/>
            <w:gridSpan w:val="2"/>
          </w:tcPr>
          <w:p>
            <w:pPr>
              <w:jc w:val="right"/>
              <w:ind w:right="4917"/>
              <w:spacing w:after="0"/>
              <w:rPr>
                <w:sz w:val="20"/>
                <w:szCs w:val="20"/>
                <w:color w:val="auto"/>
              </w:rPr>
            </w:pPr>
            <w:r>
              <w:rPr>
                <w:rFonts w:ascii="Arial" w:cs="Arial" w:eastAsia="Arial" w:hAnsi="Arial"/>
                <w:sz w:val="17"/>
                <w:szCs w:val="17"/>
                <w:b w:val="1"/>
                <w:bCs w:val="1"/>
                <w:color w:val="auto"/>
                <w:w w:val="95"/>
              </w:rPr>
              <w:t>Spousal Consents</w:t>
            </w:r>
          </w:p>
        </w:tc>
      </w:tr>
      <w:tr>
        <w:trPr>
          <w:trHeight w:val="382"/>
        </w:trPr>
        <w:tc>
          <w:tcPr>
            <w:tcW w:w="4800" w:type="dxa"/>
            <w:vAlign w:val="bottom"/>
            <w:gridSpan w:val="3"/>
          </w:tcPr>
          <w:p>
            <w:pPr>
              <w:spacing w:after="0"/>
              <w:rPr>
                <w:sz w:val="20"/>
                <w:szCs w:val="20"/>
                <w:color w:val="auto"/>
              </w:rPr>
            </w:pPr>
            <w:r>
              <w:rPr>
                <w:rFonts w:ascii="Arial" w:cs="Arial" w:eastAsia="Arial" w:hAnsi="Arial"/>
                <w:sz w:val="17"/>
                <w:szCs w:val="17"/>
                <w:color w:val="auto"/>
                <w:w w:val="95"/>
              </w:rPr>
              <w:t>I, LIU Yiru, (Citizen of the People's Republic of China; ID Card No.:</w:t>
            </w:r>
          </w:p>
        </w:tc>
        <w:tc>
          <w:tcPr>
            <w:tcW w:w="220" w:type="dxa"/>
            <w:vAlign w:val="bottom"/>
          </w:tcPr>
          <w:p>
            <w:pPr>
              <w:spacing w:after="0"/>
              <w:rPr>
                <w:sz w:val="24"/>
                <w:szCs w:val="24"/>
                <w:color w:val="auto"/>
              </w:rPr>
            </w:pPr>
          </w:p>
        </w:tc>
        <w:tc>
          <w:tcPr>
            <w:tcW w:w="6220" w:type="dxa"/>
            <w:vAlign w:val="bottom"/>
          </w:tcPr>
          <w:p>
            <w:pPr>
              <w:jc w:val="right"/>
              <w:spacing w:after="0"/>
              <w:rPr>
                <w:sz w:val="20"/>
                <w:szCs w:val="20"/>
                <w:color w:val="auto"/>
              </w:rPr>
            </w:pPr>
            <w:r>
              <w:rPr>
                <w:rFonts w:ascii="Arial" w:cs="Arial" w:eastAsia="Arial" w:hAnsi="Arial"/>
                <w:sz w:val="17"/>
                <w:szCs w:val="17"/>
                <w:color w:val="auto"/>
              </w:rPr>
              <w:t>), is the lawful spouse of LI Ming (Citizen of the People's Republic of</w:t>
            </w:r>
          </w:p>
        </w:tc>
      </w:tr>
      <w:tr>
        <w:trPr>
          <w:trHeight w:val="178"/>
        </w:trPr>
        <w:tc>
          <w:tcPr>
            <w:tcW w:w="2600" w:type="dxa"/>
            <w:vAlign w:val="bottom"/>
          </w:tcPr>
          <w:p>
            <w:pPr>
              <w:spacing w:after="0" w:line="179" w:lineRule="exact"/>
              <w:rPr>
                <w:sz w:val="20"/>
                <w:szCs w:val="20"/>
                <w:color w:val="auto"/>
              </w:rPr>
            </w:pPr>
            <w:r>
              <w:rPr>
                <w:rFonts w:ascii="Arial" w:cs="Arial" w:eastAsia="Arial" w:hAnsi="Arial"/>
                <w:sz w:val="17"/>
                <w:szCs w:val="17"/>
                <w:color w:val="auto"/>
              </w:rPr>
              <w:t>China; ID Card No.:</w:t>
            </w:r>
          </w:p>
        </w:tc>
        <w:tc>
          <w:tcPr>
            <w:tcW w:w="8640" w:type="dxa"/>
            <w:vAlign w:val="bottom"/>
            <w:gridSpan w:val="4"/>
          </w:tcPr>
          <w:p>
            <w:pPr>
              <w:jc w:val="right"/>
              <w:spacing w:after="0" w:line="179" w:lineRule="exact"/>
              <w:rPr>
                <w:sz w:val="20"/>
                <w:szCs w:val="20"/>
                <w:color w:val="auto"/>
              </w:rPr>
            </w:pPr>
            <w:r>
              <w:rPr>
                <w:rFonts w:ascii="Arial" w:cs="Arial" w:eastAsia="Arial" w:hAnsi="Arial"/>
                <w:sz w:val="17"/>
                <w:szCs w:val="17"/>
                <w:color w:val="auto"/>
              </w:rPr>
              <w:t>, the “</w:t>
            </w:r>
            <w:r>
              <w:rPr>
                <w:rFonts w:ascii="Arial" w:cs="Arial" w:eastAsia="Arial" w:hAnsi="Arial"/>
                <w:sz w:val="17"/>
                <w:szCs w:val="17"/>
                <w:b w:val="1"/>
                <w:bCs w:val="1"/>
                <w:color w:val="auto"/>
              </w:rPr>
              <w:t>My Spouse</w:t>
            </w:r>
            <w:r>
              <w:rPr>
                <w:rFonts w:ascii="Arial" w:cs="Arial" w:eastAsia="Arial" w:hAnsi="Arial"/>
                <w:sz w:val="17"/>
                <w:szCs w:val="17"/>
                <w:color w:val="auto"/>
              </w:rPr>
              <w:t>”). I hereby confirm and agree that the equity held by My Spouse presently and in the future</w:t>
            </w:r>
          </w:p>
        </w:tc>
      </w:tr>
      <w:tr>
        <w:trPr>
          <w:trHeight w:val="20"/>
        </w:trPr>
        <w:tc>
          <w:tcPr>
            <w:tcW w:w="2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(hereinafter referred to as “</w:t>
      </w:r>
      <w:r>
        <w:rPr>
          <w:rFonts w:ascii="Arial" w:cs="Arial" w:eastAsia="Arial" w:hAnsi="Arial"/>
          <w:sz w:val="17"/>
          <w:szCs w:val="17"/>
          <w:b w:val="1"/>
          <w:bCs w:val="1"/>
          <w:u w:val="single" w:color="auto"/>
          <w:color w:val="auto"/>
        </w:rPr>
        <w:t>Equity and Interest</w:t>
      </w:r>
      <w:r>
        <w:rPr>
          <w:rFonts w:ascii="Arial" w:cs="Arial" w:eastAsia="Arial" w:hAnsi="Arial"/>
          <w:sz w:val="17"/>
          <w:szCs w:val="17"/>
          <w:color w:val="auto"/>
        </w:rPr>
        <w:t>”) is the personal property of My Spouse, do not form the common property of me and My Spouse and can be disposed solely by My Spouse: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Beijing Odysseus Education Technology Co., Ltd. (the “</w:t>
      </w:r>
      <w:r>
        <w:rPr>
          <w:rFonts w:ascii="Arial" w:cs="Arial" w:eastAsia="Arial" w:hAnsi="Arial"/>
          <w:sz w:val="17"/>
          <w:szCs w:val="17"/>
          <w:b w:val="1"/>
          <w:bCs w:val="1"/>
          <w:color w:val="auto"/>
        </w:rPr>
        <w:t>Beijing Odysseus</w:t>
      </w:r>
      <w:r>
        <w:rPr>
          <w:rFonts w:ascii="Arial" w:cs="Arial" w:eastAsia="Arial" w:hAnsi="Arial"/>
          <w:sz w:val="17"/>
          <w:szCs w:val="17"/>
          <w:color w:val="auto"/>
        </w:rPr>
        <w: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Beijing Odysseus or affecting in any manner any decision made by My Spouse.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Beijing Odysseus and its shareholders and Wuhan Studyvip Online Education Co. Limited).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the fifth day of August, 2020.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5" w:name="page236"/>
    <w:bookmarkEnd w:id="235"/>
    <w:p>
      <w:pPr>
        <w:jc w:val="right"/>
        <w:ind w:right="2619"/>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r>
        <w:rPr>
          <w:rFonts w:ascii="Arial" w:cs="Arial" w:eastAsia="Arial" w:hAnsi="Arial"/>
          <w:sz w:val="17"/>
          <w:szCs w:val="17"/>
          <w:u w:val="single" w:color="auto"/>
          <w:color w:val="auto"/>
        </w:rPr>
        <w:t>/s/ LIU Yiru</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LIU Yiru</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LI Ming hereby agrees and accepts this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Ming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LI Ming</w:t>
      </w:r>
    </w:p>
    <w:p>
      <w:pPr>
        <w:sectPr>
          <w:pgSz w:w="11900" w:h="16838" w:orient="portrait"/>
          <w:cols w:equalWidth="0" w:num="1">
            <w:col w:w="10139"/>
          </w:cols>
          <w:pgMar w:left="320" w:top="127" w:right="1440" w:bottom="1440" w:gutter="0" w:footer="0" w:header="0"/>
        </w:sectPr>
      </w:pPr>
    </w:p>
    <w:bookmarkStart w:id="236" w:name="page237"/>
    <w:bookmarkEnd w:id="236"/>
    <w:p>
      <w:pPr>
        <w:jc w:val="right"/>
        <w:ind w:right="40"/>
        <w:spacing w:after="0"/>
        <w:rPr>
          <w:sz w:val="20"/>
          <w:szCs w:val="20"/>
          <w:color w:val="auto"/>
        </w:rPr>
      </w:pPr>
      <w:r>
        <w:rPr>
          <w:rFonts w:ascii="Arial" w:cs="Arial" w:eastAsia="Arial" w:hAnsi="Arial"/>
          <w:sz w:val="17"/>
          <w:szCs w:val="17"/>
          <w:b w:val="1"/>
          <w:bCs w:val="1"/>
          <w:color w:val="auto"/>
        </w:rPr>
        <w:t>Exhibit 4.29</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Exclusive Technical Consultation and Service Agreement</w:t>
      </w:r>
    </w:p>
    <w:p>
      <w:pPr>
        <w:spacing w:after="0" w:line="20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This Exclusive Technical Consultation and Service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28</w:t>
      </w:r>
      <w:r>
        <w:rPr>
          <w:rFonts w:ascii="Arial" w:cs="Arial" w:eastAsia="Arial" w:hAnsi="Arial"/>
          <w:sz w:val="14"/>
          <w:szCs w:val="14"/>
          <w:color w:val="auto"/>
        </w:rPr>
        <w:t>th</w:t>
      </w:r>
      <w:r>
        <w:rPr>
          <w:rFonts w:ascii="Arial" w:cs="Arial" w:eastAsia="Arial" w:hAnsi="Arial"/>
          <w:sz w:val="17"/>
          <w:szCs w:val="17"/>
          <w:color w:val="auto"/>
        </w:rPr>
        <w:t xml:space="preserve"> day of December,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r>
        <w:rPr>
          <w:rFonts w:ascii="Arial" w:cs="Arial" w:eastAsia="Arial" w:hAnsi="Arial"/>
          <w:sz w:val="17"/>
          <w:szCs w:val="17"/>
          <w:color w:val="auto"/>
        </w:rPr>
        <w:t>: Beijing Zhiziyuanshui Education Technology Co., Ltd.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305, No. 4, No. 36 Yard, Laiguangying Chuangyuan Road, Chaoyang District, Beijing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Chichneg</w:t>
      </w:r>
    </w:p>
    <w:p>
      <w:pPr>
        <w:spacing w:after="0" w:line="19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860" w:hanging="860"/>
        <w:spacing w:after="0"/>
        <w:tabs>
          <w:tab w:leader="none" w:pos="8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ind w:left="860" w:right="140" w:hanging="860"/>
        <w:spacing w:after="0" w:line="264" w:lineRule="auto"/>
        <w:tabs>
          <w:tab w:leader="none" w:pos="8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Party A agrees to provide technical consultation and related services to Party B and Party B’s Subsidiaries, and Party B and Party B’s Subsidiaries agree to accept such technical consultation and related services provided by Party A.</w:t>
      </w:r>
    </w:p>
    <w:p>
      <w:pPr>
        <w:spacing w:after="0" w:line="16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860" w:hanging="860"/>
        <w:spacing w:after="0"/>
        <w:tabs>
          <w:tab w:leader="none" w:pos="860"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Technical Consultation and Services: Sole and Exclusive Rights and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Within the term of this Agreement, Party A agrees that it shall, as the exclusive technical consultation and services provider of Party B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B’s Subsidiaries, provide Party B and Party B’s Subsidiaries with the relevant technical consultation and services (See Annex I for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specific content) according to the terms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Party B and Party B’s Subsidiaries agree to accept the technical consultation and services provided by Party A within the term of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Agreement. In consideration of the value of the technical consultation and services provided by Party A and the good cooperative relationship</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among the Parties hereto, Party B and Party B’s Subsidiaries further agree that, unless they obtain the prior written consent of Party A, they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shall not accept any technical consultation and services provided by any third party in respect of the business scope involved herein within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term of this Agreement.</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237" w:name="page238"/>
    <w:bookmarkEnd w:id="237"/>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For all rights, titles, interests and intellectual property rights (including but not limited to any copyrights, patents, technical know-how and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business secrets) arising out of the performance of this Agreement, whether developed by Party A or developed by Party B and Party B’s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Subsidiaries based on Party A’s intellectual property rights or developed by Party A based on any intellectual property rights of Party B and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Party B’s Subsidiaries, Party A shall enjoy any sole and exclusive rights and interests therein, and Party B and Party B’s Subsidiaries shall not</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assert any rights, titles, interests and intellectual property rights to Party A.</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Provided that, if developed by Party A based on any intellectual property rights of Party B and Party B’s Subsidiaries, Party B and Party B’s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Subsidiaries shall ensure that such intellectual property rights are free from any defects, otherwise, any losses caused to Party A shall be borne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by Party B and Party B’s Subsidiaries. If Party A bear the compensation liability to any third party therefor, Party A shall have the right to</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recover all its losses from Party B and Party B’s Subsidiaries after Party A makes such compensation.</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In consideration of the good cooperative relationship among the Parties hereto, Party B and Party B’s Subsidiaries undertake that, if they are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intended to carry out any business cooperation with any other enterprises, they shall obtain the consent of Party A, and Party A or its affiliates</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shall have the priority of cooperation under the same conditions.</w:t>
            </w:r>
          </w:p>
        </w:tc>
      </w:tr>
    </w:tbl>
    <w:p>
      <w:pPr>
        <w:spacing w:after="0" w:line="183" w:lineRule="exact"/>
        <w:rPr>
          <w:sz w:val="20"/>
          <w:szCs w:val="20"/>
          <w:color w:val="auto"/>
        </w:rPr>
      </w:pPr>
    </w:p>
    <w:p>
      <w:pPr>
        <w:ind w:left="860" w:hanging="860"/>
        <w:spacing w:after="0"/>
        <w:tabs>
          <w:tab w:leader="none" w:pos="860"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 and Payment of Technical Consultation and Service Fees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Service Fees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The Parties hereto agree that any Service Fees under this Agreement shall be determined and paid in such way as listed in Annex II hereto.</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If Party B and Party B’s Subsidiaries fail to pay any Service Fees and other expenses according to the provisions of this Agreement, Party B</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and Party B’s Subsidiaries shall separately pay to Party A a default fine on the basis of 0.05% of the amount owed per day.</w:t>
            </w:r>
          </w:p>
        </w:tc>
      </w:tr>
      <w:tr>
        <w:trPr>
          <w:trHeight w:val="38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2.3</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Party A shall have the right to assign its employees or certified public accountants of China or other countries (hereinafter referred to as “</w:t>
            </w:r>
            <w:r>
              <w:rPr>
                <w:rFonts w:ascii="Arial" w:cs="Arial" w:eastAsia="Arial" w:hAnsi="Arial"/>
                <w:sz w:val="17"/>
                <w:szCs w:val="17"/>
                <w:b w:val="1"/>
                <w:bCs w:val="1"/>
                <w:color w:val="auto"/>
                <w:w w:val="88"/>
              </w:rPr>
              <w:t>Party</w:t>
            </w:r>
          </w:p>
        </w:tc>
      </w:tr>
      <w:tr>
        <w:trPr>
          <w:trHeight w:val="203"/>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b w:val="1"/>
                <w:bCs w:val="1"/>
                <w:color w:val="auto"/>
                <w:w w:val="88"/>
              </w:rPr>
              <w:t>A’s Authorized Representative</w:t>
            </w:r>
            <w:r>
              <w:rPr>
                <w:rFonts w:ascii="Arial" w:cs="Arial" w:eastAsia="Arial" w:hAnsi="Arial"/>
                <w:sz w:val="17"/>
                <w:szCs w:val="17"/>
                <w:color w:val="auto"/>
                <w:w w:val="88"/>
              </w:rPr>
              <w:t>”) at its own expense to check the accounts of Party B and Party B’s Subsidiaries so as to audit the calculation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method and amount of Service Fees. Therefore, Party B and Party B’s Subsidiaries shall provide Party A’s Authorized Representative with any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documents, accounts, records and data required by Party A’s Authorized Representative so that Party A’s Authorized Representative can audit</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the accounts of Party B and Party B’s Subsidiaries and determine the amount of Service Fees. Unless there are any gross errors, the amount of</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Service Fees shall be subject to the amount determined by Party A’s Authorized Representative.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Unless the Parties hereto reach an agreement through further consultation, any Service Fees paid by Party B and Party B’s Subsidiaries to Party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 according to this Agreement shall not be deducted or offset. Party B and Party B’s Subsidiaries shall solely be responsible for any relevant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expenses (such as bank charges) incurred from the payment of Service Fees.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In addition, Party B and Party B’s Subsidiaries shall pay to Party A any actual expenses incurred from the provision by Party A of its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consultation and service under this Agreement while paying the Service Fees, including but not limited to any traveling expenses,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transportation fees, printing expenses and postage.</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2.6</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Parties hereto agree that all economic losses arising out of the performance of this Agreement shall be borne jointly by the Parties hereto.</w:t>
            </w:r>
          </w:p>
        </w:tc>
      </w:tr>
    </w:tbl>
    <w:p>
      <w:pPr>
        <w:spacing w:after="0" w:line="208" w:lineRule="exact"/>
        <w:rPr>
          <w:sz w:val="20"/>
          <w:szCs w:val="20"/>
          <w:color w:val="auto"/>
        </w:rPr>
      </w:pPr>
    </w:p>
    <w:p>
      <w:pPr>
        <w:ind w:left="860" w:hanging="860"/>
        <w:spacing w:after="0"/>
        <w:tabs>
          <w:tab w:leader="none" w:pos="860" w:val="left"/>
        </w:tabs>
        <w:numPr>
          <w:ilvl w:val="0"/>
          <w:numId w:val="226"/>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189865</wp:posOffset>
            </wp:positionV>
            <wp:extent cx="7184390" cy="41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8" w:name="page239"/>
    <w:bookmarkEnd w:id="238"/>
    <w:p>
      <w:pPr>
        <w:ind w:left="860"/>
        <w:spacing w:after="0"/>
        <w:tabs>
          <w:tab w:leader="none" w:pos="1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3"/>
          <w:szCs w:val="13"/>
          <w:color w:val="auto"/>
        </w:rPr>
        <w:t>Party A hereby represents and warrants as follows:</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Party A is a company legally incorporated and validly existing under the laws of the PRC;</w:t>
      </w:r>
    </w:p>
    <w:p>
      <w:pPr>
        <w:spacing w:after="0" w:line="228" w:lineRule="exact"/>
        <w:rPr>
          <w:sz w:val="20"/>
          <w:szCs w:val="20"/>
          <w:color w:val="auto"/>
        </w:rPr>
      </w:pPr>
    </w:p>
    <w:p>
      <w:pPr>
        <w:ind w:left="2580" w:right="280" w:hanging="858"/>
        <w:spacing w:after="0" w:line="254"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Party A shall perform this Agreement within its corporate power and business scope, has obtained any necessary corporate authorizations and consents and approvals from any third party and government departments and has not breached any legal or contractual restrictions that are binding or influential on it; and</w:t>
      </w:r>
    </w:p>
    <w:p>
      <w:pPr>
        <w:spacing w:after="0" w:line="177"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This Agreement shall constitute a legal, effective, binding and enforceable legal document for Party A once signed.</w:t>
      </w:r>
    </w:p>
    <w:p>
      <w:pPr>
        <w:spacing w:after="0" w:line="22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3"/>
          <w:szCs w:val="13"/>
          <w:color w:val="auto"/>
        </w:rPr>
        <w:t>Party B and Party B’s Subsidiaries hereby represent and warrant as follows:</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Party B and Party B’s Subsidiaries are legal persons legally incorporated and validly existing under the laws of the PRC;</w:t>
      </w:r>
    </w:p>
    <w:p>
      <w:pPr>
        <w:spacing w:after="0" w:line="228" w:lineRule="exact"/>
        <w:rPr>
          <w:sz w:val="20"/>
          <w:szCs w:val="20"/>
          <w:color w:val="auto"/>
        </w:rPr>
      </w:pPr>
    </w:p>
    <w:p>
      <w:pPr>
        <w:jc w:val="both"/>
        <w:ind w:left="2580" w:right="120" w:hanging="858"/>
        <w:spacing w:after="0" w:line="304" w:lineRule="auto"/>
        <w:tabs>
          <w:tab w:leader="none" w:pos="25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Party B and Party B’s Subsidiaries shall sign and perform this Agreement within their corporate power and business scope, have obtained any necessary corporate authorizations and consents and approvals from any third party or government departments and have not breached any legal or contractual restrictions that are binding or influential on it; and</w:t>
      </w:r>
    </w:p>
    <w:p>
      <w:pPr>
        <w:spacing w:after="0" w:line="142" w:lineRule="exact"/>
        <w:rPr>
          <w:sz w:val="20"/>
          <w:szCs w:val="20"/>
          <w:color w:val="auto"/>
        </w:rPr>
      </w:pPr>
    </w:p>
    <w:p>
      <w:pPr>
        <w:jc w:val="both"/>
        <w:ind w:left="2580" w:right="120" w:hanging="858"/>
        <w:spacing w:after="0" w:line="264" w:lineRule="auto"/>
        <w:tabs>
          <w:tab w:leader="none" w:pos="256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This Agreement shall constitute a legal, effective, binding and enforceable legal document for Party B and Party B’s Subsidiaries once signed.</w:t>
      </w:r>
    </w:p>
    <w:p>
      <w:pPr>
        <w:spacing w:after="0" w:line="164" w:lineRule="exact"/>
        <w:rPr>
          <w:sz w:val="20"/>
          <w:szCs w:val="20"/>
          <w:color w:val="auto"/>
        </w:rPr>
      </w:pPr>
    </w:p>
    <w:p>
      <w:pPr>
        <w:ind w:left="860" w:hanging="860"/>
        <w:spacing w:after="0"/>
        <w:tabs>
          <w:tab w:leader="none" w:pos="860"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380" w:type="dxa"/>
            <w:vAlign w:val="bottom"/>
          </w:tcPr>
          <w:p>
            <w:pPr>
              <w:jc w:val="right"/>
              <w:ind w:right="237"/>
              <w:spacing w:after="0"/>
              <w:rPr>
                <w:sz w:val="20"/>
                <w:szCs w:val="20"/>
                <w:color w:val="auto"/>
              </w:rPr>
            </w:pPr>
            <w:r>
              <w:rPr>
                <w:rFonts w:ascii="Arial" w:cs="Arial" w:eastAsia="Arial" w:hAnsi="Arial"/>
                <w:sz w:val="17"/>
                <w:szCs w:val="17"/>
                <w:color w:val="auto"/>
              </w:rPr>
              <w:t>4.1</w:t>
            </w: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3"/>
              </w:rPr>
              <w:t>The Parties agree that they shall try to take all reasonable security measures to keep in confidence any confidential data and information</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1"/>
              </w:rPr>
              <w:t>(hereinafter referred to as “Confidential Information”, the providing party of such data and information shall clearly notify in writing that such</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6"/>
              </w:rPr>
              <w:t>data and information shall be the Confidential Information when providing them) known or accessed by them due to the signing and</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4"/>
              </w:rPr>
              <w:t>performance of this Agreement. Without the prior written consent of the Confidential Information provider, such Confidential Information</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0"/>
              </w:rPr>
              <w:t>shall not be disclosed, provided or transferred to any third party (including any merger of the receiving party of such Confidential Information</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0"/>
              </w:rPr>
              <w:t>with or into any third party, and any direct or indirect control thereof by any third party). Once this Agreement is terminated, Party A and Party</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2"/>
              </w:rPr>
              <w:t>B and Party B’s Subsidiaries shall return any documents, data or software containing any Confidential Information to the original owner or</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2"/>
              </w:rPr>
              <w:t>providing party of such Confidential Information or destroy them with the consent of the original owner or provider, including removing any</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1"/>
              </w:rPr>
              <w:t>Confidential Information from any related memory devices and shall not continue to use these Confidential Information. Party A and Party B</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0"/>
              </w:rPr>
              <w:t>and Party B’s Subsidiaries shall take any necessary measures to disclose any Confidential Information only to any staff members, agents or</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89"/>
              </w:rPr>
              <w:t>professional advisors of Party B and Party B’s Subsidiaries who need to know such Confidential Information and to cause such staff members,</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92"/>
              </w:rPr>
              <w:t>agents or professional advisors of Party B and Party B’s Subsidiaries to comply with any confidentiality obligations under this Agreement.</w:t>
            </w:r>
          </w:p>
        </w:tc>
      </w:tr>
      <w:tr>
        <w:trPr>
          <w:trHeight w:val="199"/>
        </w:trPr>
        <w:tc>
          <w:tcPr>
            <w:tcW w:w="1380" w:type="dxa"/>
            <w:vAlign w:val="bottom"/>
          </w:tcPr>
          <w:p>
            <w:pPr>
              <w:spacing w:after="0"/>
              <w:rPr>
                <w:sz w:val="17"/>
                <w:szCs w:val="17"/>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w w:val="88"/>
              </w:rPr>
              <w:t>Party A, Party B and Party B’s Subsidiaries and such staff members, agents or professional advisors of Party B and Party B’s Subsidiaries shall</w:t>
            </w:r>
          </w:p>
        </w:tc>
      </w:tr>
      <w:tr>
        <w:trPr>
          <w:trHeight w:val="212"/>
        </w:trPr>
        <w:tc>
          <w:tcPr>
            <w:tcW w:w="138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7"/>
                <w:szCs w:val="17"/>
                <w:color w:val="auto"/>
              </w:rPr>
              <w:t>sign a specific non-disclosure agreement.</w:t>
            </w:r>
          </w:p>
        </w:tc>
      </w:tr>
      <w:tr>
        <w:trPr>
          <w:trHeight w:val="399"/>
        </w:trPr>
        <w:tc>
          <w:tcPr>
            <w:tcW w:w="1380" w:type="dxa"/>
            <w:vAlign w:val="bottom"/>
          </w:tcPr>
          <w:p>
            <w:pPr>
              <w:jc w:val="right"/>
              <w:ind w:right="237"/>
              <w:spacing w:after="0"/>
              <w:rPr>
                <w:sz w:val="20"/>
                <w:szCs w:val="20"/>
                <w:color w:val="auto"/>
              </w:rPr>
            </w:pPr>
            <w:r>
              <w:rPr>
                <w:rFonts w:ascii="Arial" w:cs="Arial" w:eastAsia="Arial" w:hAnsi="Arial"/>
                <w:sz w:val="17"/>
                <w:szCs w:val="17"/>
                <w:color w:val="auto"/>
              </w:rPr>
              <w:t>4.2</w:t>
            </w:r>
          </w:p>
        </w:tc>
        <w:tc>
          <w:tcPr>
            <w:tcW w:w="9900" w:type="dxa"/>
            <w:vAlign w:val="bottom"/>
            <w:gridSpan w:val="2"/>
          </w:tcPr>
          <w:p>
            <w:pPr>
              <w:ind w:left="320"/>
              <w:spacing w:after="0"/>
              <w:rPr>
                <w:sz w:val="20"/>
                <w:szCs w:val="20"/>
                <w:color w:val="auto"/>
              </w:rPr>
            </w:pPr>
            <w:r>
              <w:rPr>
                <w:rFonts w:ascii="Arial" w:cs="Arial" w:eastAsia="Arial" w:hAnsi="Arial"/>
                <w:sz w:val="17"/>
                <w:szCs w:val="17"/>
                <w:color w:val="auto"/>
              </w:rPr>
              <w:t>No restrictions mentioned above shall apply to:</w:t>
            </w:r>
          </w:p>
        </w:tc>
      </w:tr>
      <w:tr>
        <w:trPr>
          <w:trHeight w:val="424"/>
        </w:trPr>
        <w:tc>
          <w:tcPr>
            <w:tcW w:w="138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17"/>
                <w:szCs w:val="17"/>
                <w:color w:val="auto"/>
              </w:rPr>
              <w:t>4.2.1.</w:t>
            </w:r>
          </w:p>
        </w:tc>
        <w:tc>
          <w:tcPr>
            <w:tcW w:w="8940" w:type="dxa"/>
            <w:vAlign w:val="bottom"/>
          </w:tcPr>
          <w:p>
            <w:pPr>
              <w:ind w:left="240"/>
              <w:spacing w:after="0"/>
              <w:rPr>
                <w:sz w:val="20"/>
                <w:szCs w:val="20"/>
                <w:color w:val="auto"/>
              </w:rPr>
            </w:pPr>
            <w:r>
              <w:rPr>
                <w:rFonts w:ascii="Arial" w:cs="Arial" w:eastAsia="Arial" w:hAnsi="Arial"/>
                <w:sz w:val="17"/>
                <w:szCs w:val="17"/>
                <w:color w:val="auto"/>
              </w:rPr>
              <w:t>any information that has become generally available to the public at the time of disclosure;</w:t>
            </w:r>
          </w:p>
        </w:tc>
      </w:tr>
      <w:tr>
        <w:trPr>
          <w:trHeight w:val="129"/>
        </w:trPr>
        <w:tc>
          <w:tcPr>
            <w:tcW w:w="13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89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239" w:name="page240"/>
    <w:bookmarkEnd w:id="239"/>
    <w:p>
      <w:pPr>
        <w:ind w:left="2580" w:right="540" w:hanging="858"/>
        <w:spacing w:after="0" w:line="264" w:lineRule="auto"/>
        <w:tabs>
          <w:tab w:leader="none" w:pos="25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any information that has become generally available to the public after disclosure through no fault of the receiving party of Confidential Information;</w:t>
      </w:r>
    </w:p>
    <w:p>
      <w:pPr>
        <w:spacing w:after="0" w:line="168" w:lineRule="exact"/>
        <w:rPr>
          <w:sz w:val="20"/>
          <w:szCs w:val="20"/>
          <w:color w:val="auto"/>
        </w:rPr>
      </w:pPr>
    </w:p>
    <w:p>
      <w:pPr>
        <w:ind w:left="2580" w:right="520" w:hanging="858"/>
        <w:spacing w:after="0" w:line="254" w:lineRule="auto"/>
        <w:tabs>
          <w:tab w:leader="none" w:pos="256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any information that can be proved by the receiving party of Confidential Information to have been in the possession of the receiving party before disclosure and not to be directly or indirectly received from the providing party of Confidential Information; and</w:t>
      </w:r>
    </w:p>
    <w:p>
      <w:pPr>
        <w:spacing w:after="0" w:line="177" w:lineRule="exact"/>
        <w:rPr>
          <w:sz w:val="20"/>
          <w:szCs w:val="20"/>
          <w:color w:val="auto"/>
        </w:rPr>
      </w:pPr>
    </w:p>
    <w:p>
      <w:pPr>
        <w:ind w:left="2580" w:right="120" w:hanging="858"/>
        <w:spacing w:after="0" w:line="304" w:lineRule="auto"/>
        <w:tabs>
          <w:tab w:leader="none" w:pos="256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color w:val="auto"/>
        </w:rPr>
        <w:t>any information required by law to be disclosed by the receiving party of Confidential Information to the relevant government departments, stock exchange and other institutions, or any of the above Confidential Information disclosed by the receiving party of Confidential Information to its direct legal advisors and financial consultants due to its normal business needs.</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3"/>
          <w:szCs w:val="13"/>
          <w:color w:val="auto"/>
        </w:rPr>
        <w:t>The Parties hereto agree that, whether this Agreement is modified, canceled or terminated, these provisions hereof shall remain in force.</w:t>
      </w:r>
    </w:p>
    <w:p>
      <w:pPr>
        <w:spacing w:after="0" w:line="224" w:lineRule="exact"/>
        <w:rPr>
          <w:sz w:val="20"/>
          <w:szCs w:val="20"/>
          <w:color w:val="auto"/>
        </w:rPr>
      </w:pPr>
    </w:p>
    <w:p>
      <w:pPr>
        <w:ind w:left="860" w:hanging="860"/>
        <w:spacing w:after="0"/>
        <w:tabs>
          <w:tab w:leader="none" w:pos="860"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Except as otherwise stipulated herein, if any Party fails to fully perform or suspends the performance of its obligations under this Agreement,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and such party fails to correct the above acts within Ten (10) days from receipt of a notice from the other party or makes any untrue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representations and warranties, such party shall be deemed to have breached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any Party hereto breaches this Agreement or any representations and warranties made by such party in this Agreement, the non-breaching</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may notify in writing the breaching party of correcting such breach within Ten (10) days from receipt of a notice, taking appropriate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measures to effectively and promptly avoid any damage and continuing to perform this Agreement. In case of any damage arising out of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breach, the breaching party shall make compensation to the non-breaching party to enable the non-breaching party to obtain all rights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interests that should have been obtained during the performance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5.3</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any breach of this Agreement by any Party hereto renders the other party to bear any costs and liabilities or suffer any losses (including but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not limited to any loss of profits), the breaching party shall make compensation to the non-breaching party in respect of any of the above costs,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7"/>
              </w:rPr>
              <w:t>liabilities or losses (including but not limited to any interest payment or loss and lawyer’s fees arising out of such breach). The total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compensatory payment paid by the breaching party to the non-breaching party shall be the same as the losses arising out of such breach,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the above compensatory payment shall include any interests that should have been obtained by the non-breaching party in the event that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Parties hereto normally perform this Agreement, provided that such compensatory payment shall not exceed any losses reasonably expected by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the Parties hereto at the time of the conclusion of this Agreement that may be caused by such breach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5.4</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and Party B’s Subsidiaries shall bear full responsibility for any claims made by any third party arising out of any failure by Party B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B’s Subsidiaries to carry on their business according to Party A’s instructions or any improper use of Party A’s intellectual property rights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or any improper technical operation. If Party B and Party B’s Subsidiaries find that any third party uses any of Party A’s intellectual property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rights without the legal authorization, Party B and Party B’s Subsidiaries shall immediately notify Party A and cooperate with Party A in</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taking any actions.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5.5</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If both of the Parties hereto breach this Agreement, the respective amount of compensation payable by the Parties hereto shall be determined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according to the degree of their respective breach.</w:t>
            </w:r>
          </w:p>
        </w:tc>
      </w:tr>
      <w:tr>
        <w:trPr>
          <w:trHeight w:val="304"/>
        </w:trPr>
        <w:tc>
          <w:tcPr>
            <w:tcW w:w="140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240" w:name="page241"/>
    <w:bookmarkEnd w:id="240"/>
    <w:p>
      <w:pPr>
        <w:ind w:left="860" w:hanging="860"/>
        <w:spacing w:after="0"/>
        <w:tabs>
          <w:tab w:leader="none" w:pos="860"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Performance and Term</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580" w:type="dxa"/>
            <w:vAlign w:val="bottom"/>
          </w:tcPr>
          <w:p>
            <w:pPr>
              <w:ind w:left="320"/>
              <w:spacing w:after="0"/>
              <w:rPr>
                <w:sz w:val="20"/>
                <w:szCs w:val="20"/>
                <w:color w:val="auto"/>
              </w:rPr>
            </w:pPr>
            <w:r>
              <w:rPr>
                <w:rFonts w:ascii="Arial" w:cs="Arial" w:eastAsia="Arial" w:hAnsi="Arial"/>
                <w:sz w:val="17"/>
                <w:szCs w:val="17"/>
                <w:color w:val="auto"/>
              </w:rPr>
              <w:t>This Agreement shall be signed on the date first above written and become effective at the same time.</w:t>
            </w:r>
          </w:p>
        </w:tc>
      </w:tr>
      <w:tr>
        <w:trPr>
          <w:trHeight w:val="42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58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copies.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6.3</w:t>
            </w:r>
          </w:p>
        </w:tc>
        <w:tc>
          <w:tcPr>
            <w:tcW w:w="9580" w:type="dxa"/>
            <w:vAlign w:val="bottom"/>
          </w:tcPr>
          <w:p>
            <w:pPr>
              <w:ind w:left="320"/>
              <w:spacing w:after="0"/>
              <w:rPr>
                <w:sz w:val="20"/>
                <w:szCs w:val="20"/>
                <w:color w:val="auto"/>
              </w:rPr>
            </w:pPr>
            <w:r>
              <w:rPr>
                <w:rFonts w:ascii="Arial" w:cs="Arial" w:eastAsia="Arial" w:hAnsi="Arial"/>
                <w:sz w:val="17"/>
                <w:szCs w:val="17"/>
                <w:color w:val="auto"/>
                <w:w w:val="89"/>
              </w:rPr>
              <w:t>Unless Party A cancels this Agreement in advance, the term of this Agreement shall be terminated upon dissolution of both of Party B and</w:t>
            </w:r>
          </w:p>
        </w:tc>
      </w:tr>
      <w:tr>
        <w:trPr>
          <w:trHeight w:val="199"/>
        </w:trPr>
        <w:tc>
          <w:tcPr>
            <w:tcW w:w="540" w:type="dxa"/>
            <w:vAlign w:val="bottom"/>
          </w:tcPr>
          <w:p>
            <w:pPr>
              <w:spacing w:after="0"/>
              <w:rPr>
                <w:sz w:val="17"/>
                <w:szCs w:val="17"/>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w w:val="88"/>
              </w:rPr>
              <w:t>Party B’s Subsidiaries in accordance with the laws of the PRC. Upon Party A’s request prior to the expiration of this Agreement, the Parties</w:t>
            </w:r>
          </w:p>
        </w:tc>
      </w:tr>
      <w:tr>
        <w:trPr>
          <w:trHeight w:val="199"/>
        </w:trPr>
        <w:tc>
          <w:tcPr>
            <w:tcW w:w="540" w:type="dxa"/>
            <w:vAlign w:val="bottom"/>
          </w:tcPr>
          <w:p>
            <w:pPr>
              <w:spacing w:after="0"/>
              <w:rPr>
                <w:sz w:val="17"/>
                <w:szCs w:val="17"/>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w w:val="90"/>
              </w:rPr>
              <w:t>hereto shall either extend the term of this Agreement at Party A’s request so as to continue to perform this Agreement or sign a separate</w:t>
            </w:r>
          </w:p>
        </w:tc>
      </w:tr>
      <w:tr>
        <w:trPr>
          <w:trHeight w:val="212"/>
        </w:trPr>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rPr>
              <w:t>exclusive technical consultation and service agreement at Party A’s request.</w:t>
            </w:r>
          </w:p>
        </w:tc>
      </w:tr>
    </w:tbl>
    <w:p>
      <w:pPr>
        <w:spacing w:after="0" w:line="183" w:lineRule="exact"/>
        <w:rPr>
          <w:sz w:val="20"/>
          <w:szCs w:val="20"/>
          <w:color w:val="auto"/>
        </w:rPr>
      </w:pPr>
    </w:p>
    <w:p>
      <w:pPr>
        <w:ind w:left="860" w:hanging="860"/>
        <w:spacing w:after="0"/>
        <w:tabs>
          <w:tab w:leader="none" w:pos="860" w:val="left"/>
        </w:tabs>
        <w:numPr>
          <w:ilvl w:val="0"/>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7.1</w:t>
            </w:r>
          </w:p>
        </w:tc>
        <w:tc>
          <w:tcPr>
            <w:tcW w:w="9740" w:type="dxa"/>
            <w:vAlign w:val="bottom"/>
          </w:tcPr>
          <w:p>
            <w:pPr>
              <w:ind w:left="320"/>
              <w:spacing w:after="0"/>
              <w:rPr>
                <w:sz w:val="20"/>
                <w:szCs w:val="20"/>
                <w:color w:val="auto"/>
              </w:rPr>
            </w:pPr>
            <w:r>
              <w:rPr>
                <w:rFonts w:ascii="Arial" w:cs="Arial" w:eastAsia="Arial" w:hAnsi="Arial"/>
                <w:sz w:val="17"/>
                <w:szCs w:val="17"/>
                <w:color w:val="auto"/>
                <w:w w:val="94"/>
              </w:rPr>
              <w:t>Unless renewed according to the relevant provisions hereof, this Agreement shall be terminated on the expiry date of the term of this</w:t>
            </w:r>
          </w:p>
        </w:tc>
      </w:tr>
      <w:tr>
        <w:trPr>
          <w:trHeight w:val="212"/>
        </w:trPr>
        <w:tc>
          <w:tcPr>
            <w:tcW w:w="5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rPr>
              <w:t>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7.2</w:t>
            </w:r>
          </w:p>
        </w:tc>
        <w:tc>
          <w:tcPr>
            <w:tcW w:w="9740" w:type="dxa"/>
            <w:vAlign w:val="bottom"/>
          </w:tcPr>
          <w:p>
            <w:pPr>
              <w:ind w:left="320"/>
              <w:spacing w:after="0"/>
              <w:rPr>
                <w:sz w:val="20"/>
                <w:szCs w:val="20"/>
                <w:color w:val="auto"/>
              </w:rPr>
            </w:pPr>
            <w:r>
              <w:rPr>
                <w:rFonts w:ascii="Arial" w:cs="Arial" w:eastAsia="Arial" w:hAnsi="Arial"/>
                <w:sz w:val="17"/>
                <w:szCs w:val="17"/>
                <w:color w:val="auto"/>
                <w:w w:val="87"/>
              </w:rPr>
              <w:t>The Parties hereto may terminate this Agreement upon consensus through consultation. Party B and Party B’s Subsidiaries shall not terminate</w:t>
            </w:r>
          </w:p>
        </w:tc>
      </w:tr>
      <w:tr>
        <w:trPr>
          <w:trHeight w:val="199"/>
        </w:trPr>
        <w:tc>
          <w:tcPr>
            <w:tcW w:w="540" w:type="dxa"/>
            <w:vAlign w:val="bottom"/>
          </w:tcPr>
          <w:p>
            <w:pPr>
              <w:spacing w:after="0"/>
              <w:rPr>
                <w:sz w:val="17"/>
                <w:szCs w:val="17"/>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w w:val="94"/>
              </w:rPr>
              <w:t>this Agreement within the term of this Agreement without the written consent of Party A. Party A shall have the right to terminate this</w:t>
            </w:r>
          </w:p>
        </w:tc>
      </w:tr>
      <w:tr>
        <w:trPr>
          <w:trHeight w:val="212"/>
        </w:trPr>
        <w:tc>
          <w:tcPr>
            <w:tcW w:w="5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w w:val="97"/>
              </w:rPr>
              <w:t>Agreement at any time by giving a written notice to Party B, Party B's Subsidiaries and shareholders Thirty (30) days in advance.</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7.3</w:t>
            </w:r>
          </w:p>
        </w:tc>
        <w:tc>
          <w:tcPr>
            <w:tcW w:w="9740" w:type="dxa"/>
            <w:vAlign w:val="bottom"/>
          </w:tcPr>
          <w:p>
            <w:pPr>
              <w:ind w:left="320"/>
              <w:spacing w:after="0"/>
              <w:rPr>
                <w:sz w:val="20"/>
                <w:szCs w:val="20"/>
                <w:color w:val="auto"/>
              </w:rPr>
            </w:pPr>
            <w:r>
              <w:rPr>
                <w:rFonts w:ascii="Arial" w:cs="Arial" w:eastAsia="Arial" w:hAnsi="Arial"/>
                <w:sz w:val="17"/>
                <w:szCs w:val="17"/>
                <w:color w:val="auto"/>
                <w:w w:val="97"/>
              </w:rPr>
              <w:t>Any rights and obligations of the Parties hereto under the Articles 4 and 5 hereof shall survive the termination of this Agreement.</w:t>
            </w:r>
          </w:p>
        </w:tc>
      </w:tr>
    </w:tbl>
    <w:p>
      <w:pPr>
        <w:spacing w:after="0" w:line="208" w:lineRule="exact"/>
        <w:rPr>
          <w:sz w:val="20"/>
          <w:szCs w:val="20"/>
          <w:color w:val="auto"/>
        </w:rPr>
      </w:pPr>
    </w:p>
    <w:p>
      <w:pPr>
        <w:ind w:left="860" w:hanging="860"/>
        <w:spacing w:after="0"/>
        <w:tabs>
          <w:tab w:leader="none" w:pos="860"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resolve such disputes through consultation in good faith. If such disputes cannot be resolved through consultation, any Party may submit such</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5"/>
              </w:rPr>
              <w:t>arbitration rules of such Commission in force. The place of arbitration shall be Beijing, and the language to be used in the arbitration</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Article shall be affected by</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20" w:type="dxa"/>
            <w:vAlign w:val="bottom"/>
          </w:tcPr>
          <w:p>
            <w:pPr>
              <w:ind w:left="320"/>
              <w:spacing w:after="0"/>
              <w:rPr>
                <w:sz w:val="20"/>
                <w:szCs w:val="20"/>
                <w:color w:val="auto"/>
              </w:rPr>
            </w:pPr>
            <w:r>
              <w:rPr>
                <w:rFonts w:ascii="Arial" w:cs="Arial" w:eastAsia="Arial" w:hAnsi="Arial"/>
                <w:sz w:val="17"/>
                <w:szCs w:val="17"/>
                <w:color w:val="auto"/>
                <w:w w:val="92"/>
              </w:rPr>
              <w:t>Except for any matters disputed by the Parties hereto, the Parties hereto shall continue to perform their respective obligations under this</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9.1</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Force Majeure Events</w:t>
            </w:r>
            <w:r>
              <w:rPr>
                <w:rFonts w:ascii="Arial" w:cs="Arial" w:eastAsia="Arial" w:hAnsi="Arial"/>
                <w:sz w:val="17"/>
                <w:szCs w:val="17"/>
                <w:color w:val="auto"/>
                <w:w w:val="95"/>
              </w:rPr>
              <w:t>” mean any events beyond the reasonable control of one party that are unavoidable by the affected party with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reasonable care, including but not limited to any acts of government, natural force, fire, explosion, storm, flood, earthquake, tide, lightning or</w:t>
            </w:r>
          </w:p>
        </w:tc>
      </w:tr>
      <w:tr>
        <w:trPr>
          <w:trHeight w:val="195"/>
        </w:trPr>
        <w:tc>
          <w:tcPr>
            <w:tcW w:w="1400" w:type="dxa"/>
            <w:vAlign w:val="bottom"/>
          </w:tcPr>
          <w:p>
            <w:pPr>
              <w:spacing w:after="0"/>
              <w:rPr>
                <w:sz w:val="16"/>
                <w:szCs w:val="16"/>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war, provided that any credit, capital or financing shortage shall not be deemed to be the event beyond the reasonable control of one party. The</w:t>
            </w:r>
          </w:p>
        </w:tc>
      </w:tr>
      <w:tr>
        <w:trPr>
          <w:trHeight w:val="203"/>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party affected by any Force Majeure Events (hereinafter referred to as “</w:t>
            </w:r>
            <w:r>
              <w:rPr>
                <w:rFonts w:ascii="Arial" w:cs="Arial" w:eastAsia="Arial" w:hAnsi="Arial"/>
                <w:sz w:val="17"/>
                <w:szCs w:val="17"/>
                <w:b w:val="1"/>
                <w:bCs w:val="1"/>
                <w:color w:val="auto"/>
                <w:w w:val="90"/>
              </w:rPr>
              <w:t>Affected Party</w:t>
            </w:r>
            <w:r>
              <w:rPr>
                <w:rFonts w:ascii="Arial" w:cs="Arial" w:eastAsia="Arial" w:hAnsi="Arial"/>
                <w:sz w:val="17"/>
                <w:szCs w:val="17"/>
                <w:color w:val="auto"/>
                <w:w w:val="90"/>
              </w:rPr>
              <w:t>”) shall be exempted from its responsibility in whole or</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in part according to the effects of such Force Majeure Events on this Agreement, and the Affected Party who seeks exemption from its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responsibility for the performance of this Agreement due to such Force Majeure Events shall notify the other party of such Force Majeure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Events not later than Ten (10) days after occurrence of such Force Majeure Events so that the Parties hereto negotiate about</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241" w:name="page242"/>
    <w:bookmarkEnd w:id="241"/>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the amendment to this Agreement according to the effects of such Force Majeure Events and exempt in whole or in part the Affected Party</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from its obligations under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performance of its obligations delayed or hindered by such Force Majeure Events. Once such Force Majeure Events are eliminated, the Parties</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7"/>
              </w:rPr>
              <w:t>hereto agree that they shall use their best efforts to restore the performance of their rights and obligations under this Agreement.</w:t>
            </w:r>
          </w:p>
        </w:tc>
      </w:tr>
    </w:tbl>
    <w:p>
      <w:pPr>
        <w:spacing w:after="0" w:line="183" w:lineRule="exact"/>
        <w:rPr>
          <w:sz w:val="20"/>
          <w:szCs w:val="20"/>
          <w:color w:val="auto"/>
        </w:rPr>
      </w:pPr>
    </w:p>
    <w:p>
      <w:pPr>
        <w:ind w:left="860" w:hanging="860"/>
        <w:spacing w:after="0"/>
        <w:tabs>
          <w:tab w:leader="none" w:pos="860"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0" w:lineRule="exact"/>
        <w:rPr>
          <w:sz w:val="20"/>
          <w:szCs w:val="20"/>
          <w:color w:val="auto"/>
        </w:rPr>
      </w:pPr>
    </w:p>
    <w:p>
      <w:pPr>
        <w:spacing w:after="0" w:line="206" w:lineRule="exact"/>
        <w:rPr>
          <w:sz w:val="20"/>
          <w:szCs w:val="20"/>
          <w:color w:val="auto"/>
        </w:rPr>
      </w:pPr>
    </w:p>
    <w:p>
      <w:pPr>
        <w:ind w:right="3660"/>
        <w:spacing w:after="0" w:line="252"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LIU Tongbo</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and Party B's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Address: Building 4, Chaolai Science and Technology Park, Laiguangying, Chaoyang District, Beijing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Tel.: [•]</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Attn.: CHENG Xinhui</w:t>
      </w:r>
    </w:p>
    <w:p>
      <w:pPr>
        <w:spacing w:after="0" w:line="187" w:lineRule="exact"/>
        <w:rPr>
          <w:sz w:val="20"/>
          <w:szCs w:val="20"/>
          <w:color w:val="auto"/>
        </w:rPr>
      </w:pPr>
    </w:p>
    <w:p>
      <w:pPr>
        <w:ind w:left="860" w:hanging="860"/>
        <w:spacing w:after="0"/>
        <w:tabs>
          <w:tab w:leader="none" w:pos="860"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Unless any Party hereto obtains the prior written consent of the other party, such party shall not assign to any third party its rights or obligations under this Agreement except that Party A assigns its obligations under this Agreement to its affiliates. For the purpose as set forth in this Agreement, the aforesaid “affiliates” mean any enterprises controlled by Party A, controlling Party A or under common control of any third party with Party A. For the purpose as set forth in this Article, “control” means any possession by an enterprise of its influence power to directly or indirectly decide on and/or control the operating management of another enterprise, whether such influence power is formed by holding any shares of the controlled enterprise or formed by any contractual arrangement with the controlled enterprise.</w:t>
      </w:r>
    </w:p>
    <w:p>
      <w:pPr>
        <w:spacing w:after="0" w:line="146" w:lineRule="exact"/>
        <w:rPr>
          <w:sz w:val="20"/>
          <w:szCs w:val="20"/>
          <w:color w:val="auto"/>
        </w:rPr>
      </w:pPr>
    </w:p>
    <w:p>
      <w:pPr>
        <w:ind w:left="860" w:hanging="860"/>
        <w:spacing w:after="0"/>
        <w:tabs>
          <w:tab w:leader="none" w:pos="860"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Newly Added Party B’s Subsidiaries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case of any newly added Party B’s Subsidiary at any time after the effective date of this Agreement, Party B shall urge such newly added Party B’s Subsidiary to sign a letter of acceptance of rights and obligations in such form and substance as shown in Annex III hereto and 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Subsidiaries shall be deemed to be a signatory to this Agreement. Any other Parties hereto hereby agree to and fully accept the foregoing arrangement.</w:t>
      </w:r>
    </w:p>
    <w:p>
      <w:pPr>
        <w:spacing w:after="0" w:line="163" w:lineRule="exact"/>
        <w:rPr>
          <w:sz w:val="20"/>
          <w:szCs w:val="20"/>
          <w:color w:val="auto"/>
        </w:rPr>
      </w:pPr>
    </w:p>
    <w:p>
      <w:pPr>
        <w:ind w:left="860" w:hanging="860"/>
        <w:spacing w:after="0"/>
        <w:tabs>
          <w:tab w:leader="none" w:pos="860"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189865</wp:posOffset>
            </wp:positionV>
            <wp:extent cx="7184390" cy="412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2" w:name="page243"/>
    <w:bookmarkEnd w:id="242"/>
    <w:p>
      <w:pPr>
        <w:jc w:val="both"/>
        <w:spacing w:after="0" w:line="304" w:lineRule="auto"/>
        <w:rPr>
          <w:sz w:val="20"/>
          <w:szCs w:val="20"/>
          <w:color w:val="auto"/>
        </w:rPr>
      </w:pPr>
      <w:r>
        <w:rPr>
          <w:rFonts w:ascii="Arial" w:cs="Arial" w:eastAsia="Arial" w:hAnsi="Arial"/>
          <w:sz w:val="15"/>
          <w:szCs w:val="15"/>
          <w:color w:val="auto"/>
        </w:rPr>
        <w:t>The Parties hereby acknowledge that this Agreement shall be a fair and reasonable agreement reached by the Parties hereto on the basis of equality and mutual benefit. If any provisions of this Agreement are invalid or unenforceable due to any inconsistencies between such provisions and the relevant laws, such provisions shall be invalid or unenforceable only to the extent of jurisdiction of the relevant laws and shall not affect the legal effect of any other provisions of this Agreement.</w:t>
      </w:r>
    </w:p>
    <w:p>
      <w:pPr>
        <w:spacing w:after="0" w:line="138" w:lineRule="exact"/>
        <w:rPr>
          <w:sz w:val="20"/>
          <w:szCs w:val="20"/>
          <w:color w:val="auto"/>
        </w:rPr>
      </w:pPr>
    </w:p>
    <w:p>
      <w:pPr>
        <w:ind w:left="860" w:hanging="860"/>
        <w:spacing w:after="0"/>
        <w:tabs>
          <w:tab w:leader="none" w:pos="860"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Supplements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Parties hereto shall make in writing any amendments and supplements to this Agreement. Any amendment and supplementary agreements duly signed by the Parties in relation to this Agreement shall form an integral part of this Agreement and be equally authentic as this Agreement.</w:t>
      </w:r>
    </w:p>
    <w:p>
      <w:pPr>
        <w:spacing w:after="0" w:line="164" w:lineRule="exact"/>
        <w:rPr>
          <w:sz w:val="20"/>
          <w:szCs w:val="20"/>
          <w:color w:val="auto"/>
        </w:rPr>
      </w:pPr>
    </w:p>
    <w:p>
      <w:pPr>
        <w:ind w:left="860" w:hanging="860"/>
        <w:spacing w:after="0"/>
        <w:tabs>
          <w:tab w:leader="none" w:pos="86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sz w:val="20"/>
          <w:szCs w:val="20"/>
          <w:color w:val="auto"/>
        </w:rPr>
      </w:pPr>
    </w:p>
    <w:p>
      <w:pPr>
        <w:ind w:left="860" w:hanging="860"/>
        <w:spacing w:after="0"/>
        <w:tabs>
          <w:tab w:leader="none" w:pos="86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Except for any written amendments, supplements or modifications to this Agreement after the signing of this Agreement, this Agreement shall constitute an entire agreement among the Parties hereto in respect of the subject matter of this Agreement and supersede all prior oral and written negotiations, representations and agreements among the Parties in respect of the subject matter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authorized representative as of the date first above written.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Exclusive Technical Consultation and Service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Chicheng</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84390" cy="412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3" w:name="page244"/>
    <w:bookmarkEnd w:id="243"/>
    <w:p>
      <w:pPr>
        <w:jc w:val="center"/>
        <w:ind w:right="-119"/>
        <w:spacing w:after="0"/>
        <w:rPr>
          <w:sz w:val="20"/>
          <w:szCs w:val="20"/>
          <w:color w:val="auto"/>
        </w:rPr>
      </w:pPr>
      <w:r>
        <w:rPr>
          <w:rFonts w:ascii="Arial" w:cs="Arial" w:eastAsia="Arial" w:hAnsi="Arial"/>
          <w:sz w:val="20"/>
          <w:szCs w:val="20"/>
          <w:b w:val="1"/>
          <w:bCs w:val="1"/>
          <w:color w:val="auto"/>
        </w:rPr>
        <w:t>Annex I List of Technical Consultation and Services</w:t>
      </w:r>
    </w:p>
    <w:p>
      <w:pPr>
        <w:spacing w:after="0" w:line="207" w:lineRule="exact"/>
        <w:rPr>
          <w:sz w:val="20"/>
          <w:szCs w:val="20"/>
          <w:color w:val="auto"/>
        </w:rPr>
      </w:pPr>
    </w:p>
    <w:p>
      <w:pPr>
        <w:ind w:left="860" w:hanging="860"/>
        <w:spacing w:after="0"/>
        <w:tabs>
          <w:tab w:leader="none" w:pos="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the development and research services.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website design and design, installation, commissioning and maintenance services of computer network systems.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database support and software services.</w:t>
      </w:r>
    </w:p>
    <w:p>
      <w:pPr>
        <w:spacing w:after="0" w:line="203" w:lineRule="exact"/>
        <w:rPr>
          <w:rFonts w:ascii="Arial" w:cs="Arial" w:eastAsia="Arial" w:hAnsi="Arial"/>
          <w:sz w:val="17"/>
          <w:szCs w:val="17"/>
          <w:color w:val="auto"/>
        </w:rPr>
      </w:pPr>
    </w:p>
    <w:p>
      <w:pPr>
        <w:ind w:left="860" w:hanging="860"/>
        <w:spacing w:after="0" w:line="264" w:lineRule="auto"/>
        <w:tabs>
          <w:tab w:leader="none" w:pos="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economic information consultation, project investment consultation, scientific and technological information consultation, enterprise management consultation and other consultation services.</w:t>
      </w:r>
    </w:p>
    <w:p>
      <w:pPr>
        <w:spacing w:after="0" w:line="167" w:lineRule="exact"/>
        <w:rPr>
          <w:rFonts w:ascii="Arial" w:cs="Arial" w:eastAsia="Arial" w:hAnsi="Arial"/>
          <w:sz w:val="17"/>
          <w:szCs w:val="17"/>
          <w:color w:val="auto"/>
        </w:rPr>
      </w:pPr>
    </w:p>
    <w:p>
      <w:pPr>
        <w:ind w:left="860" w:hanging="860"/>
        <w:spacing w:after="0"/>
        <w:tabs>
          <w:tab w:leader="none" w:pos="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pre-job training and in-service training services.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technical development, consultation and technology transfer services.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public relations services.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market survey and research services.</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the services of developing medium and short term market development plans and market planning service.</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technical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244" w:name="page245"/>
    <w:bookmarkEnd w:id="244"/>
    <w:p>
      <w:pPr>
        <w:jc w:val="center"/>
        <w:ind w:right="40"/>
        <w:spacing w:after="0"/>
        <w:rPr>
          <w:sz w:val="20"/>
          <w:szCs w:val="20"/>
          <w:color w:val="auto"/>
        </w:rPr>
      </w:pPr>
      <w:r>
        <w:rPr>
          <w:rFonts w:ascii="Arial" w:cs="Arial" w:eastAsia="Arial" w:hAnsi="Arial"/>
          <w:sz w:val="20"/>
          <w:szCs w:val="20"/>
          <w:b w:val="1"/>
          <w:bCs w:val="1"/>
          <w:color w:val="auto"/>
        </w:rPr>
        <w:t>Annex II Calculation and Payment Methods of Service Fees</w:t>
      </w:r>
    </w:p>
    <w:p>
      <w:pPr>
        <w:spacing w:after="0" w:line="207" w:lineRule="exact"/>
        <w:rPr>
          <w:sz w:val="20"/>
          <w:szCs w:val="20"/>
          <w:color w:val="auto"/>
        </w:rPr>
      </w:pPr>
    </w:p>
    <w:p>
      <w:pPr>
        <w:ind w:left="860" w:right="60" w:hanging="860"/>
        <w:spacing w:after="0" w:line="251" w:lineRule="auto"/>
        <w:tabs>
          <w:tab w:leader="none" w:pos="8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Service Fees under this Agreement shall be calculated on the basis of 10% to 100% of the monthly total business income of Party B and/or Party B’s Subsidiaries, and the specific proportion of the above Service Fees (limited to 10% to 100%) shall be determined and notified in writing by Party A to Party B and/or Party B’s Subsidiaries according to the actual technical support service provided by Party A as required by Party B and/or Party B’s Subsidiaries and based on the number of persons and number of days invested by Party A.</w:t>
      </w:r>
    </w:p>
    <w:p>
      <w:pPr>
        <w:spacing w:after="0" w:line="179" w:lineRule="exact"/>
        <w:rPr>
          <w:sz w:val="20"/>
          <w:szCs w:val="20"/>
          <w:color w:val="auto"/>
        </w:rPr>
      </w:pPr>
    </w:p>
    <w:p>
      <w:pPr>
        <w:ind w:left="860" w:hanging="860"/>
        <w:spacing w:after="0"/>
        <w:tabs>
          <w:tab w:leader="none" w:pos="8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Party B shall determine the amount of Service Fees according to the following factors:</w:t>
      </w:r>
    </w:p>
    <w:p>
      <w:pPr>
        <w:spacing w:after="0" w:line="203" w:lineRule="exact"/>
        <w:rPr>
          <w:rFonts w:ascii="Arial" w:cs="Arial" w:eastAsia="Arial" w:hAnsi="Arial"/>
          <w:sz w:val="17"/>
          <w:szCs w:val="17"/>
          <w:color w:val="auto"/>
        </w:rPr>
      </w:pPr>
    </w:p>
    <w:p>
      <w:pPr>
        <w:ind w:left="1720" w:hanging="861"/>
        <w:spacing w:after="0"/>
        <w:tabs>
          <w:tab w:leader="none" w:pos="172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Technical difficulty and complexity of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Time spent by Party A’s employees in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Specific content and commercial value of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Market reference price of similar technical consultation and services.</w:t>
      </w:r>
    </w:p>
    <w:p>
      <w:pPr>
        <w:spacing w:after="0" w:line="228" w:lineRule="exact"/>
        <w:rPr>
          <w:sz w:val="20"/>
          <w:szCs w:val="20"/>
          <w:color w:val="auto"/>
        </w:rPr>
      </w:pPr>
    </w:p>
    <w:p>
      <w:pPr>
        <w:ind w:left="860" w:right="140" w:hanging="860"/>
        <w:spacing w:after="0" w:line="249" w:lineRule="auto"/>
        <w:tabs>
          <w:tab w:leader="none" w:pos="8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Party A shall summarize and calculate the Service Fees on a quarterly basis and shall, within Thirty (30) days from the start date of any quarter, send a bill of technical Service Fees for the last quarter to Party B and/or Party B’s Subsidiaries so as to give a notice to Party B and/or Party B’s Subsidiaries. Within Ten (10) working days after receipt of such notice, Party B and/or Party B’s Subsidiaries shall pay such Service Fees to the bank account designated by Party A. Party B and/or Party B’s Subsidiaries shall send by fax or by mail a copy of the remittance voucher to Party A within Ten (10) working days after remittance.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 w:type="dxa"/>
            <w:vAlign w:val="bottom"/>
          </w:tcPr>
          <w:p>
            <w:pPr>
              <w:spacing w:after="0"/>
              <w:rPr>
                <w:sz w:val="20"/>
                <w:szCs w:val="20"/>
                <w:color w:val="auto"/>
              </w:rPr>
            </w:pPr>
            <w:r>
              <w:rPr>
                <w:rFonts w:ascii="Arial" w:cs="Arial" w:eastAsia="Arial" w:hAnsi="Arial"/>
                <w:sz w:val="17"/>
                <w:szCs w:val="17"/>
                <w:color w:val="auto"/>
              </w:rPr>
              <w:t>IV.</w:t>
            </w:r>
          </w:p>
        </w:tc>
        <w:tc>
          <w:tcPr>
            <w:tcW w:w="10760" w:type="dxa"/>
            <w:vAlign w:val="bottom"/>
          </w:tcPr>
          <w:p>
            <w:pPr>
              <w:ind w:left="340"/>
              <w:spacing w:after="0"/>
              <w:rPr>
                <w:sz w:val="20"/>
                <w:szCs w:val="20"/>
                <w:color w:val="auto"/>
              </w:rPr>
            </w:pPr>
            <w:r>
              <w:rPr>
                <w:rFonts w:ascii="Arial" w:cs="Arial" w:eastAsia="Arial" w:hAnsi="Arial"/>
                <w:sz w:val="17"/>
                <w:szCs w:val="17"/>
                <w:color w:val="auto"/>
                <w:w w:val="91"/>
              </w:rPr>
              <w:t>If Party A considers that it is necessary to adjust the service pricing mechanism as stipulated herein that is not continuously applicable for some reason,</w:t>
            </w:r>
          </w:p>
        </w:tc>
      </w:tr>
      <w:tr>
        <w:trPr>
          <w:trHeight w:val="199"/>
        </w:trPr>
        <w:tc>
          <w:tcPr>
            <w:tcW w:w="520" w:type="dxa"/>
            <w:vAlign w:val="bottom"/>
          </w:tcPr>
          <w:p>
            <w:pPr>
              <w:spacing w:after="0"/>
              <w:rPr>
                <w:sz w:val="17"/>
                <w:szCs w:val="17"/>
                <w:color w:val="auto"/>
              </w:rPr>
            </w:pPr>
          </w:p>
        </w:tc>
        <w:tc>
          <w:tcPr>
            <w:tcW w:w="10760" w:type="dxa"/>
            <w:vAlign w:val="bottom"/>
          </w:tcPr>
          <w:p>
            <w:pPr>
              <w:ind w:left="340"/>
              <w:spacing w:after="0"/>
              <w:rPr>
                <w:sz w:val="20"/>
                <w:szCs w:val="20"/>
                <w:color w:val="auto"/>
              </w:rPr>
            </w:pPr>
            <w:r>
              <w:rPr>
                <w:rFonts w:ascii="Arial" w:cs="Arial" w:eastAsia="Arial" w:hAnsi="Arial"/>
                <w:sz w:val="17"/>
                <w:szCs w:val="17"/>
                <w:color w:val="auto"/>
                <w:w w:val="92"/>
              </w:rPr>
              <w:t>Party A shall give a prompt written notice to Party B and/or Party B’s Subsidiaries, and such written notice shall take effect when it is served to Party B</w:t>
            </w:r>
          </w:p>
        </w:tc>
      </w:tr>
      <w:tr>
        <w:trPr>
          <w:trHeight w:val="212"/>
        </w:trPr>
        <w:tc>
          <w:tcPr>
            <w:tcW w:w="52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7"/>
                <w:szCs w:val="17"/>
                <w:color w:val="auto"/>
              </w:rPr>
              <w:t>and/or Party B’s Subsidiaries.</w:t>
            </w:r>
          </w:p>
        </w:tc>
      </w:tr>
      <w:tr>
        <w:trPr>
          <w:trHeight w:val="104"/>
        </w:trPr>
        <w:tc>
          <w:tcPr>
            <w:tcW w:w="520" w:type="dxa"/>
            <w:vAlign w:val="bottom"/>
            <w:tcBorders>
              <w:bottom w:val="single" w:sz="8" w:color="9A9A9A"/>
            </w:tcBorders>
          </w:tcPr>
          <w:p>
            <w:pPr>
              <w:spacing w:after="0"/>
              <w:rPr>
                <w:sz w:val="9"/>
                <w:szCs w:val="9"/>
                <w:color w:val="auto"/>
              </w:rPr>
            </w:pPr>
          </w:p>
        </w:tc>
        <w:tc>
          <w:tcPr>
            <w:tcW w:w="10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14" w:right="299" w:bottom="1440" w:gutter="0" w:footer="0" w:header="0"/>
        </w:sectPr>
      </w:pPr>
    </w:p>
    <w:bookmarkStart w:id="245" w:name="page246"/>
    <w:bookmarkEnd w:id="245"/>
    <w:p>
      <w:pPr>
        <w:jc w:val="center"/>
        <w:spacing w:after="0"/>
        <w:rPr>
          <w:sz w:val="20"/>
          <w:szCs w:val="20"/>
          <w:color w:val="auto"/>
        </w:rPr>
      </w:pPr>
      <w:r>
        <w:rPr>
          <w:rFonts w:ascii="Arial" w:cs="Arial" w:eastAsia="Arial" w:hAnsi="Arial"/>
          <w:sz w:val="20"/>
          <w:szCs w:val="20"/>
          <w:b w:val="1"/>
          <w:bCs w:val="1"/>
          <w:color w:val="auto"/>
        </w:rPr>
        <w:t>Annex III Letter of Acceptance of Rights and Obligations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Our company</w:t>
      </w:r>
      <w:r>
        <w:rPr>
          <w:rFonts w:ascii="Arial" w:cs="Arial" w:eastAsia="Arial" w:hAnsi="Arial"/>
          <w:sz w:val="15"/>
          <w:szCs w:val="15"/>
          <w:b w:val="1"/>
          <w:bCs w:val="1"/>
          <w:color w:val="auto"/>
        </w:rPr>
        <w:t>, ______, is a subsidiary of ______ Co., Ltd. (hereinafter referred to as “______”) incorporated with ______on the ______day of , and Tianjin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Shangde holds % of ______ the shares/equity of our company.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accordance with the Exclusive Technical Consultation and Service Agreement (hereinafter referred to as “Agreement”) entered into by ______________Co.,</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Limited and other parties on the day of ______, our company as a newly added “Party B’s Subsidiary” under the Agreement shall join the Agreement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Article 12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114"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114"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7"/>
          <w:szCs w:val="17"/>
          <w:b w:val="1"/>
          <w:bCs w:val="1"/>
          <w:color w:val="auto"/>
        </w:rPr>
        <w:t>Exhibit 4.30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 Operation Agreement</w:t>
      </w:r>
    </w:p>
    <w:p>
      <w:pPr>
        <w:spacing w:after="0" w:line="2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Business Operation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28</w:t>
      </w:r>
      <w:r>
        <w:rPr>
          <w:rFonts w:ascii="Arial" w:cs="Arial" w:eastAsia="Arial" w:hAnsi="Arial"/>
          <w:sz w:val="14"/>
          <w:szCs w:val="14"/>
          <w:color w:val="auto"/>
        </w:rPr>
        <w:t>th</w:t>
      </w:r>
      <w:r>
        <w:rPr>
          <w:rFonts w:ascii="Arial" w:cs="Arial" w:eastAsia="Arial" w:hAnsi="Arial"/>
          <w:sz w:val="17"/>
          <w:szCs w:val="17"/>
          <w:color w:val="auto"/>
        </w:rPr>
        <w:t xml:space="preserve"> day of December,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Beijing Zhiziyuanshui Education Technology Co., Ltd.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305, 3rd Floor, Building 4, No. 36, Chuangyuan Road, Laiguangying, Chaoyang District, Beijing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Chicheng</w:t>
      </w: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or more of the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540" w:hanging="491"/>
        <w:spacing w:after="0"/>
        <w:tabs>
          <w:tab w:leader="none" w:pos="5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Party A has established the business relationship with Party B and Party B’s</w:t>
      </w:r>
    </w:p>
    <w:p>
      <w:pPr>
        <w:spacing w:after="0" w:line="203" w:lineRule="exact"/>
        <w:rPr>
          <w:sz w:val="20"/>
          <w:szCs w:val="20"/>
          <w:color w:val="auto"/>
        </w:rPr>
      </w:pPr>
    </w:p>
    <w:p>
      <w:pPr>
        <w:jc w:val="both"/>
        <w:ind w:left="500"/>
        <w:spacing w:after="0" w:line="254" w:lineRule="auto"/>
        <w:rPr>
          <w:sz w:val="20"/>
          <w:szCs w:val="20"/>
          <w:color w:val="auto"/>
        </w:rPr>
      </w:pPr>
      <w:r>
        <w:rPr>
          <w:rFonts w:ascii="Arial" w:cs="Arial" w:eastAsia="Arial" w:hAnsi="Arial"/>
          <w:sz w:val="17"/>
          <w:szCs w:val="17"/>
          <w:color w:val="auto"/>
        </w:rPr>
        <w:t>Subsidiaries by signing the Exclusive Technical Consultation and Service Agreement and other agreements; Party B and Party B’s Subsidiaries shall pay various amounts to Party A under such agreements, and therefore any daily operating activities of Party B and Party B’s Subsidiaries will have a substantial impact on their ability to pay the corresponding amounts to Party A.</w:t>
      </w:r>
    </w:p>
    <w:p>
      <w:pPr>
        <w:spacing w:after="0" w:line="177" w:lineRule="exact"/>
        <w:rPr>
          <w:sz w:val="20"/>
          <w:szCs w:val="20"/>
          <w:color w:val="auto"/>
        </w:rPr>
      </w:pPr>
    </w:p>
    <w:p>
      <w:pPr>
        <w:ind w:left="540" w:hanging="491"/>
        <w:spacing w:after="0"/>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Any interests held by Party C in Party B and the shareholding structure are shown in Annex II hereto.</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900" w:hanging="851"/>
        <w:spacing w:after="0"/>
        <w:tabs>
          <w:tab w:leader="none" w:pos="90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Obligation of omission</w:t>
      </w:r>
    </w:p>
    <w:p>
      <w:pPr>
        <w:spacing w:after="0" w:line="207" w:lineRule="exact"/>
        <w:rPr>
          <w:sz w:val="20"/>
          <w:szCs w:val="20"/>
          <w:color w:val="auto"/>
        </w:rPr>
      </w:pPr>
    </w:p>
    <w:p>
      <w:pPr>
        <w:jc w:val="both"/>
        <w:ind w:left="860"/>
        <w:spacing w:after="0" w:line="254" w:lineRule="auto"/>
        <w:rPr>
          <w:sz w:val="20"/>
          <w:szCs w:val="20"/>
          <w:color w:val="auto"/>
        </w:rPr>
      </w:pPr>
      <w:r>
        <w:rPr>
          <w:rFonts w:ascii="Arial" w:cs="Arial" w:eastAsia="Arial" w:hAnsi="Arial"/>
          <w:sz w:val="17"/>
          <w:szCs w:val="17"/>
          <w:color w:val="auto"/>
        </w:rPr>
        <w:t>In order to ensure that Party B and Party B’s Subsidiaries perform any agreements signed with Party A and their obligations to Party A, Party B, Party B’s Subsidiaries and Party C hereby acknowledge and agree that, unless they obtain the prior written consent of Party A or any other parties designated by Party A, Party B</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47" w:name="page248"/>
    <w:bookmarkEnd w:id="247"/>
    <w:p>
      <w:pPr>
        <w:ind w:left="860" w:right="40"/>
        <w:spacing w:after="0" w:line="264" w:lineRule="auto"/>
        <w:rPr>
          <w:sz w:val="20"/>
          <w:szCs w:val="20"/>
          <w:color w:val="auto"/>
        </w:rPr>
      </w:pPr>
      <w:r>
        <w:rPr>
          <w:rFonts w:ascii="Arial" w:cs="Arial" w:eastAsia="Arial" w:hAnsi="Arial"/>
          <w:sz w:val="17"/>
          <w:szCs w:val="17"/>
          <w:color w:val="auto"/>
        </w:rPr>
        <w:t>and Party B’s Subsidiaries shall not conduct any transactions and actions that may have substantial adverse effects on their assets, business, personnel, obligations, rights or company operations, including but not limited to:</w:t>
      </w:r>
    </w:p>
    <w:p>
      <w:pPr>
        <w:spacing w:after="0" w:line="168" w:lineRule="exact"/>
        <w:rPr>
          <w:sz w:val="20"/>
          <w:szCs w:val="20"/>
          <w:color w:val="auto"/>
        </w:rPr>
      </w:pPr>
    </w:p>
    <w:p>
      <w:pPr>
        <w:ind w:left="1520" w:right="40" w:hanging="647"/>
        <w:spacing w:after="0" w:line="264" w:lineRule="auto"/>
        <w:tabs>
          <w:tab w:leader="none" w:pos="15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Carrying out any activities beyond the normal business scope of the company or failure to operate company business in any way as consistent and usual as those in the past;</w:t>
      </w:r>
    </w:p>
    <w:p>
      <w:pPr>
        <w:spacing w:after="0" w:line="168"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Borrowing money from any third party or assuming any debts;</w:t>
      </w:r>
    </w:p>
    <w:p>
      <w:pPr>
        <w:spacing w:after="0" w:line="203"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Changing or removing any directors of the company or dismissing and replacing any senior managers of the company;</w:t>
      </w:r>
    </w:p>
    <w:p>
      <w:pPr>
        <w:spacing w:after="0" w:line="203" w:lineRule="exact"/>
        <w:rPr>
          <w:sz w:val="20"/>
          <w:szCs w:val="20"/>
          <w:color w:val="auto"/>
        </w:rPr>
      </w:pPr>
    </w:p>
    <w:p>
      <w:pPr>
        <w:ind w:left="1520" w:right="40" w:hanging="647"/>
        <w:spacing w:after="0" w:line="264" w:lineRule="auto"/>
        <w:tabs>
          <w:tab w:leader="none" w:pos="150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Selling to or acquiring from any third party or otherwise disposing of any assets or rights (including but not limited to any intellectual property rights)</w:t>
      </w:r>
    </w:p>
    <w:p>
      <w:pPr>
        <w:spacing w:after="0" w:line="168"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with the total value of RMB 0.05 million or more;</w:t>
      </w:r>
    </w:p>
    <w:p>
      <w:pPr>
        <w:spacing w:after="0" w:line="203" w:lineRule="exact"/>
        <w:rPr>
          <w:sz w:val="20"/>
          <w:szCs w:val="20"/>
          <w:color w:val="auto"/>
        </w:rPr>
      </w:pPr>
    </w:p>
    <w:p>
      <w:pPr>
        <w:ind w:left="1520" w:right="40" w:hanging="647"/>
        <w:spacing w:after="0" w:line="264" w:lineRule="auto"/>
        <w:tabs>
          <w:tab w:leader="none" w:pos="15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Providing any third party with any form of guarantees or creating any form of encumbrances on any assets of the company (including any intellectual property rights);</w:t>
      </w:r>
    </w:p>
    <w:p>
      <w:pPr>
        <w:spacing w:after="0" w:line="168"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3"/>
          <w:szCs w:val="13"/>
          <w:color w:val="auto"/>
        </w:rPr>
        <w:t>Amending the articles of association or changing the business scope of the company;</w:t>
      </w:r>
    </w:p>
    <w:p>
      <w:pPr>
        <w:spacing w:after="0" w:line="203"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color w:val="auto"/>
        </w:rPr>
        <w:t>Changing the normal business procedures of the company or modifying any major internal rules and regulations of the company;</w:t>
      </w:r>
    </w:p>
    <w:p>
      <w:pPr>
        <w:spacing w:after="0" w:line="203"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color w:val="auto"/>
        </w:rPr>
        <w:t>Transferring their rights and obligations under this Agreement to any third party;</w:t>
      </w:r>
    </w:p>
    <w:p>
      <w:pPr>
        <w:spacing w:after="0" w:line="203"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color w:val="auto"/>
        </w:rPr>
        <w:t>Making any major adjustments to their business operation model, marketing strategy, management policy or customer relations; and</w:t>
      </w:r>
    </w:p>
    <w:p>
      <w:pPr>
        <w:spacing w:after="0" w:line="203"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color w:val="auto"/>
        </w:rPr>
        <w:t>Distributing any bonus and dividend in any form.</w:t>
      </w:r>
    </w:p>
    <w:p>
      <w:pPr>
        <w:spacing w:after="0" w:line="199" w:lineRule="exact"/>
        <w:rPr>
          <w:sz w:val="20"/>
          <w:szCs w:val="20"/>
          <w:color w:val="auto"/>
        </w:rPr>
      </w:pPr>
    </w:p>
    <w:p>
      <w:pPr>
        <w:ind w:left="460" w:hanging="411"/>
        <w:spacing w:after="0"/>
        <w:tabs>
          <w:tab w:leader="none" w:pos="460"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Management and Personnel Arrangement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2.1</w:t>
            </w:r>
          </w:p>
        </w:tc>
        <w:tc>
          <w:tcPr>
            <w:tcW w:w="9880" w:type="dxa"/>
            <w:vAlign w:val="bottom"/>
          </w:tcPr>
          <w:p>
            <w:pPr>
              <w:ind w:left="340"/>
              <w:spacing w:after="0"/>
              <w:rPr>
                <w:sz w:val="20"/>
                <w:szCs w:val="20"/>
                <w:color w:val="auto"/>
              </w:rPr>
            </w:pPr>
            <w:r>
              <w:rPr>
                <w:rFonts w:ascii="Arial" w:cs="Arial" w:eastAsia="Arial" w:hAnsi="Arial"/>
                <w:sz w:val="17"/>
                <w:szCs w:val="17"/>
                <w:color w:val="auto"/>
                <w:w w:val="89"/>
              </w:rPr>
              <w:t>Party B, Party B’s Subsidiaries and Party C hereby agree to accept any appointment and dismissal of employees of the company provided by</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1"/>
              </w:rPr>
              <w:t>Party A from time to time and any opinions and instructions on the daily operating management, financial management system, etc., of the</w:t>
            </w:r>
          </w:p>
        </w:tc>
      </w:tr>
      <w:tr>
        <w:trPr>
          <w:trHeight w:val="212"/>
        </w:trPr>
        <w:tc>
          <w:tcPr>
            <w:tcW w:w="14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company and strictly implement them.</w:t>
            </w:r>
          </w:p>
        </w:tc>
      </w:tr>
      <w:tr>
        <w:trPr>
          <w:trHeight w:val="386"/>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2.2</w:t>
            </w:r>
          </w:p>
        </w:tc>
        <w:tc>
          <w:tcPr>
            <w:tcW w:w="9880" w:type="dxa"/>
            <w:vAlign w:val="bottom"/>
          </w:tcPr>
          <w:p>
            <w:pPr>
              <w:ind w:left="340"/>
              <w:spacing w:after="0"/>
              <w:rPr>
                <w:sz w:val="20"/>
                <w:szCs w:val="20"/>
                <w:color w:val="auto"/>
              </w:rPr>
            </w:pPr>
            <w:r>
              <w:rPr>
                <w:rFonts w:ascii="Arial" w:cs="Arial" w:eastAsia="Arial" w:hAnsi="Arial"/>
                <w:sz w:val="17"/>
                <w:szCs w:val="17"/>
                <w:color w:val="auto"/>
                <w:w w:val="91"/>
              </w:rPr>
              <w:t>Party B, Party B’s Subsidiaries and Party C hereby agree that Party C shall, in accordance with the laws and regulations and the articles of</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3"/>
              </w:rPr>
              <w:t>association, elect or appoint any persons designated by Party A as director (or executive director) or supervisor of Party B and Party B’s</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3"/>
              </w:rPr>
              <w:t>Subsidiaries and cause such persons elected as director to elect the chairman of the company (if the company has a board of directors)</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89"/>
              </w:rPr>
              <w:t>according to Party A’s recommendation of candidate and shall appoint any persons designated by Party A as general manager, chief financial</w:t>
            </w:r>
          </w:p>
        </w:tc>
      </w:tr>
      <w:tr>
        <w:trPr>
          <w:trHeight w:val="212"/>
        </w:trPr>
        <w:tc>
          <w:tcPr>
            <w:tcW w:w="14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officer and other senior managers of Party B and Party B’s Subsidiaries.</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248" w:name="page249"/>
    <w:bookmarkEnd w:id="248"/>
    <w:tbl>
      <w:tblPr>
        <w:tblLayout w:type="fixed"/>
        <w:tblInd w:w="820" w:type="dxa"/>
        <w:tblCellMar>
          <w:top w:w="0" w:type="dxa"/>
          <w:left w:w="0" w:type="dxa"/>
          <w:bottom w:w="0" w:type="dxa"/>
          <w:right w:w="0" w:type="dxa"/>
        </w:tblCellMar>
      </w:tblPr>
      <w:tr>
        <w:trPr>
          <w:trHeight w:val="199"/>
        </w:trPr>
        <w:tc>
          <w:tcPr>
            <w:tcW w:w="540" w:type="dxa"/>
            <w:vAlign w:val="bottom"/>
          </w:tcPr>
          <w:p>
            <w:pPr>
              <w:spacing w:after="0"/>
              <w:rPr>
                <w:sz w:val="20"/>
                <w:szCs w:val="20"/>
                <w:color w:val="auto"/>
              </w:rPr>
            </w:pPr>
            <w:r>
              <w:rPr>
                <w:rFonts w:ascii="Arial" w:cs="Arial" w:eastAsia="Arial" w:hAnsi="Arial"/>
                <w:sz w:val="17"/>
                <w:szCs w:val="17"/>
                <w:color w:val="auto"/>
              </w:rPr>
              <w:t>2.3</w:t>
            </w:r>
          </w:p>
        </w:tc>
        <w:tc>
          <w:tcPr>
            <w:tcW w:w="9840" w:type="dxa"/>
            <w:vAlign w:val="bottom"/>
          </w:tcPr>
          <w:p>
            <w:pPr>
              <w:jc w:val="right"/>
              <w:spacing w:after="0"/>
              <w:rPr>
                <w:sz w:val="20"/>
                <w:szCs w:val="20"/>
                <w:color w:val="auto"/>
              </w:rPr>
            </w:pPr>
            <w:r>
              <w:rPr>
                <w:rFonts w:ascii="Arial" w:cs="Arial" w:eastAsia="Arial" w:hAnsi="Arial"/>
                <w:sz w:val="17"/>
                <w:szCs w:val="17"/>
                <w:color w:val="auto"/>
                <w:w w:val="92"/>
              </w:rPr>
              <w:t>When the aforesaid directors or senior managers designated by Party A leave Party A for any reasons whatsoever (including but not limited to</w:t>
            </w:r>
          </w:p>
        </w:tc>
      </w:tr>
      <w:tr>
        <w:trPr>
          <w:trHeight w:val="199"/>
        </w:trPr>
        <w:tc>
          <w:tcPr>
            <w:tcW w:w="540" w:type="dxa"/>
            <w:vAlign w:val="bottom"/>
          </w:tcPr>
          <w:p>
            <w:pPr>
              <w:spacing w:after="0"/>
              <w:rPr>
                <w:sz w:val="17"/>
                <w:szCs w:val="17"/>
                <w:color w:val="auto"/>
              </w:rPr>
            </w:pPr>
          </w:p>
        </w:tc>
        <w:tc>
          <w:tcPr>
            <w:tcW w:w="9840" w:type="dxa"/>
            <w:vAlign w:val="bottom"/>
          </w:tcPr>
          <w:p>
            <w:pPr>
              <w:jc w:val="right"/>
              <w:spacing w:after="0"/>
              <w:rPr>
                <w:sz w:val="20"/>
                <w:szCs w:val="20"/>
                <w:color w:val="auto"/>
              </w:rPr>
            </w:pPr>
            <w:r>
              <w:rPr>
                <w:rFonts w:ascii="Arial" w:cs="Arial" w:eastAsia="Arial" w:hAnsi="Arial"/>
                <w:sz w:val="17"/>
                <w:szCs w:val="17"/>
                <w:color w:val="auto"/>
                <w:w w:val="95"/>
              </w:rPr>
              <w:t>any voluntary resignation and dismissal by Party A), they will be disqualified from holding a post in Party B and Party B’s Subsidiaries. In</w:t>
            </w:r>
          </w:p>
        </w:tc>
      </w:tr>
      <w:tr>
        <w:trPr>
          <w:trHeight w:val="199"/>
        </w:trPr>
        <w:tc>
          <w:tcPr>
            <w:tcW w:w="540" w:type="dxa"/>
            <w:vAlign w:val="bottom"/>
          </w:tcPr>
          <w:p>
            <w:pPr>
              <w:spacing w:after="0"/>
              <w:rPr>
                <w:sz w:val="17"/>
                <w:szCs w:val="17"/>
                <w:color w:val="auto"/>
              </w:rPr>
            </w:pPr>
          </w:p>
        </w:tc>
        <w:tc>
          <w:tcPr>
            <w:tcW w:w="9840" w:type="dxa"/>
            <w:vAlign w:val="bottom"/>
          </w:tcPr>
          <w:p>
            <w:pPr>
              <w:jc w:val="right"/>
              <w:spacing w:after="0"/>
              <w:rPr>
                <w:sz w:val="20"/>
                <w:szCs w:val="20"/>
                <w:color w:val="auto"/>
              </w:rPr>
            </w:pPr>
            <w:r>
              <w:rPr>
                <w:rFonts w:ascii="Arial" w:cs="Arial" w:eastAsia="Arial" w:hAnsi="Arial"/>
                <w:sz w:val="17"/>
                <w:szCs w:val="17"/>
                <w:color w:val="auto"/>
                <w:w w:val="93"/>
              </w:rPr>
              <w:t>such a case, Party B, Party B’s Subsidiaries and Party C shall immediately dismiss the aforesaid persons from any post in Party B and Party</w:t>
            </w:r>
          </w:p>
        </w:tc>
      </w:tr>
      <w:tr>
        <w:trPr>
          <w:trHeight w:val="212"/>
        </w:trPr>
        <w:tc>
          <w:tcPr>
            <w:tcW w:w="540" w:type="dxa"/>
            <w:vAlign w:val="bottom"/>
          </w:tcPr>
          <w:p>
            <w:pPr>
              <w:spacing w:after="0"/>
              <w:rPr>
                <w:sz w:val="18"/>
                <w:szCs w:val="18"/>
                <w:color w:val="auto"/>
              </w:rPr>
            </w:pPr>
          </w:p>
        </w:tc>
        <w:tc>
          <w:tcPr>
            <w:tcW w:w="9840" w:type="dxa"/>
            <w:vAlign w:val="bottom"/>
          </w:tcPr>
          <w:p>
            <w:pPr>
              <w:jc w:val="right"/>
              <w:ind w:right="1477"/>
              <w:spacing w:after="0"/>
              <w:rPr>
                <w:sz w:val="20"/>
                <w:szCs w:val="20"/>
                <w:color w:val="auto"/>
              </w:rPr>
            </w:pPr>
            <w:r>
              <w:rPr>
                <w:rFonts w:ascii="Arial" w:cs="Arial" w:eastAsia="Arial" w:hAnsi="Arial"/>
                <w:sz w:val="17"/>
                <w:szCs w:val="17"/>
                <w:color w:val="auto"/>
                <w:w w:val="92"/>
              </w:rPr>
              <w:t>B’s Subsidiaries and immediately elect or employ any other persons otherwise designated by Party A to hold such post.</w:t>
            </w:r>
          </w:p>
        </w:tc>
      </w:tr>
      <w:tr>
        <w:trPr>
          <w:trHeight w:val="386"/>
        </w:trPr>
        <w:tc>
          <w:tcPr>
            <w:tcW w:w="540" w:type="dxa"/>
            <w:vAlign w:val="bottom"/>
          </w:tcPr>
          <w:p>
            <w:pPr>
              <w:ind w:left="20"/>
              <w:spacing w:after="0"/>
              <w:rPr>
                <w:sz w:val="20"/>
                <w:szCs w:val="20"/>
                <w:color w:val="auto"/>
              </w:rPr>
            </w:pPr>
            <w:r>
              <w:rPr>
                <w:rFonts w:ascii="Arial" w:cs="Arial" w:eastAsia="Arial" w:hAnsi="Arial"/>
                <w:sz w:val="17"/>
                <w:szCs w:val="17"/>
                <w:color w:val="auto"/>
              </w:rPr>
              <w:t>2.4</w:t>
            </w:r>
          </w:p>
        </w:tc>
        <w:tc>
          <w:tcPr>
            <w:tcW w:w="9840" w:type="dxa"/>
            <w:vAlign w:val="bottom"/>
          </w:tcPr>
          <w:p>
            <w:pPr>
              <w:jc w:val="right"/>
              <w:spacing w:after="0"/>
              <w:rPr>
                <w:sz w:val="20"/>
                <w:szCs w:val="20"/>
                <w:color w:val="auto"/>
              </w:rPr>
            </w:pPr>
            <w:r>
              <w:rPr>
                <w:rFonts w:ascii="Arial" w:cs="Arial" w:eastAsia="Arial" w:hAnsi="Arial"/>
                <w:sz w:val="17"/>
                <w:szCs w:val="17"/>
                <w:color w:val="auto"/>
                <w:w w:val="91"/>
              </w:rPr>
              <w:t>For the purpose of the Section 2.3 above, Party B, Party B’s Subsidiaries and Party C shall, in accordance with the laws, articles of association</w:t>
            </w:r>
          </w:p>
        </w:tc>
      </w:tr>
      <w:tr>
        <w:trPr>
          <w:trHeight w:val="199"/>
        </w:trPr>
        <w:tc>
          <w:tcPr>
            <w:tcW w:w="540" w:type="dxa"/>
            <w:vAlign w:val="bottom"/>
          </w:tcPr>
          <w:p>
            <w:pPr>
              <w:spacing w:after="0"/>
              <w:rPr>
                <w:sz w:val="17"/>
                <w:szCs w:val="17"/>
                <w:color w:val="auto"/>
              </w:rPr>
            </w:pPr>
          </w:p>
        </w:tc>
        <w:tc>
          <w:tcPr>
            <w:tcW w:w="9840" w:type="dxa"/>
            <w:vAlign w:val="bottom"/>
          </w:tcPr>
          <w:p>
            <w:pPr>
              <w:jc w:val="right"/>
              <w:spacing w:after="0"/>
              <w:rPr>
                <w:sz w:val="20"/>
                <w:szCs w:val="20"/>
                <w:color w:val="auto"/>
              </w:rPr>
            </w:pPr>
            <w:r>
              <w:rPr>
                <w:rFonts w:ascii="Arial" w:cs="Arial" w:eastAsia="Arial" w:hAnsi="Arial"/>
                <w:sz w:val="17"/>
                <w:szCs w:val="17"/>
                <w:color w:val="auto"/>
                <w:w w:val="94"/>
              </w:rPr>
              <w:t>and this Agreement, take all necessary internal and external procedures of the company to complete the above dismissal and appointment</w:t>
            </w:r>
          </w:p>
        </w:tc>
      </w:tr>
      <w:tr>
        <w:trPr>
          <w:trHeight w:val="212"/>
        </w:trPr>
        <w:tc>
          <w:tcPr>
            <w:tcW w:w="54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procedures.</w:t>
            </w:r>
          </w:p>
        </w:tc>
      </w:tr>
      <w:tr>
        <w:trPr>
          <w:trHeight w:val="386"/>
        </w:trPr>
        <w:tc>
          <w:tcPr>
            <w:tcW w:w="540" w:type="dxa"/>
            <w:vAlign w:val="bottom"/>
          </w:tcPr>
          <w:p>
            <w:pPr>
              <w:ind w:left="20"/>
              <w:spacing w:after="0"/>
              <w:rPr>
                <w:sz w:val="20"/>
                <w:szCs w:val="20"/>
                <w:color w:val="auto"/>
              </w:rPr>
            </w:pPr>
            <w:r>
              <w:rPr>
                <w:rFonts w:ascii="Arial" w:cs="Arial" w:eastAsia="Arial" w:hAnsi="Arial"/>
                <w:sz w:val="17"/>
                <w:szCs w:val="17"/>
                <w:color w:val="auto"/>
              </w:rPr>
              <w:t>2.5</w:t>
            </w:r>
          </w:p>
        </w:tc>
        <w:tc>
          <w:tcPr>
            <w:tcW w:w="9840" w:type="dxa"/>
            <w:vAlign w:val="bottom"/>
          </w:tcPr>
          <w:p>
            <w:pPr>
              <w:jc w:val="right"/>
              <w:spacing w:after="0"/>
              <w:rPr>
                <w:sz w:val="20"/>
                <w:szCs w:val="20"/>
                <w:color w:val="auto"/>
              </w:rPr>
            </w:pPr>
            <w:r>
              <w:rPr>
                <w:rFonts w:ascii="Arial" w:cs="Arial" w:eastAsia="Arial" w:hAnsi="Arial"/>
                <w:sz w:val="17"/>
                <w:szCs w:val="17"/>
                <w:color w:val="auto"/>
                <w:w w:val="93"/>
              </w:rPr>
              <w:t>Party C hereby agrees that, when signing this Agreement, it shall sign a power of attorney in such form and substance as shown in Annex III</w:t>
            </w:r>
          </w:p>
        </w:tc>
      </w:tr>
      <w:tr>
        <w:trPr>
          <w:trHeight w:val="199"/>
        </w:trPr>
        <w:tc>
          <w:tcPr>
            <w:tcW w:w="540" w:type="dxa"/>
            <w:vAlign w:val="bottom"/>
          </w:tcPr>
          <w:p>
            <w:pPr>
              <w:spacing w:after="0"/>
              <w:rPr>
                <w:sz w:val="17"/>
                <w:szCs w:val="17"/>
                <w:color w:val="auto"/>
              </w:rPr>
            </w:pPr>
          </w:p>
        </w:tc>
        <w:tc>
          <w:tcPr>
            <w:tcW w:w="9840" w:type="dxa"/>
            <w:vAlign w:val="bottom"/>
          </w:tcPr>
          <w:p>
            <w:pPr>
              <w:jc w:val="right"/>
              <w:spacing w:after="0"/>
              <w:rPr>
                <w:sz w:val="20"/>
                <w:szCs w:val="20"/>
                <w:color w:val="auto"/>
              </w:rPr>
            </w:pPr>
            <w:r>
              <w:rPr>
                <w:rFonts w:ascii="Arial" w:cs="Arial" w:eastAsia="Arial" w:hAnsi="Arial"/>
                <w:sz w:val="17"/>
                <w:szCs w:val="17"/>
                <w:color w:val="auto"/>
                <w:w w:val="94"/>
              </w:rPr>
              <w:t>hereto and shall, according to such power of attorney, irrevocably authorize any persons designated by Party A to exercise its shareholder</w:t>
            </w:r>
          </w:p>
        </w:tc>
      </w:tr>
      <w:tr>
        <w:trPr>
          <w:trHeight w:val="199"/>
        </w:trPr>
        <w:tc>
          <w:tcPr>
            <w:tcW w:w="540" w:type="dxa"/>
            <w:vAlign w:val="bottom"/>
          </w:tcPr>
          <w:p>
            <w:pPr>
              <w:spacing w:after="0"/>
              <w:rPr>
                <w:sz w:val="17"/>
                <w:szCs w:val="17"/>
                <w:color w:val="auto"/>
              </w:rPr>
            </w:pPr>
          </w:p>
        </w:tc>
        <w:tc>
          <w:tcPr>
            <w:tcW w:w="9840" w:type="dxa"/>
            <w:vAlign w:val="bottom"/>
          </w:tcPr>
          <w:p>
            <w:pPr>
              <w:jc w:val="right"/>
              <w:spacing w:after="0"/>
              <w:rPr>
                <w:sz w:val="20"/>
                <w:szCs w:val="20"/>
                <w:color w:val="auto"/>
              </w:rPr>
            </w:pPr>
            <w:r>
              <w:rPr>
                <w:rFonts w:ascii="Arial" w:cs="Arial" w:eastAsia="Arial" w:hAnsi="Arial"/>
                <w:sz w:val="17"/>
                <w:szCs w:val="17"/>
                <w:color w:val="auto"/>
                <w:w w:val="91"/>
              </w:rPr>
              <w:t>rights on its behalf and exercise all shareholders’ voting rights in the name of shareholders at any meeting of shareholders held by Party B and</w:t>
            </w:r>
          </w:p>
        </w:tc>
      </w:tr>
      <w:tr>
        <w:trPr>
          <w:trHeight w:val="199"/>
        </w:trPr>
        <w:tc>
          <w:tcPr>
            <w:tcW w:w="540" w:type="dxa"/>
            <w:vAlign w:val="bottom"/>
          </w:tcPr>
          <w:p>
            <w:pPr>
              <w:spacing w:after="0"/>
              <w:rPr>
                <w:sz w:val="17"/>
                <w:szCs w:val="17"/>
                <w:color w:val="auto"/>
              </w:rPr>
            </w:pPr>
          </w:p>
        </w:tc>
        <w:tc>
          <w:tcPr>
            <w:tcW w:w="9840" w:type="dxa"/>
            <w:vAlign w:val="bottom"/>
          </w:tcPr>
          <w:p>
            <w:pPr>
              <w:jc w:val="right"/>
              <w:spacing w:after="0"/>
              <w:rPr>
                <w:sz w:val="20"/>
                <w:szCs w:val="20"/>
                <w:color w:val="auto"/>
              </w:rPr>
            </w:pPr>
            <w:r>
              <w:rPr>
                <w:rFonts w:ascii="Arial" w:cs="Arial" w:eastAsia="Arial" w:hAnsi="Arial"/>
                <w:sz w:val="17"/>
                <w:szCs w:val="17"/>
                <w:color w:val="auto"/>
                <w:w w:val="95"/>
              </w:rPr>
              <w:t>Party B’s Subsidiaries. Party C further agrees that it shall replace at any time the designated authorized persons in the forgoing power of</w:t>
            </w:r>
          </w:p>
        </w:tc>
      </w:tr>
      <w:tr>
        <w:trPr>
          <w:trHeight w:val="212"/>
        </w:trPr>
        <w:tc>
          <w:tcPr>
            <w:tcW w:w="54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attorney according to Party A’s requirements.</w:t>
            </w:r>
          </w:p>
        </w:tc>
      </w:tr>
    </w:tbl>
    <w:p>
      <w:pPr>
        <w:spacing w:after="0" w:line="183" w:lineRule="exact"/>
        <w:rPr>
          <w:sz w:val="20"/>
          <w:szCs w:val="20"/>
          <w:color w:val="auto"/>
        </w:rPr>
      </w:pPr>
    </w:p>
    <w:p>
      <w:pPr>
        <w:ind w:left="860" w:hanging="851"/>
        <w:spacing w:after="0"/>
        <w:tabs>
          <w:tab w:leader="none" w:pos="860"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3.1</w:t>
            </w: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If any of the agreements among Party A and Party B and Party B’s Subsidiaries is terminated or expires, Party A shall have the right to decide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4"/>
              </w:rPr>
              <w:t>whether to terminate all agreements among Party A and Party B and Party B’s Subsidiaries, including but not limited to any Exclusive</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Technical</w:t>
            </w:r>
          </w:p>
        </w:tc>
      </w:tr>
      <w:tr>
        <w:trPr>
          <w:trHeight w:val="399"/>
        </w:trPr>
        <w:tc>
          <w:tcPr>
            <w:tcW w:w="520" w:type="dxa"/>
            <w:vAlign w:val="bottom"/>
          </w:tcPr>
          <w:p>
            <w:pPr>
              <w:spacing w:after="0"/>
              <w:rPr>
                <w:sz w:val="24"/>
                <w:szCs w:val="24"/>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Consultation and Service Agreement.</w:t>
            </w:r>
          </w:p>
        </w:tc>
      </w:tr>
      <w:tr>
        <w:trPr>
          <w:trHeight w:val="43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Considering that Party A has established the business relationship with Party B and Party B’s Subsidiaries by signing an Exclusive Technical</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Consultation and Service Agreement and other agreements, any daily operating activities of Party B and Party B’s Subsidiaries will have a</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substantial impact on their ability to pay the corresponding amounts to Party A. Party C agrees that, subject to the provisions of Article 1</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hereof, any incomes or interests shall be immediately paid or transferred without compensation to Party A when they are realized, under no</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3"/>
              </w:rPr>
              <w:t>conditions, out of any bonuses, dividend distributions or any other similar incomes or interests (regardless of their specific form) that are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received by Party C from Party B and Party B’s Subsidiaries in the capacity of a shareholder of Party B and Party B’s Subsidiaries and that it</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shall, according to Party A’s requirements, provide all necessary documents or take all necessary actions to realize such payment or transfer.</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3.3</w:t>
            </w: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In case of any added Party B’s Subsidiary at any time after the effective date of this Agreement, Party B and Party C shall cause such newly</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added Party B’s Subsidiary to sign a letter of acceptance of rights and obligations in such form and substance as shown in Annex IV hereto and</w:t>
            </w:r>
          </w:p>
        </w:tc>
      </w:tr>
    </w:tbl>
    <w:p>
      <w:pPr>
        <w:jc w:val="both"/>
        <w:ind w:left="1700"/>
        <w:spacing w:after="0" w:line="245" w:lineRule="auto"/>
        <w:rPr>
          <w:sz w:val="20"/>
          <w:szCs w:val="20"/>
          <w:color w:val="auto"/>
        </w:rPr>
      </w:pPr>
      <w:r>
        <w:rPr>
          <w:rFonts w:ascii="Arial" w:cs="Arial" w:eastAsia="Arial" w:hAnsi="Arial"/>
          <w:sz w:val="17"/>
          <w:szCs w:val="17"/>
          <w:color w:val="auto"/>
        </w:rPr>
        <w:t>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Subsidiary shall be deemed to be a signatory to this Agreement. Any other Parties hereto hereby agree to and fully accept the foregoing arrangement.</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60960</wp:posOffset>
            </wp:positionV>
            <wp:extent cx="7184390" cy="412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00"/>
          </w:cols>
          <w:pgMar w:left="360" w:top="526" w:right="339" w:bottom="1440" w:gutter="0" w:footer="0" w:header="0"/>
        </w:sectPr>
      </w:pPr>
    </w:p>
    <w:bookmarkStart w:id="249" w:name="page250"/>
    <w:bookmarkEnd w:id="249"/>
    <w:p>
      <w:pPr>
        <w:ind w:left="860" w:hanging="851"/>
        <w:spacing w:after="0"/>
        <w:tabs>
          <w:tab w:leader="none" w:pos="860"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and Amendment</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4.1</w:t>
            </w:r>
          </w:p>
        </w:tc>
        <w:tc>
          <w:tcPr>
            <w:tcW w:w="9840" w:type="dxa"/>
            <w:vAlign w:val="bottom"/>
          </w:tcPr>
          <w:p>
            <w:pPr>
              <w:ind w:left="340"/>
              <w:spacing w:after="0"/>
              <w:rPr>
                <w:sz w:val="20"/>
                <w:szCs w:val="20"/>
                <w:color w:val="auto"/>
              </w:rPr>
            </w:pPr>
            <w:r>
              <w:rPr>
                <w:rFonts w:ascii="Arial" w:cs="Arial" w:eastAsia="Arial" w:hAnsi="Arial"/>
                <w:sz w:val="17"/>
                <w:szCs w:val="17"/>
                <w:color w:val="auto"/>
                <w:w w:val="87"/>
              </w:rPr>
              <w:t>This Agreement and all agreements and/or documents referred to or expressly contained herein shall constitute an entire agreement among the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Parties in respect of the subject matter of this Agreement and supersede all prior oral and written agreements, contracts, understandings and</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communications among the Parties in relation to the subject matter of this Agreement.</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4.2</w:t>
            </w: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No amendments to this Agreement shall be valid unless a written agreement is signed by the Parties. Any amendment and supplementary</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agreements duly signed by the Parties in relation to this Agreement shall form an integral part of this Agreement and be equally authentic as</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this Agreement.</w:t>
            </w:r>
          </w:p>
        </w:tc>
      </w:tr>
    </w:tbl>
    <w:p>
      <w:pPr>
        <w:spacing w:after="0" w:line="183" w:lineRule="exact"/>
        <w:rPr>
          <w:sz w:val="20"/>
          <w:szCs w:val="20"/>
          <w:color w:val="auto"/>
        </w:rPr>
      </w:pPr>
    </w:p>
    <w:p>
      <w:pPr>
        <w:ind w:left="860" w:hanging="851"/>
        <w:spacing w:after="0"/>
        <w:tabs>
          <w:tab w:leader="none" w:pos="860"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sz w:val="20"/>
          <w:szCs w:val="20"/>
          <w:color w:val="auto"/>
        </w:rPr>
      </w:pPr>
    </w:p>
    <w:p>
      <w:pPr>
        <w:ind w:left="860" w:hanging="851"/>
        <w:spacing w:after="0"/>
        <w:tabs>
          <w:tab w:leader="none" w:pos="860"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6.1</w:t>
            </w: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resolve such disputes through consultation in good faith. If such disputes can not be resolved through consultation, any Party may submit such</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5"/>
              </w:rPr>
              <w:t>arbitration rules of such Commission in force. The place of arbitration shall be Beijing, and the language to be used in the arbitration</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Article shall be affected by</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6.2</w:t>
            </w: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Except for any matters disputed by the Parties hereto, the Parties hereto shall continue to perform their respective obligations under this</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51"/>
        <w:spacing w:after="0"/>
        <w:tabs>
          <w:tab w:leader="none" w:pos="860"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sz w:val="20"/>
          <w:szCs w:val="20"/>
          <w:color w:val="auto"/>
        </w:rPr>
      </w:pPr>
    </w:p>
    <w:p>
      <w:pPr>
        <w:jc w:val="both"/>
        <w:ind w:left="820" w:firstLine="2"/>
        <w:spacing w:after="0" w:line="254" w:lineRule="auto"/>
        <w:rPr>
          <w:sz w:val="20"/>
          <w:szCs w:val="20"/>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Address: Building 6, No. 36 Yard, Laiguangying Chuangyuan Road, Chaoyang District, Beijing</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Tel.:[•]</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Attn.: LIU Tongbo</w:t>
      </w:r>
    </w:p>
    <w:p>
      <w:pPr>
        <w:spacing w:after="0" w:line="19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Party B and Party B’s Subsidiaries</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Address:</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Tel.:</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Attn.:</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60960</wp:posOffset>
            </wp:positionV>
            <wp:extent cx="7184390" cy="41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00"/>
          </w:cols>
          <w:pgMar w:left="360" w:top="521" w:right="339" w:bottom="1440" w:gutter="0" w:footer="0" w:header="0"/>
        </w:sectPr>
      </w:pPr>
    </w:p>
    <w:bookmarkStart w:id="250" w:name="page251"/>
    <w:bookmarkEnd w:id="250"/>
    <w:p>
      <w:pPr>
        <w:ind w:left="900" w:hanging="851"/>
        <w:spacing w:after="0"/>
        <w:tabs>
          <w:tab w:leader="none" w:pos="900"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Term and Miscellaneous Provisions</w:t>
      </w: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Any written consents, suggestions and designations of Party A involved herein and any other decisions that have a substantial impact on the</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daily operation of Party B and Party B’s Subsidiaries shall be made by Party A’s board of directors and/or executive director.</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40"/>
              <w:spacing w:after="0"/>
              <w:rPr>
                <w:sz w:val="20"/>
                <w:szCs w:val="20"/>
                <w:color w:val="auto"/>
              </w:rPr>
            </w:pPr>
            <w:r>
              <w:rPr>
                <w:rFonts w:ascii="Arial" w:cs="Arial" w:eastAsia="Arial" w:hAnsi="Arial"/>
                <w:sz w:val="17"/>
                <w:szCs w:val="17"/>
                <w:color w:val="auto"/>
                <w:w w:val="94"/>
              </w:rPr>
              <w:t>This Agreement is executed by the parties hereto and take effect as of the date first written above herein. Unless Party A cancels this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3"/>
              </w:rPr>
              <w:t>Agreement in advance, the term of this Agreement shall be terminated upon dissolution of both of Party B and Party B’s Subsidiaries in</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accordance with the laws of the PRC. Upon Party A’s request prior to the expiration of this Agreement, the Parties shall extend the term of this</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Agreement at Party A’s request and shall sign a separate business operation agreement or continue to perform</w:t>
            </w:r>
          </w:p>
        </w:tc>
      </w:tr>
      <w:tr>
        <w:trPr>
          <w:trHeight w:val="399"/>
        </w:trPr>
        <w:tc>
          <w:tcPr>
            <w:tcW w:w="520" w:type="dxa"/>
            <w:vAlign w:val="bottom"/>
          </w:tcPr>
          <w:p>
            <w:pPr>
              <w:spacing w:after="0"/>
              <w:rPr>
                <w:sz w:val="24"/>
                <w:szCs w:val="24"/>
                <w:color w:val="auto"/>
              </w:rPr>
            </w:pPr>
          </w:p>
        </w:tc>
        <w:tc>
          <w:tcPr>
            <w:tcW w:w="9840" w:type="dxa"/>
            <w:vAlign w:val="bottom"/>
          </w:tcPr>
          <w:p>
            <w:pPr>
              <w:ind w:left="500"/>
              <w:spacing w:after="0"/>
              <w:rPr>
                <w:sz w:val="20"/>
                <w:szCs w:val="20"/>
                <w:color w:val="auto"/>
              </w:rPr>
            </w:pPr>
            <w:r>
              <w:rPr>
                <w:rFonts w:ascii="Arial" w:cs="Arial" w:eastAsia="Arial" w:hAnsi="Arial"/>
                <w:sz w:val="17"/>
                <w:szCs w:val="17"/>
                <w:color w:val="auto"/>
              </w:rPr>
              <w:t>this Agreement according to Party A’s requirements.</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40"/>
              <w:spacing w:after="0"/>
              <w:rPr>
                <w:sz w:val="20"/>
                <w:szCs w:val="20"/>
                <w:color w:val="auto"/>
              </w:rPr>
            </w:pPr>
            <w:r>
              <w:rPr>
                <w:rFonts w:ascii="Arial" w:cs="Arial" w:eastAsia="Arial" w:hAnsi="Arial"/>
                <w:sz w:val="17"/>
                <w:szCs w:val="17"/>
                <w:color w:val="auto"/>
                <w:w w:val="87"/>
              </w:rPr>
              <w:t>Notwithstanding the above, the Parties acknowledge that, in case of any change of Party B’s shareholding structure or any increase or decrease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of shareholders and other circumstances, Party A, Party B, Party B’s Subsidiaries and all existing shareholders of Party B shall re-sign this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3"/>
              </w:rPr>
              <w:t>Agreement, and this Agreement shall automatically be terminated and become invalid from the effective date of the business operation</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agreement re-signed by the foregoing Parties.</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Within the term of this Agreement, Party B, Party B’s Subsidiaries and Party C shall not terminate this Agreement in advance. Party A shall</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have the right to terminate this Agreement at any time by giving a written notice to Party B, Party B’s Subsidiaries and shareholders Thirty</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(30) days in advance.</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8.5</w:t>
            </w: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The Parties hereby acknowledge that this Agreement shall be a fair and reasonable agreement reached by the Parties hereto on the basis of</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4"/>
              </w:rPr>
              <w:t>equality and mutual benefit. If any provisions of this Agreement are deemed to be illegal or unenforceable by any applicable law, such</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5"/>
              </w:rPr>
              <w:t>provisions shall be deemed to have been deleted from this Agreement and become invalid, provided that any other provisions of this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Agreement shall remain in force, and this Agreement shall be deemed to have not contained such provisions from the beginning. The Parties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3"/>
              </w:rPr>
              <w:t>hereto shall mutually negotiate about the replacement of such provisions that are deemed to have been deleted with any legal and valid</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provisions acceptable to the Parties.</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8.6</w:t>
            </w: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No failure by any Party to exercise its rights, powers or privileges under this Agreement shall be treated as a waiver of such rights, powers or</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privileges by such Party. No single or partial exercise by any Party of its rights, powers or privileges under this Agreement shall exclude any</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exercise by such Party of its other rights, powers or privileges under this Agreement.</w:t>
            </w:r>
          </w:p>
        </w:tc>
      </w:tr>
      <w:tr>
        <w:trPr>
          <w:trHeight w:val="3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8.7</w:t>
            </w:r>
          </w:p>
        </w:tc>
        <w:tc>
          <w:tcPr>
            <w:tcW w:w="9840" w:type="dxa"/>
            <w:vAlign w:val="bottom"/>
          </w:tcPr>
          <w:p>
            <w:pPr>
              <w:ind w:left="34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8.8</w:t>
            </w: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Party B, Party B’s Subsidiaries and Party C shall not transfer to any third party their rights and obligations under this Agreement unless they</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obtain the prior written consent of Party A.</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duly authorized representative as of the date first above written.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51" w:name="page252"/>
    <w:bookmarkEnd w:id="251"/>
    <w:p>
      <w:pPr>
        <w:jc w:val="center"/>
        <w:ind w:right="40"/>
        <w:spacing w:after="0"/>
        <w:rPr>
          <w:sz w:val="20"/>
          <w:szCs w:val="20"/>
          <w:color w:val="auto"/>
        </w:rPr>
      </w:pPr>
      <w:r>
        <w:rPr>
          <w:rFonts w:ascii="Arial" w:cs="Arial" w:eastAsia="Arial" w:hAnsi="Arial"/>
          <w:sz w:val="17"/>
          <w:szCs w:val="17"/>
          <w:color w:val="auto"/>
        </w:rPr>
        <w:t>[This page is the signature page to the Business Operation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Chicheng</w:t>
      </w:r>
      <w:r>
        <w:rPr>
          <w:rFonts w:ascii="Arial" w:cs="Arial" w:eastAsia="Arial" w:hAnsi="Arial"/>
          <w:sz w:val="17"/>
          <w:szCs w:val="17"/>
          <w:color w:val="auto"/>
        </w:rPr>
        <w:t xml:space="preserve"> (Seal)</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[This page is intentionally left blank as the signature page of the Business Operation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LIU Chicheng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Chicheng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ZHOU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ZHOU Wei</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Annex I Party B’s Shareholders</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680" w:type="dxa"/>
            <w:vAlign w:val="bottom"/>
            <w:tcBorders>
              <w:top w:val="single" w:sz="8" w:color="auto"/>
            </w:tcBorders>
          </w:tcPr>
          <w:p>
            <w:pPr>
              <w:spacing w:after="0"/>
              <w:rPr>
                <w:sz w:val="20"/>
                <w:szCs w:val="20"/>
                <w:color w:val="auto"/>
              </w:rPr>
            </w:pPr>
          </w:p>
        </w:tc>
        <w:tc>
          <w:tcPr>
            <w:tcW w:w="2280" w:type="dxa"/>
            <w:vAlign w:val="bottom"/>
            <w:tcBorders>
              <w:top w:val="single" w:sz="8" w:color="auto"/>
              <w:right w:val="single" w:sz="8" w:color="auto"/>
            </w:tcBorders>
          </w:tcPr>
          <w:p>
            <w:pPr>
              <w:jc w:val="center"/>
              <w:ind w:right="637"/>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top w:val="single" w:sz="8" w:color="auto"/>
            </w:tcBorders>
          </w:tcPr>
          <w:p>
            <w:pPr>
              <w:spacing w:after="0"/>
              <w:rPr>
                <w:sz w:val="20"/>
                <w:szCs w:val="20"/>
                <w:color w:val="auto"/>
              </w:rPr>
            </w:pPr>
          </w:p>
        </w:tc>
        <w:tc>
          <w:tcPr>
            <w:tcW w:w="2120" w:type="dxa"/>
            <w:vAlign w:val="bottom"/>
            <w:tcBorders>
              <w:top w:val="single" w:sz="8" w:color="auto"/>
              <w:right w:val="single" w:sz="8" w:color="auto"/>
            </w:tcBorders>
          </w:tcPr>
          <w:p>
            <w:pPr>
              <w:jc w:val="center"/>
              <w:ind w:right="17"/>
              <w:spacing w:after="0"/>
              <w:rPr>
                <w:sz w:val="20"/>
                <w:szCs w:val="20"/>
                <w:color w:val="auto"/>
              </w:rPr>
            </w:pPr>
            <w:r>
              <w:rPr>
                <w:rFonts w:ascii="Arial" w:cs="Arial" w:eastAsia="Arial" w:hAnsi="Arial"/>
                <w:sz w:val="17"/>
                <w:szCs w:val="17"/>
                <w:color w:val="auto"/>
                <w:w w:val="91"/>
              </w:rPr>
              <w:t>ID Card No.</w:t>
            </w:r>
          </w:p>
        </w:tc>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680" w:type="dxa"/>
            <w:vAlign w:val="bottom"/>
          </w:tcPr>
          <w:p>
            <w:pPr>
              <w:spacing w:after="0"/>
              <w:rPr>
                <w:sz w:val="18"/>
                <w:szCs w:val="18"/>
                <w:color w:val="auto"/>
              </w:rPr>
            </w:pPr>
          </w:p>
        </w:tc>
        <w:tc>
          <w:tcPr>
            <w:tcW w:w="2280" w:type="dxa"/>
            <w:vAlign w:val="bottom"/>
            <w:tcBorders>
              <w:right w:val="single" w:sz="8" w:color="auto"/>
            </w:tcBorders>
          </w:tcPr>
          <w:p>
            <w:pPr>
              <w:jc w:val="center"/>
              <w:ind w:right="637"/>
              <w:spacing w:after="0"/>
              <w:rPr>
                <w:sz w:val="20"/>
                <w:szCs w:val="20"/>
                <w:color w:val="auto"/>
              </w:rPr>
            </w:pPr>
            <w:r>
              <w:rPr>
                <w:rFonts w:ascii="Arial" w:cs="Arial" w:eastAsia="Arial" w:hAnsi="Arial"/>
                <w:sz w:val="17"/>
                <w:szCs w:val="17"/>
                <w:color w:val="auto"/>
                <w:w w:val="93"/>
              </w:rPr>
              <w:t>LIU Chicheng</w:t>
            </w:r>
          </w:p>
        </w:tc>
        <w:tc>
          <w:tcPr>
            <w:tcW w:w="60" w:type="dxa"/>
            <w:vAlign w:val="bottom"/>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680" w:type="dxa"/>
            <w:vAlign w:val="bottom"/>
          </w:tcPr>
          <w:p>
            <w:pPr>
              <w:spacing w:after="0"/>
              <w:rPr>
                <w:sz w:val="18"/>
                <w:szCs w:val="18"/>
                <w:color w:val="auto"/>
              </w:rPr>
            </w:pPr>
          </w:p>
        </w:tc>
        <w:tc>
          <w:tcPr>
            <w:tcW w:w="2280" w:type="dxa"/>
            <w:vAlign w:val="bottom"/>
            <w:tcBorders>
              <w:right w:val="single" w:sz="8" w:color="auto"/>
            </w:tcBorders>
          </w:tcPr>
          <w:p>
            <w:pPr>
              <w:jc w:val="center"/>
              <w:ind w:right="637"/>
              <w:spacing w:after="0"/>
              <w:rPr>
                <w:sz w:val="20"/>
                <w:szCs w:val="20"/>
                <w:color w:val="auto"/>
              </w:rPr>
            </w:pPr>
            <w:r>
              <w:rPr>
                <w:rFonts w:ascii="Arial" w:cs="Arial" w:eastAsia="Arial" w:hAnsi="Arial"/>
                <w:sz w:val="17"/>
                <w:szCs w:val="17"/>
                <w:color w:val="auto"/>
                <w:w w:val="92"/>
              </w:rPr>
              <w:t>ZHOU Wei</w:t>
            </w:r>
          </w:p>
        </w:tc>
        <w:tc>
          <w:tcPr>
            <w:tcW w:w="60" w:type="dxa"/>
            <w:vAlign w:val="bottom"/>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4"/>
          </w:tcPr>
          <w:p>
            <w:pPr>
              <w:ind w:left="500"/>
              <w:spacing w:after="0"/>
              <w:rPr>
                <w:sz w:val="20"/>
                <w:szCs w:val="20"/>
                <w:color w:val="auto"/>
              </w:rPr>
            </w:pPr>
            <w:r>
              <w:rPr>
                <w:rFonts w:ascii="Arial" w:cs="Arial" w:eastAsia="Arial" w:hAnsi="Arial"/>
                <w:sz w:val="20"/>
                <w:szCs w:val="20"/>
                <w:b w:val="1"/>
                <w:bCs w:val="1"/>
                <w:color w:val="auto"/>
              </w:rPr>
              <w:t>Annex II Party B’s Shareholding Structure</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660" w:type="dxa"/>
            <w:vAlign w:val="bottom"/>
            <w:gridSpan w:val="4"/>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right w:val="single" w:sz="8" w:color="auto"/>
            </w:tcBorders>
          </w:tcPr>
          <w:p>
            <w:pPr>
              <w:spacing w:after="0"/>
              <w:rPr>
                <w:sz w:val="17"/>
                <w:szCs w:val="17"/>
                <w:color w:val="auto"/>
              </w:rPr>
            </w:pPr>
          </w:p>
        </w:tc>
        <w:tc>
          <w:tcPr>
            <w:tcW w:w="2120" w:type="dxa"/>
            <w:vAlign w:val="bottom"/>
          </w:tcPr>
          <w:p>
            <w:pPr>
              <w:ind w:left="420"/>
              <w:spacing w:after="0"/>
              <w:rPr>
                <w:sz w:val="20"/>
                <w:szCs w:val="20"/>
                <w:color w:val="auto"/>
              </w:rPr>
            </w:pPr>
            <w:r>
              <w:rPr>
                <w:rFonts w:ascii="Arial" w:cs="Arial" w:eastAsia="Arial" w:hAnsi="Arial"/>
                <w:sz w:val="17"/>
                <w:szCs w:val="17"/>
                <w:color w:val="auto"/>
                <w:w w:val="95"/>
              </w:rPr>
              <w:t>Amount of Contribution</w:t>
            </w:r>
          </w:p>
        </w:tc>
        <w:tc>
          <w:tcPr>
            <w:tcW w:w="3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660" w:type="dxa"/>
            <w:vAlign w:val="bottom"/>
            <w:gridSpan w:val="4"/>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120" w:type="dxa"/>
            <w:vAlign w:val="bottom"/>
            <w:vMerge w:val="restart"/>
          </w:tcPr>
          <w:p>
            <w:pPr>
              <w:jc w:val="center"/>
              <w:ind w:left="237"/>
              <w:spacing w:after="0"/>
              <w:rPr>
                <w:sz w:val="20"/>
                <w:szCs w:val="20"/>
                <w:color w:val="auto"/>
              </w:rPr>
            </w:pPr>
            <w:r>
              <w:rPr>
                <w:rFonts w:ascii="Arial" w:cs="Arial" w:eastAsia="Arial" w:hAnsi="Arial"/>
                <w:sz w:val="17"/>
                <w:szCs w:val="17"/>
                <w:color w:val="auto"/>
                <w:w w:val="93"/>
              </w:rPr>
              <w:t>(CNY10000)</w:t>
            </w:r>
          </w:p>
        </w:tc>
        <w:tc>
          <w:tcPr>
            <w:tcW w:w="34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0" w:type="dxa"/>
            <w:vAlign w:val="bottom"/>
            <w:tcBorders>
              <w:left w:val="single" w:sz="8" w:color="auto"/>
              <w:right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212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auto"/>
                <w:w w:val="93"/>
              </w:rPr>
              <w:t>LIU Chicheng</w:t>
            </w:r>
          </w:p>
        </w:tc>
        <w:tc>
          <w:tcPr>
            <w:tcW w:w="22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190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auto"/>
                <w:w w:val="92"/>
              </w:rPr>
              <w:t>ZHOU Wei</w:t>
            </w:r>
          </w:p>
        </w:tc>
        <w:tc>
          <w:tcPr>
            <w:tcW w:w="22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10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auto"/>
                <w:w w:val="89"/>
              </w:rPr>
              <w:t>Total</w:t>
            </w:r>
          </w:p>
        </w:tc>
        <w:tc>
          <w:tcPr>
            <w:tcW w:w="22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200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9"/>
        </w:trPr>
        <w:tc>
          <w:tcPr>
            <w:tcW w:w="6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252" w:name="page253"/>
    <w:bookmarkEnd w:id="252"/>
    <w:p>
      <w:pPr>
        <w:jc w:val="center"/>
        <w:spacing w:after="0"/>
        <w:rPr>
          <w:sz w:val="20"/>
          <w:szCs w:val="20"/>
          <w:color w:val="auto"/>
        </w:rPr>
      </w:pPr>
      <w:r>
        <w:rPr>
          <w:rFonts w:ascii="Arial" w:cs="Arial" w:eastAsia="Arial" w:hAnsi="Arial"/>
          <w:sz w:val="20"/>
          <w:szCs w:val="20"/>
          <w:b w:val="1"/>
          <w:bCs w:val="1"/>
          <w:color w:val="auto"/>
        </w:rPr>
        <w:t>Annex III Power of Attorney</w:t>
      </w:r>
    </w:p>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Beijing Zhiziyuanshui Education Technology Co., Ltd. (“</w:t>
      </w:r>
      <w:r>
        <w:rPr>
          <w:rFonts w:ascii="Arial" w:cs="Arial" w:eastAsia="Arial" w:hAnsi="Arial"/>
          <w:sz w:val="17"/>
          <w:szCs w:val="17"/>
          <w:b w:val="1"/>
          <w:bCs w:val="1"/>
          <w:color w:val="auto"/>
        </w:rPr>
        <w:t>Beijing Zhiziyuanshui</w:t>
      </w:r>
      <w:r>
        <w:rPr>
          <w:rFonts w:ascii="Arial" w:cs="Arial" w:eastAsia="Arial" w:hAnsi="Arial"/>
          <w:sz w:val="17"/>
          <w:szCs w:val="17"/>
          <w:color w:val="auto"/>
        </w:rPr>
        <w:t>”) of any specific obligations required by them as the shareholders of Beijing Zhiziyuanshui,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LIU Chicheng, ZHOU Wei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Authorizers hereby irrevocably authorize to the maximum scope permitted by law Tianjin Studyvip Education Co., Limited ("</w:t>
      </w:r>
      <w:r>
        <w:rPr>
          <w:rFonts w:ascii="Arial" w:cs="Arial" w:eastAsia="Arial" w:hAnsi="Arial"/>
          <w:sz w:val="16"/>
          <w:szCs w:val="16"/>
          <w:b w:val="1"/>
          <w:bCs w:val="1"/>
          <w:color w:val="auto"/>
        </w:rPr>
        <w:t>WFOE</w:t>
      </w:r>
      <w:r>
        <w:rPr>
          <w:rFonts w:ascii="Arial" w:cs="Arial" w:eastAsia="Arial" w:hAnsi="Arial"/>
          <w:sz w:val="16"/>
          <w:szCs w:val="16"/>
          <w:color w:val="auto"/>
        </w:rPr>
        <w:t>") or its designated person or authorized representative (“</w:t>
      </w:r>
      <w:r>
        <w:rPr>
          <w:rFonts w:ascii="Arial" w:cs="Arial" w:eastAsia="Arial" w:hAnsi="Arial"/>
          <w:sz w:val="16"/>
          <w:szCs w:val="16"/>
          <w:b w:val="1"/>
          <w:bCs w:val="1"/>
          <w:color w:val="auto"/>
        </w:rPr>
        <w:t>Authorized Person</w:t>
      </w:r>
      <w:r>
        <w:rPr>
          <w:rFonts w:ascii="Arial" w:cs="Arial" w:eastAsia="Arial" w:hAnsi="Arial"/>
          <w:sz w:val="16"/>
          <w:szCs w:val="16"/>
          <w:color w:val="auto"/>
        </w:rPr>
        <w:t>”) to exercise all their shareholder rights corresponding to all voting shares (“</w:t>
      </w:r>
      <w:r>
        <w:rPr>
          <w:rFonts w:ascii="Arial" w:cs="Arial" w:eastAsia="Arial" w:hAnsi="Arial"/>
          <w:sz w:val="16"/>
          <w:szCs w:val="16"/>
          <w:b w:val="1"/>
          <w:bCs w:val="1"/>
          <w:color w:val="auto"/>
        </w:rPr>
        <w:t>Shares</w:t>
      </w:r>
      <w:r>
        <w:rPr>
          <w:rFonts w:ascii="Arial" w:cs="Arial" w:eastAsia="Arial" w:hAnsi="Arial"/>
          <w:sz w:val="16"/>
          <w:szCs w:val="16"/>
          <w:color w:val="auto"/>
        </w:rPr>
        <w:t>”) held by them in Beijing Zhiziyuanshui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 (3) 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Beijing Zhiziyuanshui at the meeting of shareholders of Beijing Zhiziyuanshui.</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the WFOE.</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Unless the Business Operation Agreement signed by Beijing Zhiziyuanshui,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the [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582930</wp:posOffset>
            </wp:positionV>
            <wp:extent cx="7184390" cy="41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gridSpan w:val="3"/>
          </w:tcPr>
          <w:p>
            <w:pPr>
              <w:jc w:val="center"/>
              <w:ind w:left="2093"/>
              <w:spacing w:after="0"/>
              <w:rPr>
                <w:sz w:val="20"/>
                <w:szCs w:val="20"/>
                <w:color w:val="auto"/>
              </w:rPr>
            </w:pPr>
            <w:r>
              <w:rPr>
                <w:rFonts w:ascii="Arial" w:cs="Arial" w:eastAsia="Arial" w:hAnsi="Arial"/>
                <w:sz w:val="17"/>
                <w:szCs w:val="17"/>
                <w:b w:val="1"/>
                <w:bCs w:val="1"/>
                <w:color w:val="auto"/>
                <w:w w:val="87"/>
              </w:rPr>
              <w:t>[This page is the signature page to the Power of Attorney]</w:t>
            </w:r>
          </w:p>
        </w:tc>
      </w:tr>
      <w:tr>
        <w:trPr>
          <w:trHeight w:val="399"/>
        </w:trPr>
        <w:tc>
          <w:tcPr>
            <w:tcW w:w="980" w:type="dxa"/>
            <w:vAlign w:val="bottom"/>
          </w:tcPr>
          <w:p>
            <w:pPr>
              <w:spacing w:after="0"/>
              <w:rPr>
                <w:sz w:val="20"/>
                <w:szCs w:val="20"/>
                <w:color w:val="auto"/>
              </w:rPr>
            </w:pPr>
            <w:r>
              <w:rPr>
                <w:rFonts w:ascii="Arial" w:cs="Arial" w:eastAsia="Arial" w:hAnsi="Arial"/>
                <w:sz w:val="17"/>
                <w:szCs w:val="17"/>
                <w:b w:val="1"/>
                <w:bCs w:val="1"/>
                <w:color w:val="auto"/>
              </w:rPr>
              <w:t>Authorizers</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86"/>
        </w:trPr>
        <w:tc>
          <w:tcPr>
            <w:tcW w:w="980" w:type="dxa"/>
            <w:vAlign w:val="bottom"/>
          </w:tcPr>
          <w:p>
            <w:pPr>
              <w:spacing w:after="0"/>
              <w:rPr>
                <w:sz w:val="20"/>
                <w:szCs w:val="20"/>
                <w:color w:val="auto"/>
              </w:rPr>
            </w:pPr>
            <w:r>
              <w:rPr>
                <w:rFonts w:ascii="Arial" w:cs="Arial" w:eastAsia="Arial" w:hAnsi="Arial"/>
                <w:sz w:val="17"/>
                <w:szCs w:val="17"/>
                <w:color w:val="auto"/>
                <w:w w:val="93"/>
              </w:rPr>
              <w:t>LIU Chicheng</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12"/>
        </w:trPr>
        <w:tc>
          <w:tcPr>
            <w:tcW w:w="980" w:type="dxa"/>
            <w:vAlign w:val="bottom"/>
          </w:tcPr>
          <w:p>
            <w:pPr>
              <w:spacing w:after="0"/>
              <w:rPr>
                <w:sz w:val="20"/>
                <w:szCs w:val="20"/>
                <w:color w:val="auto"/>
              </w:rPr>
            </w:pPr>
            <w:r>
              <w:rPr>
                <w:rFonts w:ascii="Arial" w:cs="Arial" w:eastAsia="Arial" w:hAnsi="Arial"/>
                <w:sz w:val="17"/>
                <w:szCs w:val="17"/>
                <w:color w:val="auto"/>
              </w:rPr>
              <w:t>Signature:</w:t>
            </w:r>
          </w:p>
        </w:tc>
        <w:tc>
          <w:tcPr>
            <w:tcW w:w="7080" w:type="dxa"/>
            <w:vAlign w:val="bottom"/>
            <w:gridSpan w:val="4"/>
          </w:tcPr>
          <w:p>
            <w:pPr>
              <w:spacing w:after="0"/>
              <w:rPr>
                <w:sz w:val="20"/>
                <w:szCs w:val="20"/>
                <w:color w:val="auto"/>
              </w:rPr>
            </w:pPr>
            <w:r>
              <w:rPr>
                <w:rFonts w:ascii="Arial" w:cs="Arial" w:eastAsia="Arial" w:hAnsi="Arial"/>
                <w:sz w:val="17"/>
                <w:szCs w:val="17"/>
                <w:color w:val="auto"/>
              </w:rPr>
              <w:t>/s/ LIU Chicheng</w:t>
            </w:r>
          </w:p>
        </w:tc>
      </w:tr>
      <w:tr>
        <w:trPr>
          <w:trHeight w:val="379"/>
        </w:trPr>
        <w:tc>
          <w:tcPr>
            <w:tcW w:w="980" w:type="dxa"/>
            <w:vAlign w:val="bottom"/>
          </w:tcPr>
          <w:p>
            <w:pPr>
              <w:spacing w:after="0"/>
              <w:rPr>
                <w:sz w:val="20"/>
                <w:szCs w:val="20"/>
                <w:color w:val="auto"/>
              </w:rPr>
            </w:pPr>
            <w:r>
              <w:rPr>
                <w:rFonts w:ascii="Arial" w:cs="Arial" w:eastAsia="Arial" w:hAnsi="Arial"/>
                <w:sz w:val="17"/>
                <w:szCs w:val="17"/>
                <w:color w:val="auto"/>
              </w:rPr>
              <w:t>ZHOU Wei</w:t>
            </w:r>
          </w:p>
        </w:tc>
        <w:tc>
          <w:tcPr>
            <w:tcW w:w="2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r>
      <w:tr>
        <w:trPr>
          <w:trHeight w:val="212"/>
        </w:trPr>
        <w:tc>
          <w:tcPr>
            <w:tcW w:w="980" w:type="dxa"/>
            <w:vAlign w:val="bottom"/>
          </w:tcPr>
          <w:p>
            <w:pPr>
              <w:spacing w:after="0"/>
              <w:rPr>
                <w:sz w:val="20"/>
                <w:szCs w:val="20"/>
                <w:color w:val="auto"/>
              </w:rPr>
            </w:pPr>
            <w:r>
              <w:rPr>
                <w:rFonts w:ascii="Arial" w:cs="Arial" w:eastAsia="Arial" w:hAnsi="Arial"/>
                <w:sz w:val="17"/>
                <w:szCs w:val="17"/>
                <w:color w:val="auto"/>
              </w:rPr>
              <w:t>Signature:</w:t>
            </w:r>
          </w:p>
        </w:tc>
        <w:tc>
          <w:tcPr>
            <w:tcW w:w="29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ZHOU Wei</w:t>
            </w:r>
          </w:p>
        </w:tc>
        <w:tc>
          <w:tcPr>
            <w:tcW w:w="4140" w:type="dxa"/>
            <w:vAlign w:val="bottom"/>
          </w:tcPr>
          <w:p>
            <w:pPr>
              <w:spacing w:after="0"/>
              <w:rPr>
                <w:sz w:val="18"/>
                <w:szCs w:val="18"/>
                <w:color w:val="auto"/>
              </w:rPr>
            </w:pPr>
          </w:p>
        </w:tc>
      </w:tr>
      <w:tr>
        <w:trPr>
          <w:trHeight w:val="391"/>
        </w:trPr>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gridSpan w:val="3"/>
          </w:tcPr>
          <w:p>
            <w:pPr>
              <w:jc w:val="center"/>
              <w:ind w:left="2093"/>
              <w:spacing w:after="0"/>
              <w:rPr>
                <w:sz w:val="20"/>
                <w:szCs w:val="20"/>
                <w:color w:val="auto"/>
              </w:rPr>
            </w:pPr>
            <w:r>
              <w:rPr>
                <w:rFonts w:ascii="Arial" w:cs="Arial" w:eastAsia="Arial" w:hAnsi="Arial"/>
                <w:sz w:val="17"/>
                <w:szCs w:val="17"/>
                <w:b w:val="1"/>
                <w:bCs w:val="1"/>
                <w:color w:val="auto"/>
                <w:w w:val="87"/>
              </w:rPr>
              <w:t>[This page is the signature page to the Power of Attorney]</w:t>
            </w:r>
          </w:p>
        </w:tc>
      </w:tr>
      <w:tr>
        <w:trPr>
          <w:trHeight w:val="399"/>
        </w:trPr>
        <w:tc>
          <w:tcPr>
            <w:tcW w:w="8060" w:type="dxa"/>
            <w:vAlign w:val="bottom"/>
            <w:gridSpan w:val="5"/>
          </w:tcPr>
          <w:p>
            <w:pPr>
              <w:spacing w:after="0"/>
              <w:rPr>
                <w:sz w:val="20"/>
                <w:szCs w:val="20"/>
                <w:color w:val="auto"/>
              </w:rPr>
            </w:pPr>
            <w:r>
              <w:rPr>
                <w:rFonts w:ascii="Arial" w:cs="Arial" w:eastAsia="Arial" w:hAnsi="Arial"/>
                <w:sz w:val="17"/>
                <w:szCs w:val="17"/>
                <w:b w:val="1"/>
                <w:bCs w:val="1"/>
                <w:color w:val="auto"/>
              </w:rPr>
              <w:t>Authorized Person</w:t>
            </w:r>
          </w:p>
        </w:tc>
      </w:tr>
      <w:tr>
        <w:trPr>
          <w:trHeight w:val="399"/>
        </w:trPr>
        <w:tc>
          <w:tcPr>
            <w:tcW w:w="8060" w:type="dxa"/>
            <w:vAlign w:val="bottom"/>
            <w:gridSpan w:val="5"/>
          </w:tcPr>
          <w:p>
            <w:pPr>
              <w:spacing w:after="0"/>
              <w:rPr>
                <w:sz w:val="20"/>
                <w:szCs w:val="20"/>
                <w:color w:val="auto"/>
              </w:rPr>
            </w:pPr>
            <w:r>
              <w:rPr>
                <w:rFonts w:ascii="Arial" w:cs="Arial" w:eastAsia="Arial" w:hAnsi="Arial"/>
                <w:sz w:val="17"/>
                <w:szCs w:val="17"/>
                <w:b w:val="1"/>
                <w:bCs w:val="1"/>
                <w:color w:val="auto"/>
              </w:rPr>
              <w:t>Tianjin Studyvip Education Co., Limited</w:t>
            </w:r>
          </w:p>
        </w:tc>
      </w:tr>
      <w:tr>
        <w:trPr>
          <w:trHeight w:val="398"/>
        </w:trPr>
        <w:tc>
          <w:tcPr>
            <w:tcW w:w="980" w:type="dxa"/>
            <w:vAlign w:val="bottom"/>
          </w:tcPr>
          <w:p>
            <w:pPr>
              <w:spacing w:after="0"/>
              <w:rPr>
                <w:sz w:val="20"/>
                <w:szCs w:val="20"/>
                <w:color w:val="auto"/>
              </w:rPr>
            </w:pPr>
            <w:r>
              <w:rPr>
                <w:rFonts w:ascii="Arial" w:cs="Arial" w:eastAsia="Arial" w:hAnsi="Arial"/>
                <w:sz w:val="17"/>
                <w:szCs w:val="17"/>
                <w:color w:val="auto"/>
              </w:rPr>
              <w:t>Signature:</w:t>
            </w:r>
          </w:p>
        </w:tc>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Liu Tongbo (Seal)</w:t>
            </w:r>
          </w:p>
        </w:tc>
        <w:tc>
          <w:tcPr>
            <w:tcW w:w="4160" w:type="dxa"/>
            <w:vAlign w:val="bottom"/>
            <w:gridSpan w:val="2"/>
          </w:tcPr>
          <w:p>
            <w:pPr>
              <w:spacing w:after="0"/>
              <w:rPr>
                <w:sz w:val="24"/>
                <w:szCs w:val="24"/>
                <w:color w:val="auto"/>
              </w:rPr>
            </w:pPr>
          </w:p>
        </w:tc>
      </w:tr>
      <w:tr>
        <w:trPr>
          <w:trHeight w:val="179"/>
        </w:trPr>
        <w:tc>
          <w:tcPr>
            <w:tcW w:w="3900" w:type="dxa"/>
            <w:vAlign w:val="bottom"/>
            <w:gridSpan w:val="3"/>
          </w:tcPr>
          <w:p>
            <w:pPr>
              <w:spacing w:after="0" w:line="180" w:lineRule="exact"/>
              <w:rPr>
                <w:sz w:val="20"/>
                <w:szCs w:val="20"/>
                <w:color w:val="auto"/>
              </w:rPr>
            </w:pPr>
            <w:r>
              <w:rPr>
                <w:rFonts w:ascii="Arial" w:cs="Arial" w:eastAsia="Arial" w:hAnsi="Arial"/>
                <w:sz w:val="17"/>
                <w:szCs w:val="17"/>
                <w:color w:val="auto"/>
              </w:rPr>
              <w:t>Name: LIU Tongbo</w:t>
            </w:r>
          </w:p>
        </w:tc>
        <w:tc>
          <w:tcPr>
            <w:tcW w:w="4160" w:type="dxa"/>
            <w:vAlign w:val="bottom"/>
            <w:gridSpan w:val="2"/>
          </w:tcPr>
          <w:p>
            <w:pPr>
              <w:spacing w:after="0"/>
              <w:rPr>
                <w:sz w:val="15"/>
                <w:szCs w:val="15"/>
                <w:color w:val="auto"/>
              </w:rPr>
            </w:pPr>
          </w:p>
        </w:tc>
      </w:tr>
      <w:tr>
        <w:trPr>
          <w:trHeight w:val="212"/>
        </w:trPr>
        <w:tc>
          <w:tcPr>
            <w:tcW w:w="8060" w:type="dxa"/>
            <w:vAlign w:val="bottom"/>
            <w:gridSpan w:val="5"/>
          </w:tcPr>
          <w:p>
            <w:pPr>
              <w:spacing w:after="0"/>
              <w:rPr>
                <w:sz w:val="20"/>
                <w:szCs w:val="20"/>
                <w:color w:val="auto"/>
              </w:rPr>
            </w:pPr>
            <w:r>
              <w:rPr>
                <w:rFonts w:ascii="Arial" w:cs="Arial" w:eastAsia="Arial" w:hAnsi="Arial"/>
                <w:sz w:val="17"/>
                <w:szCs w:val="17"/>
                <w:color w:val="auto"/>
              </w:rPr>
              <w:t>Position: Authorized Representative</w:t>
            </w:r>
          </w:p>
        </w:tc>
      </w:tr>
      <w:tr>
        <w:trPr>
          <w:trHeight w:val="434"/>
        </w:trPr>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gridSpan w:val="3"/>
          </w:tcPr>
          <w:p>
            <w:pPr>
              <w:jc w:val="center"/>
              <w:ind w:left="2093"/>
              <w:spacing w:after="0"/>
              <w:rPr>
                <w:sz w:val="20"/>
                <w:szCs w:val="20"/>
                <w:color w:val="auto"/>
              </w:rPr>
            </w:pPr>
            <w:r>
              <w:rPr>
                <w:rFonts w:ascii="Arial" w:cs="Arial" w:eastAsia="Arial" w:hAnsi="Arial"/>
                <w:sz w:val="20"/>
                <w:szCs w:val="20"/>
                <w:b w:val="1"/>
                <w:bCs w:val="1"/>
                <w:color w:val="auto"/>
                <w:w w:val="90"/>
              </w:rPr>
              <w:t>Annex IV Letter of Acceptance of Rights and Obligations</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company , </w:t>
      </w:r>
      <w:r>
        <w:rPr>
          <w:rFonts w:ascii="Arial" w:cs="Arial" w:eastAsia="Arial" w:hAnsi="Arial"/>
          <w:sz w:val="15"/>
          <w:szCs w:val="15"/>
          <w:b w:val="1"/>
          <w:bCs w:val="1"/>
          <w:color w:val="auto"/>
        </w:rPr>
        <w:t>______, is a subsidiary of (hereinafter referred to as “______ ”) incorporated with on the____ day of_______ , and Beijing Zhiziyuanshui holds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 of the shares/equity of _____% of the shares/equity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accordance with the Exclusive Technical Consultation and Service Agreement (hereinafter referred to as “Agreement”) entered into by ______ Co., Limited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 other parties on the ______ day of______ , our company as a newly added “Party B’s Subsidiary” under the Agreement shall join the Agreement pursuant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Section 3.3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313"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322" w:right="339" w:bottom="1440" w:gutter="0" w:footer="0" w:header="0"/>
        </w:sectPr>
      </w:pPr>
    </w:p>
    <w:bookmarkStart w:id="254" w:name="page255"/>
    <w:bookmarkEnd w:id="254"/>
    <w:p>
      <w:pPr>
        <w:jc w:val="right"/>
        <w:ind w:right="40"/>
        <w:spacing w:after="0"/>
        <w:rPr>
          <w:sz w:val="20"/>
          <w:szCs w:val="20"/>
          <w:color w:val="auto"/>
        </w:rPr>
      </w:pPr>
      <w:r>
        <w:rPr>
          <w:rFonts w:ascii="Arial" w:cs="Arial" w:eastAsia="Arial" w:hAnsi="Arial"/>
          <w:sz w:val="17"/>
          <w:szCs w:val="17"/>
          <w:b w:val="1"/>
          <w:bCs w:val="1"/>
          <w:color w:val="auto"/>
        </w:rPr>
        <w:t>Exhibit 4.31</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Equity Interest Pledge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This Equity Interest Pledge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28</w:t>
      </w:r>
      <w:r>
        <w:rPr>
          <w:rFonts w:ascii="Arial" w:cs="Arial" w:eastAsia="Arial" w:hAnsi="Arial"/>
          <w:sz w:val="12"/>
          <w:szCs w:val="12"/>
          <w:color w:val="auto"/>
        </w:rPr>
        <w:t>th</w:t>
      </w:r>
      <w:r>
        <w:rPr>
          <w:rFonts w:ascii="Arial" w:cs="Arial" w:eastAsia="Arial" w:hAnsi="Arial"/>
          <w:sz w:val="15"/>
          <w:szCs w:val="15"/>
          <w:color w:val="auto"/>
        </w:rPr>
        <w:t xml:space="preserve"> day of December, 2020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 (hereinafter referred to as the “</w:t>
      </w:r>
      <w:r>
        <w:rPr>
          <w:rFonts w:ascii="Arial" w:cs="Arial" w:eastAsia="Arial" w:hAnsi="Arial"/>
          <w:sz w:val="17"/>
          <w:szCs w:val="17"/>
          <w:b w:val="1"/>
          <w:bCs w:val="1"/>
          <w:color w:val="auto"/>
        </w:rPr>
        <w:t>Pledgors</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Beijing Zhiziyuanshui Education Technology Co., Ltd.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305, 3rd Floor, Building 4, No. 36, Chuangyuan Road, Laiguangying, Chaoyang District, Beijing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Chicheng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170" w:lineRule="exact"/>
        <w:rPr>
          <w:sz w:val="20"/>
          <w:szCs w:val="20"/>
          <w:color w:val="auto"/>
        </w:rPr>
      </w:pPr>
    </w:p>
    <w:p>
      <w:pPr>
        <w:ind w:left="860" w:hanging="860"/>
        <w:spacing w:after="0"/>
        <w:tabs>
          <w:tab w:leader="none" w:pos="8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Party C is a limited liability company legally incorporated and existing under the law of the PRC.</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Pledgors as a whole holds one hundred (100) percent of the equity of Party C, with the shareholding structure be listed in Annex II hereto.</w:t>
      </w:r>
    </w:p>
    <w:p>
      <w:pPr>
        <w:spacing w:after="0" w:line="176" w:lineRule="exact"/>
        <w:rPr>
          <w:rFonts w:ascii="Arial" w:cs="Arial" w:eastAsia="Arial" w:hAnsi="Arial"/>
          <w:sz w:val="16"/>
          <w:szCs w:val="16"/>
          <w:color w:val="auto"/>
        </w:rPr>
      </w:pPr>
    </w:p>
    <w:p>
      <w:pPr>
        <w:ind w:left="860" w:right="40" w:hanging="860"/>
        <w:spacing w:after="0" w:line="265" w:lineRule="auto"/>
        <w:tabs>
          <w:tab w:leader="none" w:pos="8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Exclusive Technical Consultation and Service Agreement, the Business Operation Agreement and the Option Agreement were made as of the 28</w:t>
      </w:r>
      <w:r>
        <w:rPr>
          <w:rFonts w:ascii="Arial" w:cs="Arial" w:eastAsia="Arial" w:hAnsi="Arial"/>
          <w:sz w:val="14"/>
          <w:szCs w:val="14"/>
          <w:color w:val="auto"/>
        </w:rPr>
        <w:t>th</w:t>
      </w:r>
      <w:r>
        <w:rPr>
          <w:rFonts w:ascii="Arial" w:cs="Arial" w:eastAsia="Arial" w:hAnsi="Arial"/>
          <w:sz w:val="17"/>
          <w:szCs w:val="17"/>
          <w:color w:val="auto"/>
        </w:rPr>
        <w:t xml:space="preserve"> day of December, 2020 by and among the Pledgee, the Pledgors and Party C.</w:t>
      </w:r>
    </w:p>
    <w:p>
      <w:pPr>
        <w:spacing w:after="0" w:line="129" w:lineRule="exact"/>
        <w:rPr>
          <w:rFonts w:ascii="Arial" w:cs="Arial" w:eastAsia="Arial" w:hAnsi="Arial"/>
          <w:sz w:val="17"/>
          <w:szCs w:val="17"/>
          <w:color w:val="auto"/>
        </w:rPr>
      </w:pPr>
    </w:p>
    <w:p>
      <w:pPr>
        <w:jc w:val="both"/>
        <w:ind w:left="860" w:right="40" w:hanging="860"/>
        <w:spacing w:after="0" w:line="254" w:lineRule="auto"/>
        <w:tabs>
          <w:tab w:leader="none" w:pos="8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For the purpose of guaranteeing the collection by the Pledgee from Party C the service costs under the Exclusive Technical Consultation and Service Agreement and guaranteeing the performance of Individual Agreements (defined below), the Pledgors jointly and severally use all of the equity they hold in Party C as the pledge security for such Agreement, and the Pledgee shall be Party A.</w:t>
      </w:r>
    </w:p>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27" w:lineRule="exact"/>
        <w:rPr>
          <w:sz w:val="20"/>
          <w:szCs w:val="20"/>
          <w:color w:val="auto"/>
        </w:rPr>
      </w:pPr>
    </w:p>
    <w:p>
      <w:pPr>
        <w:ind w:left="860" w:hanging="860"/>
        <w:spacing w:after="0"/>
        <w:tabs>
          <w:tab w:leader="none" w:pos="860"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shall be interpreted as defined below unless otherwise provided herein: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rPr>
              <w:t xml:space="preserve">Pledge Right </w:t>
            </w:r>
            <w:r>
              <w:rPr>
                <w:rFonts w:ascii="Arial" w:cs="Arial" w:eastAsia="Arial" w:hAnsi="Arial"/>
                <w:sz w:val="17"/>
                <w:szCs w:val="17"/>
                <w:color w:val="auto"/>
              </w:rPr>
              <w:t>shall refer to all the contents as described in Section 2 below.</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89"/>
              </w:rPr>
              <w:t xml:space="preserve">Equity </w:t>
            </w:r>
            <w:r>
              <w:rPr>
                <w:rFonts w:ascii="Arial" w:cs="Arial" w:eastAsia="Arial" w:hAnsi="Arial"/>
                <w:sz w:val="17"/>
                <w:szCs w:val="17"/>
                <w:color w:val="auto"/>
                <w:w w:val="89"/>
              </w:rPr>
              <w:t>shall refer to the one hundred (100) percent of the equity legally held by the Pledgors as a whole and any and all the current and future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rights and benefits arising out of the foregoing.</w:t>
            </w:r>
          </w:p>
        </w:tc>
      </w:tr>
      <w:tr>
        <w:trPr>
          <w:trHeight w:val="348"/>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1.3</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90"/>
              </w:rPr>
              <w:t xml:space="preserve">Individual Agreements </w:t>
            </w:r>
            <w:r>
              <w:rPr>
                <w:rFonts w:ascii="Arial" w:cs="Arial" w:eastAsia="Arial" w:hAnsi="Arial"/>
                <w:sz w:val="17"/>
                <w:szCs w:val="17"/>
                <w:color w:val="auto"/>
                <w:w w:val="90"/>
              </w:rPr>
              <w:t>shall refer to the Exclusive Technical Consultation and Service Agreement, the Business Operation Agreement and</w:t>
            </w:r>
          </w:p>
        </w:tc>
      </w:tr>
      <w:tr>
        <w:trPr>
          <w:trHeight w:val="213"/>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the Option Agreement made as of the 28</w:t>
            </w:r>
            <w:r>
              <w:rPr>
                <w:rFonts w:ascii="Arial" w:cs="Arial" w:eastAsia="Arial" w:hAnsi="Arial"/>
                <w:sz w:val="14"/>
                <w:szCs w:val="14"/>
                <w:color w:val="auto"/>
              </w:rPr>
              <w:t>th</w:t>
            </w:r>
            <w:r>
              <w:rPr>
                <w:rFonts w:ascii="Arial" w:cs="Arial" w:eastAsia="Arial" w:hAnsi="Arial"/>
                <w:sz w:val="17"/>
                <w:szCs w:val="17"/>
                <w:color w:val="auto"/>
              </w:rPr>
              <w:t xml:space="preserve"> day of December, 2020 by and among the Pledgee, Party C and other parties.</w:t>
            </w:r>
          </w:p>
        </w:tc>
      </w:tr>
      <w:tr>
        <w:trPr>
          <w:trHeight w:val="36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1.4</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rPr>
              <w:t xml:space="preserve">A Default Event </w:t>
            </w:r>
            <w:r>
              <w:rPr>
                <w:rFonts w:ascii="Arial" w:cs="Arial" w:eastAsia="Arial" w:hAnsi="Arial"/>
                <w:sz w:val="17"/>
                <w:szCs w:val="17"/>
                <w:color w:val="auto"/>
              </w:rPr>
              <w:t>shall refer to any of the circumstances described in Section 7 below.</w:t>
            </w:r>
          </w:p>
        </w:tc>
      </w:tr>
      <w:tr>
        <w:trPr>
          <w:trHeight w:val="610"/>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1</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255" w:name="page256"/>
    <w:bookmarkEnd w:id="255"/>
    <w:p>
      <w:pPr>
        <w:ind w:left="860"/>
        <w:spacing w:after="0"/>
        <w:tabs>
          <w:tab w:leader="none" w:pos="17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b w:val="1"/>
          <w:bCs w:val="1"/>
          <w:color w:val="auto"/>
        </w:rPr>
        <w:t xml:space="preserve">Default Notice </w:t>
      </w:r>
      <w:r>
        <w:rPr>
          <w:rFonts w:ascii="Arial" w:cs="Arial" w:eastAsia="Arial" w:hAnsi="Arial"/>
          <w:sz w:val="15"/>
          <w:szCs w:val="15"/>
          <w:color w:val="auto"/>
        </w:rPr>
        <w:t>shall refer to a notice declaring a Default Event which is issued by a Pledgor pursuant to this Agreement.</w:t>
      </w:r>
    </w:p>
    <w:p>
      <w:pPr>
        <w:spacing w:after="0" w:line="191" w:lineRule="exact"/>
        <w:rPr>
          <w:sz w:val="20"/>
          <w:szCs w:val="20"/>
          <w:color w:val="auto"/>
        </w:rPr>
      </w:pPr>
    </w:p>
    <w:p>
      <w:pPr>
        <w:ind w:left="860" w:hanging="860"/>
        <w:spacing w:after="0"/>
        <w:tabs>
          <w:tab w:leader="none" w:pos="860"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Pledge</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Pledgors pledge to the Pledgee as the security of the Pledgee’s rights and benefits under the Individual Agreements all the Equity owned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by the Pledgors and the dividends which arise from the Equity during the effective term of this 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scope guaranteed by the pledge of the Equity hereunder shall be all fees, costs and expenses (including legal costs) payable by Party C</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and/or the Pledgors, and the losses, interest, liquidated damages, compensation, the costs for realizing the claims, and the liability that Party C</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and/or the Pledgors shall bear in case of entire or partial invalidation of any of Individual Agreements for any reason.</w:t>
            </w:r>
          </w:p>
        </w:tc>
      </w:tr>
    </w:tbl>
    <w:p>
      <w:pPr>
        <w:spacing w:after="0" w:line="149" w:lineRule="exact"/>
        <w:rPr>
          <w:sz w:val="20"/>
          <w:szCs w:val="20"/>
          <w:color w:val="auto"/>
        </w:rPr>
      </w:pPr>
    </w:p>
    <w:p>
      <w:pPr>
        <w:jc w:val="both"/>
        <w:ind w:left="860" w:right="40"/>
        <w:spacing w:after="0" w:line="269" w:lineRule="auto"/>
        <w:rPr>
          <w:sz w:val="20"/>
          <w:szCs w:val="20"/>
          <w:color w:val="auto"/>
        </w:rPr>
      </w:pPr>
      <w:r>
        <w:rPr>
          <w:rFonts w:ascii="Arial" w:cs="Arial" w:eastAsia="Arial" w:hAnsi="Arial"/>
          <w:sz w:val="16"/>
          <w:szCs w:val="16"/>
          <w:color w:val="auto"/>
        </w:rPr>
        <w:t>In case the competent industrial and commercial administration expressly requires a definite amount of the guaranteed claims during the handling of the Equity pledge registration process, the parties hereto agree, for the sole purpose of handling the Equity pledge registration, to register as the amount of the claims under the Individual Agreements CNY 5,000,000 and any and all breach-of-contract liability and damages under the related agreements. The parties further acknowledge that for the purpose of handling the Equity pledge registration, the foregoing amount shall not diminish or limit any rights or interest that Party A has under the Individual Agreements and this Equity Pledge Agreement.</w:t>
      </w:r>
    </w:p>
    <w:p>
      <w:pPr>
        <w:spacing w:after="0" w:line="14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The Pledge Rights hereunder shall refer to the rights for the Pledgee to be paid from in priority the money gained from the conversion into</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money, auction or sale of the Equity pledged by the Pledgors to the Pledgee.</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After this Agreement takes effect, unless expressly agreed by the Pledgee in writing, the pledge hereunder may be relieved only after Party C</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and the Pledgors have properly and fully performed all of their obligations under the Individual Agreements and the performance thereof has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been recognized by the Pledgee in writing. In case Party C or any of the Pledgors fails to fully perform any of its obligations under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Individual Agreements upon expiration of the period described thereunder, the Pledgors shall still has the Pledge Rights herein; and the pledge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will be relieved until the foregoing obligations and liability have been fully performed to the Pledgee’s satisfaction.</w:t>
            </w:r>
          </w:p>
        </w:tc>
      </w:tr>
    </w:tbl>
    <w:p>
      <w:pPr>
        <w:spacing w:after="0" w:line="145" w:lineRule="exact"/>
        <w:rPr>
          <w:sz w:val="20"/>
          <w:szCs w:val="20"/>
          <w:color w:val="auto"/>
        </w:rPr>
      </w:pPr>
    </w:p>
    <w:p>
      <w:pPr>
        <w:ind w:left="860" w:hanging="860"/>
        <w:spacing w:after="0"/>
        <w:tabs>
          <w:tab w:leader="none" w:pos="860"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This Agreement shall be formed and take effect as of the date of being signed and/or sealed by the parties hereto. The Pledge Rights hereunder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shall be set up and take effect as of the date when the registration formalities regarding the Equity pledge have been completed at Party C’s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competent industrial and commercial administration.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During the effective term of this Agreement, in case Party C fails to pay the service costs subject to the Exclusive Technical Consultation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Service Agreement or perform any other obligations thereunder, the Pledgee shall have the right to exercise the Pledge Rights hereunder after</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issuing a reasonable notice.</w:t>
            </w:r>
          </w:p>
        </w:tc>
      </w:tr>
    </w:tbl>
    <w:p>
      <w:pPr>
        <w:spacing w:after="0" w:line="145" w:lineRule="exact"/>
        <w:rPr>
          <w:sz w:val="20"/>
          <w:szCs w:val="20"/>
          <w:color w:val="auto"/>
        </w:rPr>
      </w:pPr>
    </w:p>
    <w:p>
      <w:pPr>
        <w:ind w:left="860" w:hanging="860"/>
        <w:spacing w:after="0"/>
        <w:tabs>
          <w:tab w:leader="none" w:pos="860"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and Custody of the Pledge Rights Receipts; Registration of Pledge Rights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The Pledgors shall, within Ten (10) business days after the execution of this Agreement or any other date mutually negotiated and fixed by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Parties hereto, deliver to the Pledgee the Equity Contribution Certificate (Original) for the pledge’s custody, submit to the Pledgee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certification that the pledge hereunder has been properly registered in Party C’s Shareholders’ Register, and handle any and all examinations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and approvals and registration and filing formalities (including but not limited to, handling the Equity pledge registration formalities at Party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C’s competent industrial and commercial administration subject to the laws of China) required by the laws and regulations of China.</w:t>
            </w:r>
          </w:p>
        </w:tc>
      </w:tr>
      <w:tr>
        <w:trPr>
          <w:trHeight w:val="585"/>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4" w:right="299" w:bottom="1440" w:gutter="0" w:footer="0" w:header="0"/>
        </w:sectPr>
      </w:pPr>
    </w:p>
    <w:bookmarkStart w:id="256" w:name="page257"/>
    <w:bookmarkEnd w:id="256"/>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change of particulars and the registration needs to be legally changed accordingly, the Pledgee and the Pledgors shall, within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Five (5) business days as of the date of change of particulars, carry out the change of registration accordingly, submit the applicable change of</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registration documents and handle the applicable change registration formalities at Party C’s competent industrial and commercial</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administration.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During the Equity pledge period, the Pledgors shall instruct Party C not to distribute any dividend or bonus or approve any profit distribution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program; or in case the Pledgors shall obtain any economic interest of any nature from the pledged Equity other than dividend or bonus or any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other profit distribution program, the Pledgors shall remit, as required and instructed by the Pledgee, to the banking account specified by the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Pledgee the applicable (realized) amount, which shall not be used by the Pledgors without the Pledgee’s prior written consent.</w:t>
            </w:r>
          </w:p>
        </w:tc>
      </w:tr>
      <w:tr>
        <w:trPr>
          <w:trHeight w:val="345"/>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During the Equity pledge period, in case the any of the Pledgors subscribe for or purchase any of Party C’s new registered capital or any of</w:t>
            </w:r>
          </w:p>
        </w:tc>
      </w:tr>
      <w:tr>
        <w:trPr>
          <w:trHeight w:val="203"/>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Party C’s Equity held by any other Pledgor (the “</w:t>
            </w:r>
            <w:r>
              <w:rPr>
                <w:rFonts w:ascii="Arial" w:cs="Arial" w:eastAsia="Arial" w:hAnsi="Arial"/>
                <w:sz w:val="17"/>
                <w:szCs w:val="17"/>
                <w:b w:val="1"/>
                <w:bCs w:val="1"/>
                <w:color w:val="auto"/>
                <w:w w:val="95"/>
              </w:rPr>
              <w:t>New Equity</w:t>
            </w:r>
            <w:r>
              <w:rPr>
                <w:rFonts w:ascii="Arial" w:cs="Arial" w:eastAsia="Arial" w:hAnsi="Arial"/>
                <w:sz w:val="17"/>
                <w:szCs w:val="17"/>
                <w:color w:val="auto"/>
                <w:w w:val="95"/>
              </w:rPr>
              <w:t>”), the New Equity will then automatically form part of the pledged Equity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hereunder, and such Pledgor shall complete any and all formalities regarding the pledge of the New Equity within Ten (10) business days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following its acquisition of the New Equity. In case the Pledgor fails to complete the applicable formalities as required in the preceding</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sentence, the Pledgee may promptly have the Pledge Rights realized pursuant to Section 8 below.</w:t>
            </w:r>
          </w:p>
        </w:tc>
      </w:tr>
    </w:tbl>
    <w:p>
      <w:pPr>
        <w:spacing w:after="0" w:line="145" w:lineRule="exact"/>
        <w:rPr>
          <w:sz w:val="20"/>
          <w:szCs w:val="20"/>
          <w:color w:val="auto"/>
        </w:rPr>
      </w:pPr>
    </w:p>
    <w:p>
      <w:pPr>
        <w:ind w:left="860" w:hanging="860"/>
        <w:spacing w:after="0"/>
        <w:tabs>
          <w:tab w:leader="none" w:pos="860"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Pledgors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Upon the execution of this Agreement, the Pledgors make to the Pledgee the following representations and warranties and confirm that this Agreement is signed and performed by the Pledgee by them in reliance of such representations and warranties:</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5.1</w:t>
            </w:r>
          </w:p>
        </w:tc>
        <w:tc>
          <w:tcPr>
            <w:tcW w:w="9840" w:type="dxa"/>
            <w:vAlign w:val="bottom"/>
          </w:tcPr>
          <w:p>
            <w:pPr>
              <w:ind w:left="320"/>
              <w:spacing w:after="0"/>
              <w:rPr>
                <w:sz w:val="20"/>
                <w:szCs w:val="20"/>
                <w:color w:val="auto"/>
              </w:rPr>
            </w:pPr>
            <w:r>
              <w:rPr>
                <w:rFonts w:ascii="Arial" w:cs="Arial" w:eastAsia="Arial" w:hAnsi="Arial"/>
                <w:sz w:val="17"/>
                <w:szCs w:val="17"/>
                <w:color w:val="auto"/>
                <w:w w:val="98"/>
              </w:rPr>
              <w:t>The Pledgors lawfully hold the Equity hereunder and have the right to use such Equity to provide pledge security to the Pledgee.</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After this Agreement is executed, during the period when the Pledgee has the Pledge Rights subject to Section 2.4 above, when the Pledgee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exercises, at any time, its rights or has the Pledge Rights realized pursuant to this Agreement, there shall be no lawful claim or proper</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intervention from or by any third party.</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The Pledgee shall have the right to exercise the Pledge Rights as per the method described herein or otherwise permitted by the laws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regulations.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5.4</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Pledgors have obtained all necessary corporate authorization to sign this Agreement and perform its obligations hereunder, which does not</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violate any provisions of any applicable laws and regulations. The authorized representative signatories of this Agreement have obtained legal</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and effective authorization.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5.5</w:t>
            </w: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There is no encumbrance or security interest of any nature for any third person (including but not limited to pledge) except for the pledge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hereunder in connection with the Equity held by the Pledgors.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5.6</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There are no pending or threatened civil, administrative or criminal proceedings, administrative punishment or arbitration in connection with</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the Equity.</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5.7</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There are no tax or fee due but unpaid, or legal procedures or formalities that should have been completed but have not been completed, in</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connection with the Equity.</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5.8</w:t>
            </w:r>
          </w:p>
        </w:tc>
        <w:tc>
          <w:tcPr>
            <w:tcW w:w="9840" w:type="dxa"/>
            <w:vAlign w:val="bottom"/>
          </w:tcPr>
          <w:p>
            <w:pPr>
              <w:ind w:left="320"/>
              <w:spacing w:after="0"/>
              <w:rPr>
                <w:sz w:val="20"/>
                <w:szCs w:val="20"/>
                <w:color w:val="auto"/>
              </w:rPr>
            </w:pPr>
            <w:r>
              <w:rPr>
                <w:rFonts w:ascii="Arial" w:cs="Arial" w:eastAsia="Arial" w:hAnsi="Arial"/>
                <w:sz w:val="17"/>
                <w:szCs w:val="17"/>
                <w:color w:val="auto"/>
              </w:rPr>
              <w:t>Any and all provisions hereof are the expression of the Pledgors’ true intention and are binding upon the Pledgors.</w:t>
            </w:r>
          </w:p>
        </w:tc>
      </w:tr>
    </w:tbl>
    <w:p>
      <w:pPr>
        <w:spacing w:after="0" w:line="170" w:lineRule="exact"/>
        <w:rPr>
          <w:sz w:val="20"/>
          <w:szCs w:val="20"/>
          <w:color w:val="auto"/>
        </w:rPr>
      </w:pPr>
    </w:p>
    <w:p>
      <w:pPr>
        <w:ind w:left="860" w:hanging="860"/>
        <w:spacing w:after="0"/>
        <w:tabs>
          <w:tab w:leader="none" w:pos="860"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 of the Pledgors</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3"/>
          <w:szCs w:val="13"/>
          <w:color w:val="auto"/>
        </w:rPr>
        <w:t>During the effective term of this Agreement, the Pledgors undertake to the Pledgee that the Pledgors: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257" w:name="page258"/>
    <w:bookmarkEnd w:id="257"/>
    <w:tbl>
      <w:tblPr>
        <w:tblLayout w:type="fixed"/>
        <w:tblInd w:w="860" w:type="dxa"/>
        <w:tblCellMar>
          <w:top w:w="0" w:type="dxa"/>
          <w:left w:w="0" w:type="dxa"/>
          <w:bottom w:w="0" w:type="dxa"/>
          <w:right w:w="0" w:type="dxa"/>
        </w:tblCellMar>
      </w:tblPr>
      <w:tr>
        <w:trPr>
          <w:trHeight w:val="199"/>
        </w:trPr>
        <w:tc>
          <w:tcPr>
            <w:tcW w:w="600" w:type="dxa"/>
            <w:vAlign w:val="bottom"/>
          </w:tcPr>
          <w:p>
            <w:pPr>
              <w:spacing w:after="0"/>
              <w:rPr>
                <w:sz w:val="20"/>
                <w:szCs w:val="20"/>
                <w:color w:val="auto"/>
              </w:rPr>
            </w:pPr>
            <w:r>
              <w:rPr>
                <w:rFonts w:ascii="Arial" w:cs="Arial" w:eastAsia="Arial" w:hAnsi="Arial"/>
                <w:sz w:val="17"/>
                <w:szCs w:val="17"/>
                <w:color w:val="auto"/>
              </w:rPr>
              <w:t>6.1.1</w:t>
            </w:r>
          </w:p>
        </w:tc>
        <w:tc>
          <w:tcPr>
            <w:tcW w:w="9780" w:type="dxa"/>
            <w:vAlign w:val="bottom"/>
          </w:tcPr>
          <w:p>
            <w:pPr>
              <w:ind w:left="260"/>
              <w:spacing w:after="0"/>
              <w:rPr>
                <w:sz w:val="20"/>
                <w:szCs w:val="20"/>
                <w:color w:val="auto"/>
              </w:rPr>
            </w:pPr>
            <w:r>
              <w:rPr>
                <w:rFonts w:ascii="Arial" w:cs="Arial" w:eastAsia="Arial" w:hAnsi="Arial"/>
                <w:sz w:val="17"/>
                <w:szCs w:val="17"/>
                <w:color w:val="auto"/>
                <w:w w:val="90"/>
              </w:rPr>
              <w:t>Except for the transfer of the Equity to the Pledgee or any other person specified by the Pledgee as required by the Pledgee, prior to the full</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91"/>
              </w:rPr>
              <w:t>performance of their obligations thereunder, without the Pledgee’s prior written consent, will not transfer the Equity or create, or permit, any</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89"/>
              </w:rPr>
              <w:t>pledge or any other encumbrance that may affect the Pledgee’s rights or interest or any third-person security interest of any form. Without the</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89"/>
              </w:rPr>
              <w:t>Pledgee’s prior written consent, the Pledgors shall not take any action which will or may result in change to the Equity or any rights incidental</w:t>
            </w:r>
          </w:p>
        </w:tc>
      </w:tr>
      <w:tr>
        <w:trPr>
          <w:trHeight w:val="212"/>
        </w:trPr>
        <w:tc>
          <w:tcPr>
            <w:tcW w:w="60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rPr>
              <w:t>to the Equity, which will or may then result in substantially adverse effects upon the Pledgee’s rights.</w:t>
            </w:r>
          </w:p>
        </w:tc>
      </w:tr>
      <w:tr>
        <w:trPr>
          <w:trHeight w:val="349"/>
        </w:trPr>
        <w:tc>
          <w:tcPr>
            <w:tcW w:w="600" w:type="dxa"/>
            <w:vAlign w:val="bottom"/>
          </w:tcPr>
          <w:p>
            <w:pPr>
              <w:spacing w:after="0"/>
              <w:rPr>
                <w:sz w:val="20"/>
                <w:szCs w:val="20"/>
                <w:color w:val="auto"/>
              </w:rPr>
            </w:pPr>
            <w:r>
              <w:rPr>
                <w:rFonts w:ascii="Arial" w:cs="Arial" w:eastAsia="Arial" w:hAnsi="Arial"/>
                <w:sz w:val="17"/>
                <w:szCs w:val="17"/>
                <w:color w:val="auto"/>
              </w:rPr>
              <w:t>6.1.2</w:t>
            </w:r>
          </w:p>
        </w:tc>
        <w:tc>
          <w:tcPr>
            <w:tcW w:w="9780" w:type="dxa"/>
            <w:vAlign w:val="bottom"/>
          </w:tcPr>
          <w:p>
            <w:pPr>
              <w:ind w:left="260"/>
              <w:spacing w:after="0"/>
              <w:rPr>
                <w:sz w:val="20"/>
                <w:szCs w:val="20"/>
                <w:color w:val="auto"/>
              </w:rPr>
            </w:pPr>
            <w:r>
              <w:rPr>
                <w:rFonts w:ascii="Arial" w:cs="Arial" w:eastAsia="Arial" w:hAnsi="Arial"/>
                <w:sz w:val="17"/>
                <w:szCs w:val="17"/>
                <w:color w:val="auto"/>
                <w:w w:val="89"/>
              </w:rPr>
              <w:t>Comply with and implement the provisions of all applicable laws and regulations, and within Five (5) business days upon receipt of any notice,</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88"/>
              </w:rPr>
              <w:t>order or suggestion issued or prepared by the relevant competent authority in connection with the Pledge Rights, produce to the Pledgee such</w:t>
            </w:r>
          </w:p>
        </w:tc>
      </w:tr>
      <w:tr>
        <w:trPr>
          <w:trHeight w:val="212"/>
        </w:trPr>
        <w:tc>
          <w:tcPr>
            <w:tcW w:w="60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rPr>
              <w:t>notice, order or suggestion and take action as reasonably instructed by the Pledgee.</w:t>
            </w:r>
          </w:p>
        </w:tc>
      </w:tr>
      <w:tr>
        <w:trPr>
          <w:trHeight w:val="349"/>
        </w:trPr>
        <w:tc>
          <w:tcPr>
            <w:tcW w:w="600" w:type="dxa"/>
            <w:vAlign w:val="bottom"/>
          </w:tcPr>
          <w:p>
            <w:pPr>
              <w:spacing w:after="0"/>
              <w:rPr>
                <w:sz w:val="20"/>
                <w:szCs w:val="20"/>
                <w:color w:val="auto"/>
              </w:rPr>
            </w:pPr>
            <w:r>
              <w:rPr>
                <w:rFonts w:ascii="Arial" w:cs="Arial" w:eastAsia="Arial" w:hAnsi="Arial"/>
                <w:sz w:val="17"/>
                <w:szCs w:val="17"/>
                <w:color w:val="auto"/>
              </w:rPr>
              <w:t>6.1.3</w:t>
            </w:r>
          </w:p>
        </w:tc>
        <w:tc>
          <w:tcPr>
            <w:tcW w:w="9780" w:type="dxa"/>
            <w:vAlign w:val="bottom"/>
          </w:tcPr>
          <w:p>
            <w:pPr>
              <w:ind w:left="260"/>
              <w:spacing w:after="0"/>
              <w:rPr>
                <w:sz w:val="20"/>
                <w:szCs w:val="20"/>
                <w:color w:val="auto"/>
              </w:rPr>
            </w:pPr>
            <w:r>
              <w:rPr>
                <w:rFonts w:ascii="Arial" w:cs="Arial" w:eastAsia="Arial" w:hAnsi="Arial"/>
                <w:sz w:val="17"/>
                <w:szCs w:val="17"/>
                <w:color w:val="auto"/>
                <w:w w:val="92"/>
              </w:rPr>
              <w:t>Timely notify the Pledgee any event or notice received that may affect the Pledgors’ Equity or other rights hereunder, any event or notice</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90"/>
              </w:rPr>
              <w:t>received that may affect any of the Pledgors’ obligations hereunder or affect the Pledgors’ performance of any of their obligations hereunder,</w:t>
            </w:r>
          </w:p>
        </w:tc>
      </w:tr>
      <w:tr>
        <w:trPr>
          <w:trHeight w:val="212"/>
        </w:trPr>
        <w:tc>
          <w:tcPr>
            <w:tcW w:w="60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rPr>
              <w:t>and take action as reasonably instructed by the Pledgee.</w:t>
            </w:r>
          </w:p>
        </w:tc>
      </w:tr>
      <w:tr>
        <w:trPr>
          <w:trHeight w:val="349"/>
        </w:trPr>
        <w:tc>
          <w:tcPr>
            <w:tcW w:w="600" w:type="dxa"/>
            <w:vAlign w:val="bottom"/>
          </w:tcPr>
          <w:p>
            <w:pPr>
              <w:spacing w:after="0"/>
              <w:rPr>
                <w:sz w:val="20"/>
                <w:szCs w:val="20"/>
                <w:color w:val="auto"/>
              </w:rPr>
            </w:pPr>
            <w:r>
              <w:rPr>
                <w:rFonts w:ascii="Arial" w:cs="Arial" w:eastAsia="Arial" w:hAnsi="Arial"/>
                <w:sz w:val="17"/>
                <w:szCs w:val="17"/>
                <w:color w:val="auto"/>
              </w:rPr>
              <w:t>6.2</w:t>
            </w:r>
          </w:p>
        </w:tc>
        <w:tc>
          <w:tcPr>
            <w:tcW w:w="9780" w:type="dxa"/>
            <w:vAlign w:val="bottom"/>
          </w:tcPr>
          <w:p>
            <w:pPr>
              <w:ind w:left="260"/>
              <w:spacing w:after="0"/>
              <w:rPr>
                <w:sz w:val="20"/>
                <w:szCs w:val="20"/>
                <w:color w:val="auto"/>
              </w:rPr>
            </w:pPr>
            <w:r>
              <w:rPr>
                <w:rFonts w:ascii="Arial" w:cs="Arial" w:eastAsia="Arial" w:hAnsi="Arial"/>
                <w:sz w:val="17"/>
                <w:szCs w:val="17"/>
                <w:color w:val="auto"/>
                <w:w w:val="89"/>
              </w:rPr>
              <w:t>The Pledgors agree that they will procure that the exercise by the Pledgee of any of its rights pursuant to the provisions of this Agreement will</w:t>
            </w:r>
          </w:p>
        </w:tc>
      </w:tr>
      <w:tr>
        <w:trPr>
          <w:trHeight w:val="212"/>
        </w:trPr>
        <w:tc>
          <w:tcPr>
            <w:tcW w:w="60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rPr>
              <w:t>not be interrupted or prevented by the Pledgors or their successors or assignees or any other persons.</w:t>
            </w:r>
          </w:p>
        </w:tc>
      </w:tr>
      <w:tr>
        <w:trPr>
          <w:trHeight w:val="349"/>
        </w:trPr>
        <w:tc>
          <w:tcPr>
            <w:tcW w:w="600" w:type="dxa"/>
            <w:vAlign w:val="bottom"/>
          </w:tcPr>
          <w:p>
            <w:pPr>
              <w:spacing w:after="0"/>
              <w:rPr>
                <w:sz w:val="20"/>
                <w:szCs w:val="20"/>
                <w:color w:val="auto"/>
              </w:rPr>
            </w:pPr>
            <w:r>
              <w:rPr>
                <w:rFonts w:ascii="Arial" w:cs="Arial" w:eastAsia="Arial" w:hAnsi="Arial"/>
                <w:sz w:val="17"/>
                <w:szCs w:val="17"/>
                <w:color w:val="auto"/>
              </w:rPr>
              <w:t>6.3</w:t>
            </w:r>
          </w:p>
        </w:tc>
        <w:tc>
          <w:tcPr>
            <w:tcW w:w="9780" w:type="dxa"/>
            <w:vAlign w:val="bottom"/>
          </w:tcPr>
          <w:p>
            <w:pPr>
              <w:ind w:left="260"/>
              <w:spacing w:after="0"/>
              <w:rPr>
                <w:sz w:val="20"/>
                <w:szCs w:val="20"/>
                <w:color w:val="auto"/>
              </w:rPr>
            </w:pPr>
            <w:r>
              <w:rPr>
                <w:rFonts w:ascii="Arial" w:cs="Arial" w:eastAsia="Arial" w:hAnsi="Arial"/>
                <w:sz w:val="17"/>
                <w:szCs w:val="17"/>
                <w:color w:val="auto"/>
                <w:w w:val="90"/>
              </w:rPr>
              <w:t>The Pledgors warrant to the Pledgee that for the purpose of protecting or perfecting the security of the Pledgors and/or Party C’s obligations</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94"/>
              </w:rPr>
              <w:t>under the Individual Agreements, the Pledgors will make all necessary amendments to Party C’s Articles of Association (if applicable),</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89"/>
              </w:rPr>
              <w:t>honestly sign, and procure any other persons who has interest in Pledge Rights to sign all title or right certificates and deeds as requested by</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92"/>
              </w:rPr>
              <w:t>the Pledgee, and/or perform, and procure any other persons who has interest therein to perform, the acts as reasonably requested by the</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87"/>
              </w:rPr>
              <w:t>Pledgee, facilitate the exercise by the Pledgee of the Pledge Rights, sign all documents related to the Equity certificate change with the Pledgee</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91"/>
              </w:rPr>
              <w:t>or any third party appointed by the Pledgee, and provide to the Pledgee within a reasonable period all the documents related to the Pledge</w:t>
            </w:r>
          </w:p>
        </w:tc>
      </w:tr>
      <w:tr>
        <w:trPr>
          <w:trHeight w:val="212"/>
        </w:trPr>
        <w:tc>
          <w:tcPr>
            <w:tcW w:w="60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rPr>
              <w:t>Rights as needed by the Pledgee.</w:t>
            </w:r>
          </w:p>
        </w:tc>
      </w:tr>
      <w:tr>
        <w:trPr>
          <w:trHeight w:val="349"/>
        </w:trPr>
        <w:tc>
          <w:tcPr>
            <w:tcW w:w="600" w:type="dxa"/>
            <w:vAlign w:val="bottom"/>
          </w:tcPr>
          <w:p>
            <w:pPr>
              <w:spacing w:after="0"/>
              <w:rPr>
                <w:sz w:val="20"/>
                <w:szCs w:val="20"/>
                <w:color w:val="auto"/>
              </w:rPr>
            </w:pPr>
            <w:r>
              <w:rPr>
                <w:rFonts w:ascii="Arial" w:cs="Arial" w:eastAsia="Arial" w:hAnsi="Arial"/>
                <w:sz w:val="17"/>
                <w:szCs w:val="17"/>
                <w:color w:val="auto"/>
              </w:rPr>
              <w:t>6.4</w:t>
            </w:r>
          </w:p>
        </w:tc>
        <w:tc>
          <w:tcPr>
            <w:tcW w:w="9780" w:type="dxa"/>
            <w:vAlign w:val="bottom"/>
          </w:tcPr>
          <w:p>
            <w:pPr>
              <w:ind w:left="260"/>
              <w:spacing w:after="0"/>
              <w:rPr>
                <w:sz w:val="20"/>
                <w:szCs w:val="20"/>
                <w:color w:val="auto"/>
              </w:rPr>
            </w:pPr>
            <w:r>
              <w:rPr>
                <w:rFonts w:ascii="Arial" w:cs="Arial" w:eastAsia="Arial" w:hAnsi="Arial"/>
                <w:sz w:val="17"/>
                <w:szCs w:val="17"/>
                <w:color w:val="auto"/>
                <w:w w:val="89"/>
              </w:rPr>
              <w:t>The Pledgors warrant to the Pledgee that for the protection of the Pledgee’s interest, the Pledgors will comply with and perform all warranties,</w:t>
            </w:r>
          </w:p>
        </w:tc>
      </w:tr>
      <w:tr>
        <w:trPr>
          <w:trHeight w:val="199"/>
        </w:trPr>
        <w:tc>
          <w:tcPr>
            <w:tcW w:w="600" w:type="dxa"/>
            <w:vAlign w:val="bottom"/>
          </w:tcPr>
          <w:p>
            <w:pPr>
              <w:spacing w:after="0"/>
              <w:rPr>
                <w:sz w:val="17"/>
                <w:szCs w:val="17"/>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89"/>
              </w:rPr>
              <w:t>undertaking, covenants and representations. In case the Pledgors fail to perform, or partially perform, their warranties, undertaking, covenants</w:t>
            </w:r>
          </w:p>
        </w:tc>
      </w:tr>
      <w:tr>
        <w:trPr>
          <w:trHeight w:val="212"/>
        </w:trPr>
        <w:tc>
          <w:tcPr>
            <w:tcW w:w="60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7"/>
                <w:szCs w:val="17"/>
                <w:color w:val="auto"/>
                <w:w w:val="97"/>
              </w:rPr>
              <w:t>or representations, the Pledgors shall indemnify all the loss suffered by the Pledgee arising out thereof or in connection therewith.</w:t>
            </w:r>
          </w:p>
        </w:tc>
      </w:tr>
    </w:tbl>
    <w:p>
      <w:pPr>
        <w:spacing w:after="0" w:line="145" w:lineRule="exact"/>
        <w:rPr>
          <w:sz w:val="20"/>
          <w:szCs w:val="20"/>
          <w:color w:val="auto"/>
        </w:rPr>
      </w:pPr>
    </w:p>
    <w:p>
      <w:pPr>
        <w:ind w:left="860" w:hanging="860"/>
        <w:spacing w:after="0"/>
        <w:tabs>
          <w:tab w:leader="none" w:pos="860"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Default Event</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Any of the following events will be deemed to be a Default Event:</w:t>
      </w:r>
    </w:p>
    <w:p>
      <w:pPr>
        <w:spacing w:after="0" w:line="191" w:lineRule="exact"/>
        <w:rPr>
          <w:sz w:val="20"/>
          <w:szCs w:val="20"/>
          <w:color w:val="auto"/>
        </w:rPr>
      </w:pPr>
    </w:p>
    <w:p>
      <w:pPr>
        <w:jc w:val="both"/>
        <w:ind w:left="2580" w:hanging="858"/>
        <w:spacing w:after="0" w:line="332" w:lineRule="auto"/>
        <w:tabs>
          <w:tab w:leader="none" w:pos="256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5"/>
          <w:szCs w:val="15"/>
          <w:color w:val="auto"/>
        </w:rPr>
        <w:t>Party C or any of its successors or assignees fails to fully pay on schedule any amounts payable under the Individual Agreements, or the Pledgors or their successors or assignees fail to perform any of their obligations under the Individual Agreements.</w:t>
      </w:r>
    </w:p>
    <w:p>
      <w:pPr>
        <w:spacing w:after="0" w:line="83" w:lineRule="exact"/>
        <w:rPr>
          <w:sz w:val="20"/>
          <w:szCs w:val="20"/>
          <w:color w:val="auto"/>
        </w:rPr>
      </w:pPr>
    </w:p>
    <w:p>
      <w:pPr>
        <w:jc w:val="both"/>
        <w:ind w:left="2580" w:hanging="858"/>
        <w:spacing w:after="0" w:line="254" w:lineRule="auto"/>
        <w:tabs>
          <w:tab w:leader="none" w:pos="256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7"/>
          <w:szCs w:val="17"/>
          <w:color w:val="auto"/>
        </w:rPr>
        <w:t>Any representation, warranty or undertaking made by the Pledgors under Section 5 or 6 above is substantially misleading or incorrect, and/or the Pledgors violates any representation, warranty or undertaking made by the Pledgors under Section 5 or 6 above.</w:t>
      </w:r>
    </w:p>
    <w:p>
      <w:pPr>
        <w:spacing w:after="0" w:line="139"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5"/>
          <w:szCs w:val="15"/>
          <w:color w:val="auto"/>
        </w:rPr>
        <w:t>The Pledgors or Party C violates any provision of this Agreement.</w:t>
      </w:r>
    </w:p>
    <w:p>
      <w:pPr>
        <w:spacing w:after="0" w:line="191"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7.1.4</w:t>
      </w:r>
      <w:r>
        <w:rPr>
          <w:sz w:val="20"/>
          <w:szCs w:val="20"/>
          <w:color w:val="auto"/>
        </w:rPr>
        <w:tab/>
      </w:r>
      <w:r>
        <w:rPr>
          <w:rFonts w:ascii="Arial" w:cs="Arial" w:eastAsia="Arial" w:hAnsi="Arial"/>
          <w:sz w:val="17"/>
          <w:szCs w:val="17"/>
          <w:color w:val="auto"/>
        </w:rPr>
        <w:t>Except as otherwise agreed in Section 6.1.1 above, the Pledgors transfer or otherwise dispose the pledged Equity without the Pledgee’s written consent.</w:t>
      </w:r>
    </w:p>
    <w:p>
      <w:pPr>
        <w:spacing w:after="0" w:line="131"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7.1.5</w:t>
      </w:r>
      <w:r>
        <w:rPr>
          <w:sz w:val="20"/>
          <w:szCs w:val="20"/>
          <w:color w:val="auto"/>
        </w:rPr>
        <w:tab/>
      </w:r>
      <w:r>
        <w:rPr>
          <w:rFonts w:ascii="Arial" w:cs="Arial" w:eastAsia="Arial" w:hAnsi="Arial"/>
          <w:sz w:val="17"/>
          <w:szCs w:val="17"/>
          <w:color w:val="auto"/>
        </w:rPr>
        <w:t>Any of the Pledgors’ external borrowings, security, compensation, undertaking or other debt or liability shall be repaid or performed in advance or is due but cannot be repaid or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258" w:name="page259"/>
    <w:bookmarkEnd w:id="258"/>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80" w:type="dxa"/>
            <w:vAlign w:val="bottom"/>
          </w:tcPr>
          <w:p>
            <w:pPr>
              <w:jc w:val="right"/>
              <w:spacing w:after="0"/>
              <w:rPr>
                <w:sz w:val="20"/>
                <w:szCs w:val="20"/>
                <w:color w:val="auto"/>
              </w:rPr>
            </w:pPr>
            <w:r>
              <w:rPr>
                <w:rFonts w:ascii="Arial" w:cs="Arial" w:eastAsia="Arial" w:hAnsi="Arial"/>
                <w:sz w:val="17"/>
                <w:szCs w:val="17"/>
                <w:color w:val="auto"/>
                <w:w w:val="91"/>
              </w:rPr>
              <w:t>performed on schedule, which makes the Pledgee reasonably believe that the Pledgors’ ability to perform any of their obligations</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is affected, which further affect the Pledgee’s interest.</w:t>
            </w:r>
          </w:p>
        </w:tc>
      </w:tr>
      <w:tr>
        <w:trPr>
          <w:trHeight w:val="361"/>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7.1.6</w:t>
            </w:r>
          </w:p>
        </w:tc>
        <w:tc>
          <w:tcPr>
            <w:tcW w:w="8880" w:type="dxa"/>
            <w:vAlign w:val="bottom"/>
          </w:tcPr>
          <w:p>
            <w:pPr>
              <w:ind w:left="220"/>
              <w:spacing w:after="0"/>
              <w:rPr>
                <w:sz w:val="20"/>
                <w:szCs w:val="20"/>
                <w:color w:val="auto"/>
              </w:rPr>
            </w:pPr>
            <w:r>
              <w:rPr>
                <w:rFonts w:ascii="Arial" w:cs="Arial" w:eastAsia="Arial" w:hAnsi="Arial"/>
                <w:sz w:val="17"/>
                <w:szCs w:val="17"/>
                <w:color w:val="auto"/>
              </w:rPr>
              <w:t>The Pledgors cannot perform any of their general debt or other debt, which further affects the Pledgee’s interest.</w:t>
            </w:r>
          </w:p>
        </w:tc>
      </w:tr>
      <w:tr>
        <w:trPr>
          <w:trHeight w:val="374"/>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7.1.7</w:t>
            </w:r>
          </w:p>
        </w:tc>
        <w:tc>
          <w:tcPr>
            <w:tcW w:w="8880" w:type="dxa"/>
            <w:vAlign w:val="bottom"/>
          </w:tcPr>
          <w:p>
            <w:pPr>
              <w:jc w:val="right"/>
              <w:spacing w:after="0"/>
              <w:rPr>
                <w:sz w:val="20"/>
                <w:szCs w:val="20"/>
                <w:color w:val="auto"/>
              </w:rPr>
            </w:pPr>
            <w:r>
              <w:rPr>
                <w:rFonts w:ascii="Arial" w:cs="Arial" w:eastAsia="Arial" w:hAnsi="Arial"/>
                <w:sz w:val="17"/>
                <w:szCs w:val="17"/>
                <w:color w:val="auto"/>
                <w:w w:val="93"/>
              </w:rPr>
              <w:t>The promulgation of any law results in invalidation of this Agreement or inability of the Pledgors to continuously perform any of</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their obligations hereunder.</w:t>
            </w:r>
          </w:p>
        </w:tc>
      </w:tr>
      <w:tr>
        <w:trPr>
          <w:trHeight w:val="349"/>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7.1.8</w:t>
            </w:r>
          </w:p>
        </w:tc>
        <w:tc>
          <w:tcPr>
            <w:tcW w:w="8880" w:type="dxa"/>
            <w:vAlign w:val="bottom"/>
          </w:tcPr>
          <w:p>
            <w:pPr>
              <w:jc w:val="right"/>
              <w:spacing w:after="0"/>
              <w:rPr>
                <w:sz w:val="20"/>
                <w:szCs w:val="20"/>
                <w:color w:val="auto"/>
              </w:rPr>
            </w:pPr>
            <w:r>
              <w:rPr>
                <w:rFonts w:ascii="Arial" w:cs="Arial" w:eastAsia="Arial" w:hAnsi="Arial"/>
                <w:sz w:val="17"/>
                <w:szCs w:val="17"/>
                <w:color w:val="auto"/>
                <w:w w:val="94"/>
              </w:rPr>
              <w:t>The consent, permit, approval or authorization of any governmental department necessary to legalize, validate or enforce this</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Agreement is withdrawn, suspended, invalidated or substantially amended.</w:t>
            </w:r>
          </w:p>
        </w:tc>
      </w:tr>
      <w:tr>
        <w:trPr>
          <w:trHeight w:val="349"/>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7.1.9</w:t>
            </w:r>
          </w:p>
        </w:tc>
        <w:tc>
          <w:tcPr>
            <w:tcW w:w="8880" w:type="dxa"/>
            <w:vAlign w:val="bottom"/>
          </w:tcPr>
          <w:p>
            <w:pPr>
              <w:jc w:val="right"/>
              <w:spacing w:after="0"/>
              <w:rPr>
                <w:sz w:val="20"/>
                <w:szCs w:val="20"/>
                <w:color w:val="auto"/>
              </w:rPr>
            </w:pPr>
            <w:r>
              <w:rPr>
                <w:rFonts w:ascii="Arial" w:cs="Arial" w:eastAsia="Arial" w:hAnsi="Arial"/>
                <w:sz w:val="17"/>
                <w:szCs w:val="17"/>
                <w:color w:val="auto"/>
                <w:w w:val="89"/>
              </w:rPr>
              <w:t>There occurs any adverse change to any of the assets owned by the Pledgors, which makes the Pledgee believe that the Pledgors’</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ability to perform any of their obligations is affected.</w:t>
            </w:r>
          </w:p>
        </w:tc>
      </w:tr>
      <w:tr>
        <w:trPr>
          <w:trHeight w:val="361"/>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7.1.10</w:t>
            </w:r>
          </w:p>
        </w:tc>
        <w:tc>
          <w:tcPr>
            <w:tcW w:w="8880" w:type="dxa"/>
            <w:vAlign w:val="bottom"/>
          </w:tcPr>
          <w:p>
            <w:pPr>
              <w:ind w:left="220"/>
              <w:spacing w:after="0"/>
              <w:rPr>
                <w:sz w:val="20"/>
                <w:szCs w:val="20"/>
                <w:color w:val="auto"/>
              </w:rPr>
            </w:pPr>
            <w:r>
              <w:rPr>
                <w:rFonts w:ascii="Arial" w:cs="Arial" w:eastAsia="Arial" w:hAnsi="Arial"/>
                <w:sz w:val="17"/>
                <w:szCs w:val="17"/>
                <w:color w:val="auto"/>
                <w:w w:val="96"/>
              </w:rPr>
              <w:t>Any other event that the Pledgee cannot exercise or otherwise dispose of the Pledge Rights under the applicable laws.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7.2</w:t>
            </w:r>
          </w:p>
        </w:tc>
        <w:tc>
          <w:tcPr>
            <w:tcW w:w="9840" w:type="dxa"/>
            <w:vAlign w:val="bottom"/>
            <w:gridSpan w:val="2"/>
          </w:tcPr>
          <w:p>
            <w:pPr>
              <w:jc w:val="right"/>
              <w:spacing w:after="0"/>
              <w:rPr>
                <w:sz w:val="20"/>
                <w:szCs w:val="20"/>
                <w:color w:val="auto"/>
              </w:rPr>
            </w:pPr>
            <w:r>
              <w:rPr>
                <w:rFonts w:ascii="Arial" w:cs="Arial" w:eastAsia="Arial" w:hAnsi="Arial"/>
                <w:sz w:val="17"/>
                <w:szCs w:val="17"/>
                <w:color w:val="auto"/>
                <w:w w:val="91"/>
              </w:rPr>
              <w:t>The Pledgors and/or Party C shall immediately notify the Pledgee in writing any of the events described in Section 7.1 above or the occurrence</w:t>
            </w:r>
          </w:p>
        </w:tc>
      </w:tr>
      <w:tr>
        <w:trPr>
          <w:trHeight w:val="212"/>
        </w:trPr>
        <w:tc>
          <w:tcPr>
            <w:tcW w:w="54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rPr>
              <w:t>or potential occurrence thereof the Pledgors and/or Party C becomes aware of or discovers.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7.3</w:t>
            </w:r>
          </w:p>
        </w:tc>
        <w:tc>
          <w:tcPr>
            <w:tcW w:w="9840" w:type="dxa"/>
            <w:vAlign w:val="bottom"/>
            <w:gridSpan w:val="2"/>
          </w:tcPr>
          <w:p>
            <w:pPr>
              <w:jc w:val="right"/>
              <w:spacing w:after="0"/>
              <w:rPr>
                <w:sz w:val="20"/>
                <w:szCs w:val="20"/>
                <w:color w:val="auto"/>
              </w:rPr>
            </w:pPr>
            <w:r>
              <w:rPr>
                <w:rFonts w:ascii="Arial" w:cs="Arial" w:eastAsia="Arial" w:hAnsi="Arial"/>
                <w:sz w:val="17"/>
                <w:szCs w:val="17"/>
                <w:color w:val="auto"/>
                <w:w w:val="95"/>
              </w:rPr>
              <w:t>Unless the default events listed in Section 7.1 above have been perfectly settled to the Pledgee’s satisfaction, the Pledgee may, upon the</w:t>
            </w:r>
          </w:p>
        </w:tc>
      </w:tr>
      <w:tr>
        <w:trPr>
          <w:trHeight w:val="199"/>
        </w:trPr>
        <w:tc>
          <w:tcPr>
            <w:tcW w:w="540" w:type="dxa"/>
            <w:vAlign w:val="bottom"/>
          </w:tcPr>
          <w:p>
            <w:pPr>
              <w:spacing w:after="0"/>
              <w:rPr>
                <w:sz w:val="17"/>
                <w:szCs w:val="17"/>
                <w:color w:val="auto"/>
              </w:rPr>
            </w:pPr>
          </w:p>
        </w:tc>
        <w:tc>
          <w:tcPr>
            <w:tcW w:w="9840" w:type="dxa"/>
            <w:vAlign w:val="bottom"/>
            <w:gridSpan w:val="2"/>
          </w:tcPr>
          <w:p>
            <w:pPr>
              <w:jc w:val="right"/>
              <w:spacing w:after="0"/>
              <w:rPr>
                <w:sz w:val="20"/>
                <w:szCs w:val="20"/>
                <w:color w:val="auto"/>
              </w:rPr>
            </w:pPr>
            <w:r>
              <w:rPr>
                <w:rFonts w:ascii="Arial" w:cs="Arial" w:eastAsia="Arial" w:hAnsi="Arial"/>
                <w:sz w:val="17"/>
                <w:szCs w:val="17"/>
                <w:color w:val="auto"/>
                <w:w w:val="92"/>
              </w:rPr>
              <w:t>occurrence of such default event or at any time following the occurrence thereof, issue a written default notice to the Pledgors and/or Party C,</w:t>
            </w:r>
          </w:p>
        </w:tc>
      </w:tr>
      <w:tr>
        <w:trPr>
          <w:trHeight w:val="199"/>
        </w:trPr>
        <w:tc>
          <w:tcPr>
            <w:tcW w:w="540" w:type="dxa"/>
            <w:vAlign w:val="bottom"/>
          </w:tcPr>
          <w:p>
            <w:pPr>
              <w:spacing w:after="0"/>
              <w:rPr>
                <w:sz w:val="17"/>
                <w:szCs w:val="17"/>
                <w:color w:val="auto"/>
              </w:rPr>
            </w:pPr>
          </w:p>
        </w:tc>
        <w:tc>
          <w:tcPr>
            <w:tcW w:w="9840" w:type="dxa"/>
            <w:vAlign w:val="bottom"/>
            <w:gridSpan w:val="2"/>
          </w:tcPr>
          <w:p>
            <w:pPr>
              <w:jc w:val="right"/>
              <w:spacing w:after="0"/>
              <w:rPr>
                <w:sz w:val="20"/>
                <w:szCs w:val="20"/>
                <w:color w:val="auto"/>
              </w:rPr>
            </w:pPr>
            <w:r>
              <w:rPr>
                <w:rFonts w:ascii="Arial" w:cs="Arial" w:eastAsia="Arial" w:hAnsi="Arial"/>
                <w:sz w:val="17"/>
                <w:szCs w:val="17"/>
                <w:color w:val="auto"/>
                <w:w w:val="91"/>
              </w:rPr>
              <w:t>requesting the Pledgors and/or Party C to immediately pay the money owned or other payables under the Exclusive Technical Consultation and</w:t>
            </w:r>
          </w:p>
        </w:tc>
      </w:tr>
      <w:tr>
        <w:trPr>
          <w:trHeight w:val="199"/>
        </w:trPr>
        <w:tc>
          <w:tcPr>
            <w:tcW w:w="540" w:type="dxa"/>
            <w:vAlign w:val="bottom"/>
          </w:tcPr>
          <w:p>
            <w:pPr>
              <w:spacing w:after="0"/>
              <w:rPr>
                <w:sz w:val="17"/>
                <w:szCs w:val="17"/>
                <w:color w:val="auto"/>
              </w:rPr>
            </w:pPr>
          </w:p>
        </w:tc>
        <w:tc>
          <w:tcPr>
            <w:tcW w:w="9840" w:type="dxa"/>
            <w:vAlign w:val="bottom"/>
            <w:gridSpan w:val="2"/>
          </w:tcPr>
          <w:p>
            <w:pPr>
              <w:jc w:val="right"/>
              <w:spacing w:after="0"/>
              <w:rPr>
                <w:sz w:val="20"/>
                <w:szCs w:val="20"/>
                <w:color w:val="auto"/>
              </w:rPr>
            </w:pPr>
            <w:r>
              <w:rPr>
                <w:rFonts w:ascii="Arial" w:cs="Arial" w:eastAsia="Arial" w:hAnsi="Arial"/>
                <w:sz w:val="17"/>
                <w:szCs w:val="17"/>
                <w:color w:val="auto"/>
                <w:w w:val="97"/>
              </w:rPr>
              <w:t>Service Agreement or to timely perform the obligations under the Individual Agreements. In case the Pledgors or Party C fails to timely</w:t>
            </w:r>
          </w:p>
        </w:tc>
      </w:tr>
      <w:tr>
        <w:trPr>
          <w:trHeight w:val="199"/>
        </w:trPr>
        <w:tc>
          <w:tcPr>
            <w:tcW w:w="540" w:type="dxa"/>
            <w:vAlign w:val="bottom"/>
          </w:tcPr>
          <w:p>
            <w:pPr>
              <w:spacing w:after="0"/>
              <w:rPr>
                <w:sz w:val="17"/>
                <w:szCs w:val="17"/>
                <w:color w:val="auto"/>
              </w:rPr>
            </w:pPr>
          </w:p>
        </w:tc>
        <w:tc>
          <w:tcPr>
            <w:tcW w:w="9840" w:type="dxa"/>
            <w:vAlign w:val="bottom"/>
            <w:gridSpan w:val="2"/>
          </w:tcPr>
          <w:p>
            <w:pPr>
              <w:jc w:val="right"/>
              <w:spacing w:after="0"/>
              <w:rPr>
                <w:sz w:val="20"/>
                <w:szCs w:val="20"/>
                <w:color w:val="auto"/>
              </w:rPr>
            </w:pPr>
            <w:r>
              <w:rPr>
                <w:rFonts w:ascii="Arial" w:cs="Arial" w:eastAsia="Arial" w:hAnsi="Arial"/>
                <w:sz w:val="17"/>
                <w:szCs w:val="17"/>
                <w:color w:val="auto"/>
                <w:w w:val="91"/>
              </w:rPr>
              <w:t>correct their defaults, or take necessary remedies, within Ten (10) business days following the issuance of such written notice, the Pledgee may</w:t>
            </w:r>
          </w:p>
        </w:tc>
      </w:tr>
      <w:tr>
        <w:trPr>
          <w:trHeight w:val="212"/>
        </w:trPr>
        <w:tc>
          <w:tcPr>
            <w:tcW w:w="54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rPr>
              <w:t>exercise the Pledge Rights pursuant to Section 8 below.</w:t>
            </w:r>
          </w:p>
        </w:tc>
      </w:tr>
    </w:tbl>
    <w:p>
      <w:pPr>
        <w:spacing w:after="0" w:line="145" w:lineRule="exact"/>
        <w:rPr>
          <w:sz w:val="20"/>
          <w:szCs w:val="20"/>
          <w:color w:val="auto"/>
        </w:rPr>
      </w:pPr>
    </w:p>
    <w:p>
      <w:pPr>
        <w:ind w:left="860" w:hanging="860"/>
        <w:spacing w:after="0"/>
        <w:tabs>
          <w:tab w:leader="none" w:pos="860"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Pledge Rights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The Pledgee shall issue a default notice to the Pledgors as described in Section 7.3 above upon its exercise of the Pledge Rights.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Subject to Section 7.3 above, the Pledgee may exercise the Pledge Rights at any time following its issuance of the default notice as described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in Section 7.3.</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Pledgee shall have the right to convert into money and sell all or part of the Equity hereunder subject to the statutory procedures, or to be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paid in priority from the money gained from auction or sale of such Equity, until full offset of the service costs and other payables unpaid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under the Individual Agreements and full performance of other obligations under the Individual Agreements.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When the Pledgee exercises the Pledge Rights pursuant to this Agreement, the Pledgors and/or Party C shall not create any barrier or hindrance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but shall offer necessary assistance, so as to facilitate the Pledgee’s realization of its Pledge Rights.</w:t>
            </w:r>
          </w:p>
        </w:tc>
      </w:tr>
    </w:tbl>
    <w:p>
      <w:pPr>
        <w:spacing w:after="0" w:line="145" w:lineRule="exact"/>
        <w:rPr>
          <w:sz w:val="20"/>
          <w:szCs w:val="20"/>
          <w:color w:val="auto"/>
        </w:rPr>
      </w:pPr>
    </w:p>
    <w:p>
      <w:pPr>
        <w:ind w:left="860" w:hanging="860"/>
        <w:spacing w:after="0"/>
        <w:tabs>
          <w:tab w:leader="none" w:pos="860"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t>Transfer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9.1</w:t>
            </w: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The Pledgors shall not transfer to any third party any of their rights or obligations hereunder without the Pledgee’s prior written and explicit</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consent.</w:t>
            </w:r>
          </w:p>
        </w:tc>
      </w:tr>
      <w:tr>
        <w:trPr>
          <w:trHeight w:val="36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9.2</w:t>
            </w:r>
          </w:p>
        </w:tc>
        <w:tc>
          <w:tcPr>
            <w:tcW w:w="9880" w:type="dxa"/>
            <w:vAlign w:val="bottom"/>
          </w:tcPr>
          <w:p>
            <w:pPr>
              <w:ind w:left="320"/>
              <w:spacing w:after="0"/>
              <w:rPr>
                <w:sz w:val="20"/>
                <w:szCs w:val="20"/>
                <w:color w:val="auto"/>
              </w:rPr>
            </w:pPr>
            <w:r>
              <w:rPr>
                <w:rFonts w:ascii="Arial" w:cs="Arial" w:eastAsia="Arial" w:hAnsi="Arial"/>
                <w:sz w:val="17"/>
                <w:szCs w:val="17"/>
                <w:color w:val="auto"/>
              </w:rPr>
              <w:t>This Agreement shall be binding upon the Pledgors and their successors and the Pledgee and its successors or assignees.</w:t>
            </w:r>
          </w:p>
        </w:tc>
      </w:tr>
      <w:tr>
        <w:trPr>
          <w:trHeight w:val="623"/>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5</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259" w:name="page260"/>
    <w:bookmarkEnd w:id="259"/>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9.3</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The Pledgee may at any time transfer any or all of its rights or obligations under the Individual Agreements to any third party it specified,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under which circumstance, the assignee shall accordingly have and bear the rights and obligations which the Pledgee have and bear hereunder.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Upon the transfer by the Pledgee of the rights or obligations hereunder, the Pledgors shall, as requested by the Pledgee, sign the corresponding</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agreements and/or documents regarding the transfer thereof.</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In case there is a change of the Pledgee due to the transfer of the rights or obligations as described in Section 9.3 above, the substitute Pledgee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and the Pledgors shall re-sign the pledge agreement and the Pledgors shall be responsible for handling all applicable registration formalities.</w:t>
            </w:r>
          </w:p>
        </w:tc>
      </w:tr>
    </w:tbl>
    <w:p>
      <w:pPr>
        <w:spacing w:after="0" w:line="145" w:lineRule="exact"/>
        <w:rPr>
          <w:sz w:val="20"/>
          <w:szCs w:val="20"/>
          <w:color w:val="auto"/>
        </w:rPr>
      </w:pPr>
    </w:p>
    <w:p>
      <w:pPr>
        <w:ind w:left="860" w:hanging="860"/>
        <w:spacing w:after="0"/>
        <w:tabs>
          <w:tab w:leader="none" w:pos="860"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Charges and Other Costs</w:t>
      </w:r>
    </w:p>
    <w:p>
      <w:pPr>
        <w:spacing w:after="0" w:line="169" w:lineRule="exact"/>
        <w:rPr>
          <w:rFonts w:ascii="Arial" w:cs="Arial" w:eastAsia="Arial" w:hAnsi="Arial"/>
          <w:sz w:val="17"/>
          <w:szCs w:val="17"/>
          <w:b w:val="1"/>
          <w:bCs w:val="1"/>
          <w:color w:val="auto"/>
        </w:rPr>
      </w:pPr>
    </w:p>
    <w:p>
      <w:pPr>
        <w:ind w:left="8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All costs and actual expenses related to this Agreement, including but not limited to the legal costs, print costs, stamp duty and any other tax and charges, shall be equally borne by the Pledgee and Party C.</w:t>
      </w:r>
    </w:p>
    <w:p>
      <w:pPr>
        <w:spacing w:after="0" w:line="138" w:lineRule="exact"/>
        <w:rPr>
          <w:rFonts w:ascii="Arial" w:cs="Arial" w:eastAsia="Arial" w:hAnsi="Arial"/>
          <w:sz w:val="17"/>
          <w:szCs w:val="17"/>
          <w:b w:val="1"/>
          <w:bCs w:val="1"/>
          <w:color w:val="auto"/>
        </w:rPr>
      </w:pPr>
    </w:p>
    <w:p>
      <w:pPr>
        <w:ind w:left="860" w:hanging="860"/>
        <w:spacing w:after="0"/>
        <w:tabs>
          <w:tab w:leader="none" w:pos="860"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165" w:lineRule="exact"/>
        <w:rPr>
          <w:rFonts w:ascii="Arial" w:cs="Arial" w:eastAsia="Arial" w:hAnsi="Arial"/>
          <w:sz w:val="17"/>
          <w:szCs w:val="17"/>
          <w:b w:val="1"/>
          <w:bCs w:val="1"/>
          <w:color w:val="auto"/>
        </w:rPr>
      </w:pPr>
    </w:p>
    <w:p>
      <w:pPr>
        <w:ind w:left="1720" w:hanging="86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11.1</w:t>
      </w:r>
      <w:r>
        <w:rPr>
          <w:rFonts w:ascii="Arial" w:cs="Arial" w:eastAsia="Arial" w:hAnsi="Arial"/>
          <w:sz w:val="16"/>
          <w:szCs w:val="16"/>
          <w:color w:val="auto"/>
        </w:rPr>
        <w:t>“</w:t>
      </w:r>
      <w:r>
        <w:rPr>
          <w:rFonts w:ascii="Arial" w:cs="Arial" w:eastAsia="Arial" w:hAnsi="Arial"/>
          <w:sz w:val="16"/>
          <w:szCs w:val="16"/>
          <w:b w:val="1"/>
          <w:bCs w:val="1"/>
          <w:color w:val="auto"/>
        </w:rPr>
        <w:t>Force Majeure Events</w:t>
      </w:r>
      <w:r>
        <w:rPr>
          <w:rFonts w:ascii="Arial" w:cs="Arial" w:eastAsia="Arial" w:hAnsi="Arial"/>
          <w:sz w:val="16"/>
          <w:szCs w:val="16"/>
          <w:color w:val="auto"/>
        </w:rPr>
        <w:t>” mean any events beyond the reasonable control of one Party that are unavoidable by the affected Party with reasonable care, including but not limited to any acts of government, natural force, fire, explosion, storm, flood, earthquake, tide, lightning or war, provided that any credit, capital or financing shortage shall not be deemed to be the event beyond the reasonable control of one Party. The Party affected by any Force Majeure Events (hereinafter referred to as “</w:t>
      </w:r>
      <w:r>
        <w:rPr>
          <w:rFonts w:ascii="Arial" w:cs="Arial" w:eastAsia="Arial" w:hAnsi="Arial"/>
          <w:sz w:val="16"/>
          <w:szCs w:val="16"/>
          <w:b w:val="1"/>
          <w:bCs w:val="1"/>
          <w:color w:val="auto"/>
        </w:rPr>
        <w:t>Affected Party</w:t>
      </w:r>
      <w:r>
        <w:rPr>
          <w:rFonts w:ascii="Arial" w:cs="Arial" w:eastAsia="Arial" w:hAnsi="Arial"/>
          <w:sz w:val="16"/>
          <w:szCs w:val="16"/>
          <w:color w:val="auto"/>
        </w:rPr>
        <w:t>”) shall be exempted from its responsibility in whole or in part according to the effects of such Force Majeure Events on this Agreement, and the Affected Party who seeks exemption from its responsibility for the performance of this Agreement due to such Force Majeure Events shall notify the other Party of such Force Majeure Events not later than Ten (10) days after occurrence of such Force Majeure Events so that the Parties hereto negotiate about the amendment to this Agreement according to the effects of such Force Majeure Events and exempt in whole or in part the Affected Party from its obligations under this Agreement.</w:t>
      </w:r>
    </w:p>
    <w:p>
      <w:pPr>
        <w:spacing w:after="0" w:line="131"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11.2</w:t>
            </w: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performance of its obligations delayed or hindered by such Force Majeure Events. Once such Force Majeure Events are eliminated, the Parties</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98"/>
              </w:rPr>
              <w:t>hereto agree that they shall use their best efforts to restore the performance of their rights and obligations under this Agreement.</w:t>
            </w:r>
          </w:p>
        </w:tc>
      </w:tr>
    </w:tbl>
    <w:p>
      <w:pPr>
        <w:spacing w:after="0" w:line="145" w:lineRule="exact"/>
        <w:rPr>
          <w:sz w:val="20"/>
          <w:szCs w:val="20"/>
          <w:color w:val="auto"/>
        </w:rPr>
      </w:pPr>
    </w:p>
    <w:p>
      <w:pPr>
        <w:ind w:left="860" w:hanging="860"/>
        <w:spacing w:after="0"/>
        <w:tabs>
          <w:tab w:leader="none" w:pos="860"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Settlement</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12.1</w:t>
            </w:r>
          </w:p>
        </w:tc>
        <w:tc>
          <w:tcPr>
            <w:tcW w:w="9800" w:type="dxa"/>
            <w:vAlign w:val="bottom"/>
          </w:tcPr>
          <w:p>
            <w:pPr>
              <w:ind w:left="28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tc>
      </w:tr>
      <w:tr>
        <w:trPr>
          <w:trHeight w:val="374"/>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12.2</w:t>
            </w: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89"/>
              </w:rPr>
              <w:t>resolve such disputes through consultation in good faith. If such disputes cannot be resolved through consultation, any Party may submit such</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Section shall be affected by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any termination or cancellation of this Agreement.</w:t>
            </w:r>
          </w:p>
        </w:tc>
      </w:tr>
      <w:tr>
        <w:trPr>
          <w:trHeight w:val="34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12.3</w:t>
            </w:r>
          </w:p>
        </w:tc>
        <w:tc>
          <w:tcPr>
            <w:tcW w:w="9800" w:type="dxa"/>
            <w:vAlign w:val="bottom"/>
          </w:tcPr>
          <w:p>
            <w:pPr>
              <w:ind w:left="28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45" w:lineRule="exact"/>
        <w:rPr>
          <w:sz w:val="20"/>
          <w:szCs w:val="20"/>
          <w:color w:val="auto"/>
        </w:rPr>
      </w:pPr>
    </w:p>
    <w:p>
      <w:pPr>
        <w:ind w:left="860" w:hanging="860"/>
        <w:spacing w:after="0"/>
        <w:tabs>
          <w:tab w:leader="none" w:pos="860" w:val="left"/>
        </w:tabs>
        <w:numPr>
          <w:ilvl w:val="0"/>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69" w:lineRule="exact"/>
        <w:rPr>
          <w:rFonts w:ascii="Arial" w:cs="Arial" w:eastAsia="Arial" w:hAnsi="Arial"/>
          <w:sz w:val="17"/>
          <w:szCs w:val="17"/>
          <w:b w:val="1"/>
          <w:bCs w:val="1"/>
          <w:color w:val="auto"/>
        </w:rPr>
      </w:pPr>
    </w:p>
    <w:p>
      <w:pPr>
        <w:jc w:val="both"/>
        <w:ind w:left="8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260" w:name="page261"/>
    <w:bookmarkEnd w:id="260"/>
    <w:p>
      <w:pPr>
        <w:ind w:left="860"/>
        <w:spacing w:after="0"/>
        <w:rPr>
          <w:sz w:val="20"/>
          <w:szCs w:val="20"/>
          <w:color w:val="auto"/>
        </w:rPr>
      </w:pPr>
      <w:r>
        <w:rPr>
          <w:rFonts w:ascii="Arial" w:cs="Arial" w:eastAsia="Arial" w:hAnsi="Arial"/>
          <w:sz w:val="17"/>
          <w:szCs w:val="17"/>
          <w:color w:val="auto"/>
        </w:rPr>
        <w:t>Party A,</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Address: Building 6, No. 36 Yard, Laiguangying Chuangyuan Road, Chaoyang District, Beijing</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Tel.: [•]</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Attn.:LIU Tongbo</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Party B and Party C:</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Address: [•]</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Tel.: [•]</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Attn.: [•]</w:t>
      </w:r>
    </w:p>
    <w:p>
      <w:pPr>
        <w:spacing w:after="0" w:line="162" w:lineRule="exact"/>
        <w:rPr>
          <w:sz w:val="20"/>
          <w:szCs w:val="20"/>
          <w:color w:val="auto"/>
        </w:rPr>
      </w:pPr>
    </w:p>
    <w:p>
      <w:pPr>
        <w:ind w:left="860" w:hanging="860"/>
        <w:spacing w:after="0"/>
        <w:tabs>
          <w:tab w:leader="none" w:pos="860"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Annex</w:t>
      </w:r>
    </w:p>
    <w:p>
      <w:pPr>
        <w:spacing w:after="0" w:line="16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The annexes hereto shall form part of this Agreement.</w:t>
      </w:r>
    </w:p>
    <w:p>
      <w:pPr>
        <w:spacing w:after="0" w:line="161" w:lineRule="exact"/>
        <w:rPr>
          <w:rFonts w:ascii="Arial" w:cs="Arial" w:eastAsia="Arial" w:hAnsi="Arial"/>
          <w:sz w:val="17"/>
          <w:szCs w:val="17"/>
          <w:b w:val="1"/>
          <w:bCs w:val="1"/>
          <w:color w:val="auto"/>
        </w:rPr>
      </w:pPr>
    </w:p>
    <w:p>
      <w:pPr>
        <w:ind w:left="860" w:hanging="860"/>
        <w:spacing w:after="0"/>
        <w:tabs>
          <w:tab w:leader="none" w:pos="860"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169" w:lineRule="exact"/>
        <w:rPr>
          <w:rFonts w:ascii="Arial" w:cs="Arial" w:eastAsia="Arial" w:hAnsi="Arial"/>
          <w:sz w:val="17"/>
          <w:szCs w:val="17"/>
          <w:b w:val="1"/>
          <w:bCs w:val="1"/>
          <w:color w:val="auto"/>
        </w:rPr>
      </w:pPr>
    </w:p>
    <w:p>
      <w:pPr>
        <w:jc w:val="both"/>
        <w:ind w:left="8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Pledgee’s failure to exercise or delayed exercise of any rights, remedies, powers or privileges hereunder shall not be deemed to be waiver of such rights, remedies, powers or privileges. The Pledgee’s single or partial exercise of any rights, remedies, powers or privileges shall not exclude its exercise of any other rights, remedies, powers or privileges.</w:t>
      </w:r>
    </w:p>
    <w:p>
      <w:pPr>
        <w:spacing w:after="0" w:line="151"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5"/>
          <w:szCs w:val="15"/>
          <w:color w:val="auto"/>
        </w:rPr>
        <w:t>The rights, remedies, powers and privileges hereunder are cumulative and in addition to any other rights, remedies, powers and privileges under any law.</w:t>
      </w:r>
    </w:p>
    <w:p>
      <w:pPr>
        <w:spacing w:after="0" w:line="184" w:lineRule="exact"/>
        <w:rPr>
          <w:rFonts w:ascii="Arial" w:cs="Arial" w:eastAsia="Arial" w:hAnsi="Arial"/>
          <w:sz w:val="17"/>
          <w:szCs w:val="17"/>
          <w:b w:val="1"/>
          <w:bCs w:val="1"/>
          <w:color w:val="auto"/>
        </w:rPr>
      </w:pPr>
    </w:p>
    <w:p>
      <w:pPr>
        <w:ind w:left="860" w:hanging="860"/>
        <w:spacing w:after="0"/>
        <w:tabs>
          <w:tab w:leader="none" w:pos="860"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69" w:lineRule="exact"/>
        <w:rPr>
          <w:rFonts w:ascii="Arial" w:cs="Arial" w:eastAsia="Arial" w:hAnsi="Arial"/>
          <w:sz w:val="17"/>
          <w:szCs w:val="17"/>
          <w:b w:val="1"/>
          <w:bCs w:val="1"/>
          <w:color w:val="auto"/>
        </w:rPr>
      </w:pPr>
    </w:p>
    <w:p>
      <w:pPr>
        <w:ind w:left="1720" w:hanging="8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16.1Any modification or supplementation of or amendment to this Agreement shall be in writing and be effective only after being sealed and signed by the Parties hereto.</w:t>
      </w:r>
    </w:p>
    <w:p>
      <w:pPr>
        <w:spacing w:after="0" w:line="130" w:lineRule="exact"/>
        <w:rPr>
          <w:rFonts w:ascii="Arial" w:cs="Arial" w:eastAsia="Arial" w:hAnsi="Arial"/>
          <w:sz w:val="17"/>
          <w:szCs w:val="17"/>
          <w:b w:val="1"/>
          <w:bCs w:val="1"/>
          <w:color w:val="auto"/>
        </w:rPr>
      </w:pPr>
    </w:p>
    <w:p>
      <w:pPr>
        <w:ind w:left="1720" w:hanging="8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16.2The Parties hereby acknowledge that this Agreement shall be a fair and reasonable agreement reached by the Parties hereto on the basis of equality and mutual benefit. In case any provision hereof becomes invalid or cannot be enforced due to conflict with any applicable law, such provision shall be invalid or unenforceable to the sole extent of the jurisdiction of such applicable law and shall in no way influence the legal force of the remaining provisions of this Agreement.</w:t>
      </w:r>
    </w:p>
    <w:p>
      <w:pPr>
        <w:spacing w:after="0" w:line="141" w:lineRule="exact"/>
        <w:rPr>
          <w:sz w:val="20"/>
          <w:szCs w:val="20"/>
          <w:color w:val="auto"/>
        </w:rPr>
      </w:pPr>
    </w:p>
    <w:p>
      <w:pPr>
        <w:jc w:val="both"/>
        <w:ind w:left="1720" w:hanging="859"/>
        <w:spacing w:after="0" w:line="251" w:lineRule="auto"/>
        <w:tabs>
          <w:tab w:leader="none" w:pos="170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7"/>
          <w:szCs w:val="17"/>
          <w:color w:val="auto"/>
        </w:rPr>
        <w:t>The Parties hereto agree that in case of any change to Party C’s shareholding structure or any addition or deduction of any of Party C’s shareholders, Party A, Party C and Party C’s then-current shareholders shall re-sign this Agreement, and as of the effective date of the Equity Interest Pledge Agreement re-entered into by and among the foregoing parties, this Agreement will automatically terminate and become invalid.</w:t>
      </w:r>
    </w:p>
    <w:p>
      <w:pPr>
        <w:spacing w:after="0" w:line="14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5"/>
          <w:szCs w:val="15"/>
          <w:color w:val="auto"/>
        </w:rPr>
        <w:t>This Agreement is written in Chinese and is executed in Four (4) original copies.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261" w:name="page262"/>
    <w:bookmarkEnd w:id="261"/>
    <w:p>
      <w:pPr>
        <w:jc w:val="right"/>
        <w:ind w:right="1919"/>
        <w:spacing w:after="0"/>
        <w:rPr>
          <w:sz w:val="20"/>
          <w:szCs w:val="20"/>
          <w:color w:val="auto"/>
        </w:rPr>
      </w:pPr>
      <w:r>
        <w:rPr>
          <w:rFonts w:ascii="Arial" w:cs="Arial" w:eastAsia="Arial" w:hAnsi="Arial"/>
          <w:sz w:val="17"/>
          <w:szCs w:val="17"/>
          <w:b w:val="1"/>
          <w:bCs w:val="1"/>
          <w:color w:val="auto"/>
        </w:rPr>
        <w:t>[This page is the signature page to the Equity Interest Pledge Agreement]</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LIU Chicheng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Chicheng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ZHOU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ZHOU Wei</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Chicheng</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262" w:name="page263"/>
    <w:bookmarkEnd w:id="262"/>
    <w:p>
      <w:pPr>
        <w:jc w:val="center"/>
        <w:ind w:right="40"/>
        <w:spacing w:after="0"/>
        <w:rPr>
          <w:sz w:val="20"/>
          <w:szCs w:val="20"/>
          <w:color w:val="auto"/>
        </w:rPr>
      </w:pPr>
      <w:r>
        <w:rPr>
          <w:rFonts w:ascii="Arial" w:cs="Arial" w:eastAsia="Arial" w:hAnsi="Arial"/>
          <w:sz w:val="17"/>
          <w:szCs w:val="17"/>
          <w:b w:val="1"/>
          <w:bCs w:val="1"/>
          <w:color w:val="auto"/>
        </w:rPr>
        <w:t>Equity Interest Pledge Agreement - Signature Page</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Annex I Pledgor</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3"/>
          </w:tcPr>
          <w:p>
            <w:pPr>
              <w:jc w:val="center"/>
              <w:ind w:left="57"/>
              <w:spacing w:after="0"/>
              <w:rPr>
                <w:sz w:val="20"/>
                <w:szCs w:val="20"/>
                <w:color w:val="auto"/>
              </w:rPr>
            </w:pPr>
            <w:r>
              <w:rPr>
                <w:rFonts w:ascii="Arial" w:cs="Arial" w:eastAsia="Arial" w:hAnsi="Arial"/>
                <w:sz w:val="17"/>
                <w:szCs w:val="17"/>
                <w:color w:val="auto"/>
                <w:w w:val="86"/>
              </w:rPr>
              <w:t>Name of Shareholders</w:t>
            </w:r>
          </w:p>
        </w:tc>
        <w:tc>
          <w:tcPr>
            <w:tcW w:w="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gridSpan w:val="3"/>
          </w:tcPr>
          <w:p>
            <w:pPr>
              <w:jc w:val="center"/>
              <w:ind w:right="497"/>
              <w:spacing w:after="0"/>
              <w:rPr>
                <w:sz w:val="20"/>
                <w:szCs w:val="20"/>
                <w:color w:val="auto"/>
              </w:rPr>
            </w:pPr>
            <w:r>
              <w:rPr>
                <w:rFonts w:ascii="Arial" w:cs="Arial" w:eastAsia="Arial" w:hAnsi="Arial"/>
                <w:sz w:val="17"/>
                <w:szCs w:val="17"/>
                <w:color w:val="auto"/>
                <w:w w:val="91"/>
              </w:rPr>
              <w:t>ID Card No.</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
        </w:trPr>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center"/>
              <w:ind w:right="55"/>
              <w:spacing w:after="0"/>
              <w:rPr>
                <w:sz w:val="20"/>
                <w:szCs w:val="20"/>
                <w:color w:val="auto"/>
              </w:rPr>
            </w:pPr>
            <w:r>
              <w:rPr>
                <w:rFonts w:ascii="Arial" w:cs="Arial" w:eastAsia="Arial" w:hAnsi="Arial"/>
                <w:sz w:val="17"/>
                <w:szCs w:val="17"/>
                <w:color w:val="auto"/>
                <w:w w:val="93"/>
              </w:rPr>
              <w:t>LIU Chicheng</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tcPr>
          <w:p>
            <w:pPr>
              <w:jc w:val="center"/>
              <w:ind w:right="917"/>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
        </w:trPr>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center"/>
              <w:ind w:right="55"/>
              <w:spacing w:after="0"/>
              <w:rPr>
                <w:sz w:val="20"/>
                <w:szCs w:val="20"/>
                <w:color w:val="auto"/>
              </w:rPr>
            </w:pPr>
            <w:r>
              <w:rPr>
                <w:rFonts w:ascii="Arial" w:cs="Arial" w:eastAsia="Arial" w:hAnsi="Arial"/>
                <w:sz w:val="17"/>
                <w:szCs w:val="17"/>
                <w:color w:val="auto"/>
                <w:w w:val="92"/>
              </w:rPr>
              <w:t>ZHOU Wei</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tcPr>
          <w:p>
            <w:pPr>
              <w:jc w:val="center"/>
              <w:ind w:right="917"/>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
        </w:trPr>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gridSpan w:val="9"/>
          </w:tcPr>
          <w:p>
            <w:pPr>
              <w:jc w:val="right"/>
              <w:spacing w:after="0"/>
              <w:rPr>
                <w:sz w:val="20"/>
                <w:szCs w:val="20"/>
                <w:color w:val="auto"/>
              </w:rPr>
            </w:pPr>
            <w:r>
              <w:rPr>
                <w:rFonts w:ascii="Arial" w:cs="Arial" w:eastAsia="Arial" w:hAnsi="Arial"/>
                <w:sz w:val="20"/>
                <w:szCs w:val="20"/>
                <w:b w:val="1"/>
                <w:bCs w:val="1"/>
                <w:color w:val="auto"/>
                <w:w w:val="93"/>
              </w:rPr>
              <w:t>Annex II Shareholding Structure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spacing w:after="0"/>
              <w:rPr>
                <w:sz w:val="16"/>
                <w:szCs w:val="16"/>
                <w:color w:val="auto"/>
              </w:rPr>
            </w:pPr>
          </w:p>
        </w:tc>
        <w:tc>
          <w:tcPr>
            <w:tcW w:w="1560" w:type="dxa"/>
            <w:vAlign w:val="bottom"/>
            <w:tcBorders>
              <w:bottom w:val="single" w:sz="8" w:color="auto"/>
            </w:tcBorders>
            <w:gridSpan w:val="2"/>
          </w:tcPr>
          <w:p>
            <w:pPr>
              <w:spacing w:after="0"/>
              <w:rPr>
                <w:sz w:val="16"/>
                <w:szCs w:val="16"/>
                <w:color w:val="auto"/>
              </w:rPr>
            </w:pPr>
          </w:p>
        </w:tc>
        <w:tc>
          <w:tcPr>
            <w:tcW w:w="2460" w:type="dxa"/>
            <w:vAlign w:val="bottom"/>
            <w:tcBorders>
              <w:bottom w:val="single" w:sz="8" w:color="auto"/>
            </w:tcBorders>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9"/>
          </w:tcPr>
          <w:p>
            <w:pPr>
              <w:jc w:val="center"/>
              <w:ind w:right="1075"/>
              <w:spacing w:after="0"/>
              <w:rPr>
                <w:sz w:val="20"/>
                <w:szCs w:val="20"/>
                <w:color w:val="auto"/>
              </w:rPr>
            </w:pPr>
            <w:r>
              <w:rPr>
                <w:rFonts w:ascii="Arial" w:cs="Arial" w:eastAsia="Arial" w:hAnsi="Arial"/>
                <w:sz w:val="17"/>
                <w:szCs w:val="17"/>
                <w:color w:val="auto"/>
                <w:w w:val="86"/>
              </w:rPr>
              <w:t>Name of Shareholders</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Borders>
              <w:right w:val="single" w:sz="8" w:color="auto"/>
            </w:tcBorders>
            <w:gridSpan w:val="5"/>
          </w:tcPr>
          <w:p>
            <w:pPr>
              <w:ind w:left="20"/>
              <w:spacing w:after="0"/>
              <w:rPr>
                <w:sz w:val="20"/>
                <w:szCs w:val="20"/>
                <w:color w:val="auto"/>
              </w:rPr>
            </w:pPr>
            <w:r>
              <w:rPr>
                <w:rFonts w:ascii="Arial" w:cs="Arial" w:eastAsia="Arial" w:hAnsi="Arial"/>
                <w:sz w:val="17"/>
                <w:szCs w:val="17"/>
                <w:color w:val="auto"/>
              </w:rPr>
              <w:t>Amount of Contribution</w:t>
            </w:r>
          </w:p>
        </w:tc>
        <w:tc>
          <w:tcPr>
            <w:tcW w:w="246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w w:val="90"/>
              </w:rPr>
              <w:t>Equity Proportion</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8"/>
          </w:tcPr>
          <w:p>
            <w:pPr>
              <w:jc w:val="center"/>
              <w:ind w:right="1395"/>
              <w:spacing w:after="0"/>
              <w:rPr>
                <w:sz w:val="20"/>
                <w:szCs w:val="20"/>
                <w:color w:val="auto"/>
              </w:rPr>
            </w:pPr>
            <w:r>
              <w:rPr>
                <w:rFonts w:ascii="Arial" w:cs="Arial" w:eastAsia="Arial" w:hAnsi="Arial"/>
                <w:sz w:val="17"/>
                <w:szCs w:val="17"/>
                <w:color w:val="auto"/>
                <w:w w:val="93"/>
              </w:rPr>
              <w:t>LIU Chicheng</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37"/>
              <w:spacing w:after="0"/>
              <w:rPr>
                <w:sz w:val="20"/>
                <w:szCs w:val="20"/>
                <w:color w:val="auto"/>
              </w:rPr>
            </w:pPr>
            <w:r>
              <w:rPr>
                <w:rFonts w:ascii="Arial" w:cs="Arial" w:eastAsia="Arial" w:hAnsi="Arial"/>
                <w:sz w:val="17"/>
                <w:szCs w:val="17"/>
                <w:color w:val="auto"/>
                <w:w w:val="84"/>
              </w:rPr>
              <w:t>190</w:t>
            </w:r>
          </w:p>
        </w:tc>
        <w:tc>
          <w:tcPr>
            <w:tcW w:w="36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Borders>
              <w:right w:val="single" w:sz="8" w:color="auto"/>
            </w:tcBorders>
          </w:tcPr>
          <w:p>
            <w:pPr>
              <w:jc w:val="center"/>
              <w:ind w:right="857"/>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5"/>
          </w:tcPr>
          <w:p>
            <w:pPr>
              <w:jc w:val="center"/>
              <w:ind w:left="97"/>
              <w:spacing w:after="0"/>
              <w:rPr>
                <w:sz w:val="20"/>
                <w:szCs w:val="20"/>
                <w:color w:val="auto"/>
              </w:rPr>
            </w:pPr>
            <w:r>
              <w:rPr>
                <w:rFonts w:ascii="Arial" w:cs="Arial" w:eastAsia="Arial" w:hAnsi="Arial"/>
                <w:sz w:val="17"/>
                <w:szCs w:val="17"/>
                <w:color w:val="auto"/>
                <w:w w:val="92"/>
              </w:rPr>
              <w:t>ZHOU Wei</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37"/>
              <w:spacing w:after="0"/>
              <w:rPr>
                <w:sz w:val="20"/>
                <w:szCs w:val="20"/>
                <w:color w:val="auto"/>
              </w:rPr>
            </w:pPr>
            <w:r>
              <w:rPr>
                <w:rFonts w:ascii="Arial" w:cs="Arial" w:eastAsia="Arial" w:hAnsi="Arial"/>
                <w:sz w:val="17"/>
                <w:szCs w:val="17"/>
                <w:color w:val="auto"/>
                <w:w w:val="84"/>
              </w:rPr>
              <w:t>10</w:t>
            </w:r>
          </w:p>
        </w:tc>
        <w:tc>
          <w:tcPr>
            <w:tcW w:w="36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Borders>
              <w:right w:val="single" w:sz="8" w:color="auto"/>
            </w:tcBorders>
          </w:tcPr>
          <w:p>
            <w:pPr>
              <w:jc w:val="center"/>
              <w:ind w:right="857"/>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5"/>
          </w:tcPr>
          <w:p>
            <w:pPr>
              <w:jc w:val="center"/>
              <w:ind w:left="117"/>
              <w:spacing w:after="0"/>
              <w:rPr>
                <w:sz w:val="20"/>
                <w:szCs w:val="20"/>
                <w:color w:val="auto"/>
              </w:rPr>
            </w:pPr>
            <w:r>
              <w:rPr>
                <w:rFonts w:ascii="Arial" w:cs="Arial" w:eastAsia="Arial" w:hAnsi="Arial"/>
                <w:sz w:val="17"/>
                <w:szCs w:val="17"/>
                <w:color w:val="auto"/>
                <w:w w:val="89"/>
              </w:rPr>
              <w:t>Total</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37"/>
              <w:spacing w:after="0"/>
              <w:rPr>
                <w:sz w:val="20"/>
                <w:szCs w:val="20"/>
                <w:color w:val="auto"/>
              </w:rPr>
            </w:pPr>
            <w:r>
              <w:rPr>
                <w:rFonts w:ascii="Arial" w:cs="Arial" w:eastAsia="Arial" w:hAnsi="Arial"/>
                <w:sz w:val="17"/>
                <w:szCs w:val="17"/>
                <w:color w:val="auto"/>
                <w:w w:val="84"/>
              </w:rPr>
              <w:t>500</w:t>
            </w:r>
          </w:p>
        </w:tc>
        <w:tc>
          <w:tcPr>
            <w:tcW w:w="36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Borders>
              <w:right w:val="single" w:sz="8" w:color="auto"/>
            </w:tcBorders>
          </w:tcPr>
          <w:p>
            <w:pPr>
              <w:jc w:val="center"/>
              <w:ind w:right="857"/>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gridSpan w:val="3"/>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right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gridSpan w:val="17"/>
          </w:tcPr>
          <w:p>
            <w:pPr>
              <w:spacing w:after="0"/>
              <w:rPr>
                <w:sz w:val="20"/>
                <w:szCs w:val="20"/>
                <w:color w:val="auto"/>
              </w:rPr>
            </w:pPr>
            <w:r>
              <w:rPr>
                <w:rFonts w:ascii="Arial" w:cs="Arial" w:eastAsia="Arial" w:hAnsi="Arial"/>
                <w:sz w:val="20"/>
                <w:szCs w:val="20"/>
                <w:b w:val="1"/>
                <w:bCs w:val="1"/>
                <w:color w:val="auto"/>
              </w:rPr>
              <w:t>Annex III Form of Party C’s Shareholders’ Register</w:t>
            </w: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9"/>
        </w:trPr>
        <w:tc>
          <w:tcPr>
            <w:tcW w:w="5520" w:type="dxa"/>
            <w:vAlign w:val="bottom"/>
            <w:gridSpan w:val="16"/>
          </w:tcPr>
          <w:p>
            <w:pPr>
              <w:spacing w:after="0"/>
              <w:rPr>
                <w:sz w:val="20"/>
                <w:szCs w:val="20"/>
                <w:color w:val="auto"/>
              </w:rPr>
            </w:pPr>
            <w:r>
              <w:rPr>
                <w:rFonts w:ascii="Arial" w:cs="Arial" w:eastAsia="Arial" w:hAnsi="Arial"/>
                <w:sz w:val="17"/>
                <w:szCs w:val="17"/>
                <w:b w:val="1"/>
                <w:bCs w:val="1"/>
                <w:color w:val="auto"/>
                <w:w w:val="90"/>
              </w:rPr>
              <w:t>Name of Company: Tianjin Shangde Online Education Technology Co., Ltd.</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900" w:type="dxa"/>
            <w:vAlign w:val="bottom"/>
            <w:tcBorders>
              <w:bottom w:val="single" w:sz="8" w:color="auto"/>
            </w:tcBorders>
            <w:gridSpan w:val="2"/>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spacing w:after="0"/>
              <w:rPr>
                <w:sz w:val="17"/>
                <w:szCs w:val="17"/>
                <w:color w:val="auto"/>
              </w:rPr>
            </w:pPr>
          </w:p>
        </w:tc>
        <w:tc>
          <w:tcPr>
            <w:tcW w:w="174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spacing w:after="0"/>
              <w:rPr>
                <w:sz w:val="17"/>
                <w:szCs w:val="17"/>
                <w:color w:val="auto"/>
              </w:rPr>
            </w:pPr>
          </w:p>
        </w:tc>
        <w:tc>
          <w:tcPr>
            <w:tcW w:w="246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1880" w:type="dxa"/>
            <w:vAlign w:val="bottom"/>
            <w:tcBorders>
              <w:left w:val="single" w:sz="8" w:color="auto"/>
            </w:tcBorders>
            <w:gridSpan w:val="3"/>
          </w:tcPr>
          <w:p>
            <w:pPr>
              <w:jc w:val="center"/>
              <w:ind w:left="57"/>
              <w:spacing w:after="0"/>
              <w:rPr>
                <w:sz w:val="20"/>
                <w:szCs w:val="20"/>
                <w:color w:val="auto"/>
              </w:rPr>
            </w:pPr>
            <w:r>
              <w:rPr>
                <w:rFonts w:ascii="Arial" w:cs="Arial" w:eastAsia="Arial" w:hAnsi="Arial"/>
                <w:sz w:val="17"/>
                <w:szCs w:val="17"/>
                <w:b w:val="1"/>
                <w:bCs w:val="1"/>
                <w:color w:val="auto"/>
                <w:w w:val="87"/>
              </w:rPr>
              <w:t>Full name of the</w:t>
            </w:r>
          </w:p>
        </w:tc>
        <w:tc>
          <w:tcPr>
            <w:tcW w:w="1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2"/>
              </w:rPr>
              <w:t>[LIU Chicheng]</w:t>
            </w:r>
          </w:p>
        </w:tc>
        <w:tc>
          <w:tcPr>
            <w:tcW w:w="2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tcBorders>
              <w:right w:val="single" w:sz="8" w:color="auto"/>
            </w:tcBorders>
            <w:gridSpan w:val="5"/>
          </w:tcPr>
          <w:p>
            <w:pPr>
              <w:jc w:val="center"/>
              <w:ind w:right="17"/>
              <w:spacing w:after="0"/>
              <w:rPr>
                <w:sz w:val="20"/>
                <w:szCs w:val="20"/>
                <w:color w:val="auto"/>
              </w:rPr>
            </w:pPr>
            <w:r>
              <w:rPr>
                <w:rFonts w:ascii="Arial" w:cs="Arial" w:eastAsia="Arial" w:hAnsi="Arial"/>
                <w:sz w:val="17"/>
                <w:szCs w:val="17"/>
                <w:b w:val="1"/>
                <w:bCs w:val="1"/>
                <w:color w:val="auto"/>
                <w:w w:val="91"/>
              </w:rPr>
              <w:t>ID Card No./ Registration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5"/>
          </w:tcPr>
          <w:p>
            <w:pPr>
              <w:jc w:val="right"/>
              <w:ind w:right="37"/>
              <w:spacing w:after="0"/>
              <w:rPr>
                <w:sz w:val="20"/>
                <w:szCs w:val="20"/>
                <w:color w:val="auto"/>
              </w:rPr>
            </w:pPr>
            <w:r>
              <w:rPr>
                <w:rFonts w:ascii="Arial" w:cs="Arial" w:eastAsia="Arial" w:hAnsi="Arial"/>
                <w:sz w:val="17"/>
                <w:szCs w:val="17"/>
                <w:b w:val="1"/>
                <w:bCs w:val="1"/>
                <w:color w:val="auto"/>
                <w:w w:val="98"/>
              </w:rPr>
              <w:t>[</w:t>
            </w:r>
            <w:r>
              <w:rPr>
                <w:rFonts w:ascii="Arial" w:cs="Arial" w:eastAsia="Arial" w:hAnsi="Arial"/>
                <w:sz w:val="17"/>
                <w:szCs w:val="17"/>
                <w:color w:val="auto"/>
                <w:w w:val="98"/>
              </w:rPr>
              <w:t>[•]</w:t>
            </w:r>
            <w:r>
              <w:rPr>
                <w:rFonts w:ascii="Arial" w:cs="Arial" w:eastAsia="Arial" w:hAnsi="Arial"/>
                <w:sz w:val="17"/>
                <w:szCs w:val="17"/>
                <w:b w:val="1"/>
                <w:bCs w:val="1"/>
                <w:color w:val="auto"/>
                <w:w w:val="98"/>
              </w:rPr>
              <w:t>]Occupa</w:t>
            </w:r>
          </w:p>
        </w:tc>
        <w:tc>
          <w:tcPr>
            <w:tcW w:w="1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7"/>
                <w:szCs w:val="17"/>
                <w:b w:val="1"/>
                <w:bCs w:val="1"/>
                <w:color w:val="auto"/>
                <w:w w:val="95"/>
              </w:rPr>
              <w:t>Identity</w:t>
            </w:r>
          </w:p>
        </w:tc>
        <w:tc>
          <w:tcPr>
            <w:tcW w:w="246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Executive Director</w:t>
            </w:r>
          </w:p>
        </w:tc>
        <w:tc>
          <w:tcPr>
            <w:tcW w:w="20" w:type="dxa"/>
            <w:vAlign w:val="bottom"/>
          </w:tcPr>
          <w:p>
            <w:pPr>
              <w:spacing w:after="0"/>
              <w:rPr>
                <w:sz w:val="19"/>
                <w:szCs w:val="19"/>
                <w:color w:val="auto"/>
              </w:rPr>
            </w:pPr>
          </w:p>
        </w:tc>
      </w:tr>
      <w:tr>
        <w:trPr>
          <w:trHeight w:val="216"/>
        </w:trPr>
        <w:tc>
          <w:tcPr>
            <w:tcW w:w="1880" w:type="dxa"/>
            <w:vAlign w:val="bottom"/>
            <w:tcBorders>
              <w:left w:val="single" w:sz="8" w:color="auto"/>
            </w:tcBorders>
            <w:gridSpan w:val="3"/>
          </w:tcPr>
          <w:p>
            <w:pPr>
              <w:jc w:val="center"/>
              <w:ind w:left="57"/>
              <w:spacing w:after="0"/>
              <w:rPr>
                <w:sz w:val="20"/>
                <w:szCs w:val="20"/>
                <w:color w:val="auto"/>
              </w:rPr>
            </w:pPr>
            <w:r>
              <w:rPr>
                <w:rFonts w:ascii="Arial" w:cs="Arial" w:eastAsia="Arial" w:hAnsi="Arial"/>
                <w:sz w:val="17"/>
                <w:szCs w:val="17"/>
                <w:b w:val="1"/>
                <w:bCs w:val="1"/>
                <w:color w:val="auto"/>
                <w:w w:val="86"/>
              </w:rPr>
              <w:t>Shareholder</w:t>
            </w: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center"/>
              <w:ind w:right="95"/>
              <w:spacing w:after="0"/>
              <w:rPr>
                <w:sz w:val="20"/>
                <w:szCs w:val="20"/>
                <w:color w:val="auto"/>
              </w:rPr>
            </w:pPr>
            <w:r>
              <w:rPr>
                <w:rFonts w:ascii="Arial" w:cs="Arial" w:eastAsia="Arial" w:hAnsi="Arial"/>
                <w:sz w:val="17"/>
                <w:szCs w:val="17"/>
                <w:b w:val="1"/>
                <w:bCs w:val="1"/>
                <w:color w:val="auto"/>
                <w:w w:val="87"/>
              </w:rPr>
              <w:t>No.</w:t>
            </w:r>
          </w:p>
        </w:tc>
        <w:tc>
          <w:tcPr>
            <w:tcW w:w="3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7"/>
                <w:szCs w:val="17"/>
                <w:b w:val="1"/>
                <w:bCs w:val="1"/>
                <w:color w:val="auto"/>
                <w:w w:val="86"/>
              </w:rPr>
              <w:t>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900" w:type="dxa"/>
            <w:vAlign w:val="bottom"/>
            <w:tcBorders>
              <w:left w:val="single" w:sz="8" w:color="auto"/>
              <w:bottom w:val="single" w:sz="8" w:color="auto"/>
            </w:tcBorders>
            <w:gridSpan w:val="2"/>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1880" w:type="dxa"/>
            <w:vAlign w:val="bottom"/>
            <w:tcBorders>
              <w:left w:val="single" w:sz="8" w:color="auto"/>
            </w:tcBorders>
            <w:gridSpan w:val="3"/>
          </w:tcPr>
          <w:p>
            <w:pPr>
              <w:ind w:left="380"/>
              <w:spacing w:after="0"/>
              <w:rPr>
                <w:sz w:val="20"/>
                <w:szCs w:val="20"/>
                <w:color w:val="auto"/>
              </w:rPr>
            </w:pPr>
            <w:r>
              <w:rPr>
                <w:rFonts w:ascii="Arial" w:cs="Arial" w:eastAsia="Arial" w:hAnsi="Arial"/>
                <w:sz w:val="17"/>
                <w:szCs w:val="17"/>
                <w:b w:val="1"/>
                <w:bCs w:val="1"/>
                <w:color w:val="auto"/>
                <w:w w:val="90"/>
              </w:rPr>
              <w:t>Address of Domicile</w:t>
            </w:r>
          </w:p>
        </w:tc>
        <w:tc>
          <w:tcPr>
            <w:tcW w:w="1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40" w:type="dxa"/>
            <w:vAlign w:val="bottom"/>
            <w:gridSpan w:val="2"/>
          </w:tcPr>
          <w:p>
            <w:pPr>
              <w:jc w:val="right"/>
              <w:ind w:right="157"/>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0"/>
        </w:trPr>
        <w:tc>
          <w:tcPr>
            <w:tcW w:w="900" w:type="dxa"/>
            <w:vAlign w:val="bottom"/>
            <w:tcBorders>
              <w:left w:val="single" w:sz="8" w:color="auto"/>
              <w:bottom w:val="single" w:sz="8" w:color="auto"/>
            </w:tcBorders>
            <w:gridSpan w:val="2"/>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5"/>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900" w:type="dxa"/>
            <w:vAlign w:val="bottom"/>
            <w:tcBorders>
              <w:left w:val="single" w:sz="8" w:color="auto"/>
              <w:right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Date</w:t>
            </w:r>
          </w:p>
        </w:tc>
        <w:tc>
          <w:tcPr>
            <w:tcW w:w="2960" w:type="dxa"/>
            <w:vAlign w:val="bottom"/>
            <w:gridSpan w:val="11"/>
          </w:tcPr>
          <w:p>
            <w:pPr>
              <w:jc w:val="center"/>
              <w:ind w:left="117"/>
              <w:spacing w:after="0"/>
              <w:rPr>
                <w:sz w:val="20"/>
                <w:szCs w:val="20"/>
                <w:color w:val="auto"/>
              </w:rPr>
            </w:pPr>
            <w:r>
              <w:rPr>
                <w:rFonts w:ascii="Arial" w:cs="Arial" w:eastAsia="Arial" w:hAnsi="Arial"/>
                <w:sz w:val="17"/>
                <w:szCs w:val="17"/>
                <w:b w:val="1"/>
                <w:bCs w:val="1"/>
                <w:color w:val="auto"/>
                <w:w w:val="89"/>
              </w:rPr>
              <w:t>Contribution Amount/ Consideration</w:t>
            </w:r>
          </w:p>
        </w:tc>
        <w:tc>
          <w:tcPr>
            <w:tcW w:w="2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580" w:type="dxa"/>
            <w:vAlign w:val="bottom"/>
            <w:gridSpan w:val="7"/>
          </w:tcPr>
          <w:p>
            <w:pPr>
              <w:ind w:left="380"/>
              <w:spacing w:after="0"/>
              <w:rPr>
                <w:sz w:val="20"/>
                <w:szCs w:val="20"/>
                <w:color w:val="auto"/>
              </w:rPr>
            </w:pPr>
            <w:r>
              <w:rPr>
                <w:rFonts w:ascii="Arial" w:cs="Arial" w:eastAsia="Arial" w:hAnsi="Arial"/>
                <w:sz w:val="17"/>
                <w:szCs w:val="17"/>
                <w:b w:val="1"/>
                <w:bCs w:val="1"/>
                <w:color w:val="auto"/>
              </w:rPr>
              <w:t>Shareholding Percentage</w:t>
            </w:r>
          </w:p>
        </w:tc>
        <w:tc>
          <w:tcPr>
            <w:tcW w:w="8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Note</w:t>
            </w:r>
          </w:p>
        </w:tc>
        <w:tc>
          <w:tcPr>
            <w:tcW w:w="15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4"/>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9"/>
        </w:trPr>
        <w:tc>
          <w:tcPr>
            <w:tcW w:w="60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6"/>
          </w:tcPr>
          <w:p>
            <w:pPr>
              <w:jc w:val="center"/>
              <w:ind w:right="480"/>
              <w:spacing w:after="0"/>
              <w:rPr>
                <w:sz w:val="20"/>
                <w:szCs w:val="20"/>
                <w:color w:val="auto"/>
              </w:rPr>
            </w:pPr>
            <w:r>
              <w:rPr>
                <w:rFonts w:ascii="Arial" w:cs="Arial" w:eastAsia="Arial" w:hAnsi="Arial"/>
                <w:sz w:val="17"/>
                <w:szCs w:val="17"/>
                <w:color w:val="auto"/>
                <w:w w:val="96"/>
              </w:rPr>
              <w:t>CNY [190]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440" w:type="dxa"/>
            <w:vAlign w:val="bottom"/>
            <w:gridSpan w:val="2"/>
          </w:tcPr>
          <w:p>
            <w:pPr>
              <w:jc w:val="right"/>
              <w:ind w:right="375"/>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w w:val="97"/>
              </w:rPr>
              <w:t>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4"/>
          </w:tcPr>
          <w:p>
            <w:pPr>
              <w:ind w:left="40"/>
              <w:spacing w:after="0"/>
              <w:rPr>
                <w:sz w:val="20"/>
                <w:szCs w:val="20"/>
                <w:color w:val="auto"/>
              </w:rPr>
            </w:pPr>
            <w:r>
              <w:rPr>
                <w:rFonts w:ascii="Arial" w:cs="Arial" w:eastAsia="Arial" w:hAnsi="Arial"/>
                <w:sz w:val="17"/>
                <w:szCs w:val="17"/>
                <w:color w:val="auto"/>
                <w:w w:val="91"/>
              </w:rPr>
              <w:t>100% of the equity being pledged to [</w:t>
            </w:r>
          </w:p>
        </w:tc>
        <w:tc>
          <w:tcPr>
            <w:tcW w:w="1560" w:type="dxa"/>
            <w:vAlign w:val="bottom"/>
            <w:tcBorders>
              <w:right w:val="single" w:sz="8" w:color="auto"/>
            </w:tcBorders>
          </w:tcPr>
          <w:p>
            <w:pPr>
              <w:jc w:val="right"/>
              <w:ind w:right="277"/>
              <w:spacing w:after="0"/>
              <w:rPr>
                <w:sz w:val="20"/>
                <w:szCs w:val="20"/>
                <w:color w:val="auto"/>
              </w:rPr>
            </w:pPr>
            <w:r>
              <w:rPr>
                <w:rFonts w:ascii="Arial" w:cs="Arial" w:eastAsia="Arial" w:hAnsi="Arial"/>
                <w:sz w:val="17"/>
                <w:szCs w:val="17"/>
                <w:color w:val="auto"/>
                <w:w w:val="98"/>
              </w:rPr>
              <w:t>Tianjin Studyvip</w:t>
            </w:r>
          </w:p>
        </w:tc>
        <w:tc>
          <w:tcPr>
            <w:tcW w:w="20" w:type="dxa"/>
            <w:vAlign w:val="bottom"/>
          </w:tcPr>
          <w:p>
            <w:pPr>
              <w:spacing w:after="0"/>
              <w:rPr>
                <w:sz w:val="19"/>
                <w:szCs w:val="19"/>
                <w:color w:val="auto"/>
              </w:rPr>
            </w:pPr>
          </w:p>
        </w:tc>
      </w:tr>
      <w:tr>
        <w:trPr>
          <w:trHeight w:val="212"/>
        </w:trPr>
        <w:tc>
          <w:tcPr>
            <w:tcW w:w="600" w:type="dxa"/>
            <w:vAlign w:val="bottom"/>
            <w:tcBorders>
              <w:lef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3"/>
          </w:tcPr>
          <w:p>
            <w:pPr>
              <w:ind w:left="780"/>
              <w:spacing w:after="0"/>
              <w:rPr>
                <w:sz w:val="20"/>
                <w:szCs w:val="20"/>
                <w:color w:val="auto"/>
              </w:rPr>
            </w:pPr>
            <w:r>
              <w:rPr>
                <w:rFonts w:ascii="Arial" w:cs="Arial" w:eastAsia="Arial" w:hAnsi="Arial"/>
                <w:sz w:val="17"/>
                <w:szCs w:val="17"/>
                <w:color w:val="auto"/>
                <w:w w:val="97"/>
              </w:rPr>
              <w:t>Education Co., Limited</w:t>
            </w:r>
          </w:p>
        </w:tc>
        <w:tc>
          <w:tcPr>
            <w:tcW w:w="1560" w:type="dxa"/>
            <w:vAlign w:val="bottom"/>
            <w:tcBorders>
              <w:right w:val="single" w:sz="8" w:color="auto"/>
            </w:tcBorders>
          </w:tcPr>
          <w:p>
            <w:pPr>
              <w:jc w:val="right"/>
              <w:ind w:right="1197"/>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50"/>
        </w:trPr>
        <w:tc>
          <w:tcPr>
            <w:tcW w:w="900" w:type="dxa"/>
            <w:vAlign w:val="bottom"/>
            <w:tcBorders>
              <w:left w:val="single" w:sz="8" w:color="auto"/>
              <w:bottom w:val="single" w:sz="8" w:color="auto"/>
              <w:right w:val="single" w:sz="8" w:color="auto"/>
            </w:tcBorders>
            <w:gridSpan w:val="2"/>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4"/>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491"/>
        </w:trPr>
        <w:tc>
          <w:tcPr>
            <w:tcW w:w="1880" w:type="dxa"/>
            <w:vAlign w:val="bottom"/>
            <w:tcBorders>
              <w:bottom w:val="single" w:sz="8" w:color="auto"/>
            </w:tcBorders>
            <w:gridSpan w:val="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spacing w:after="0"/>
              <w:rPr>
                <w:sz w:val="24"/>
                <w:szCs w:val="24"/>
                <w:color w:val="auto"/>
              </w:rPr>
            </w:pPr>
          </w:p>
        </w:tc>
        <w:tc>
          <w:tcPr>
            <w:tcW w:w="34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1880" w:type="dxa"/>
            <w:vAlign w:val="bottom"/>
            <w:tcBorders>
              <w:left w:val="single" w:sz="8" w:color="auto"/>
            </w:tcBorders>
            <w:gridSpan w:val="3"/>
          </w:tcPr>
          <w:p>
            <w:pPr>
              <w:jc w:val="center"/>
              <w:ind w:left="77"/>
              <w:spacing w:after="0"/>
              <w:rPr>
                <w:sz w:val="20"/>
                <w:szCs w:val="20"/>
                <w:color w:val="auto"/>
              </w:rPr>
            </w:pPr>
            <w:r>
              <w:rPr>
                <w:rFonts w:ascii="Arial" w:cs="Arial" w:eastAsia="Arial" w:hAnsi="Arial"/>
                <w:sz w:val="17"/>
                <w:szCs w:val="17"/>
                <w:b w:val="1"/>
                <w:bCs w:val="1"/>
                <w:color w:val="auto"/>
                <w:w w:val="88"/>
              </w:rPr>
              <w:t>Full name of the</w:t>
            </w:r>
          </w:p>
        </w:tc>
        <w:tc>
          <w:tcPr>
            <w:tcW w:w="1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5"/>
          </w:tcPr>
          <w:p>
            <w:pPr>
              <w:spacing w:after="0"/>
              <w:rPr>
                <w:sz w:val="20"/>
                <w:szCs w:val="20"/>
                <w:color w:val="auto"/>
              </w:rPr>
            </w:pPr>
            <w:r>
              <w:rPr>
                <w:rFonts w:ascii="Arial" w:cs="Arial" w:eastAsia="Arial" w:hAnsi="Arial"/>
                <w:sz w:val="17"/>
                <w:szCs w:val="17"/>
                <w:b w:val="1"/>
                <w:bCs w:val="1"/>
                <w:color w:val="auto"/>
              </w:rPr>
              <w:t>[  ZHOU Wei</w:t>
            </w:r>
          </w:p>
        </w:tc>
        <w:tc>
          <w:tcPr>
            <w:tcW w:w="240" w:type="dxa"/>
            <w:vAlign w:val="bottom"/>
          </w:tcPr>
          <w:p>
            <w:pPr>
              <w:jc w:val="right"/>
              <w:ind w:right="9"/>
              <w:spacing w:after="0"/>
              <w:rPr>
                <w:sz w:val="20"/>
                <w:szCs w:val="20"/>
                <w:color w:val="auto"/>
              </w:rPr>
            </w:pPr>
            <w:r>
              <w:rPr>
                <w:rFonts w:ascii="Arial" w:cs="Arial" w:eastAsia="Arial" w:hAnsi="Arial"/>
                <w:sz w:val="17"/>
                <w:szCs w:val="17"/>
                <w:b w:val="1"/>
                <w:bCs w:val="1"/>
                <w:color w:val="auto"/>
              </w:rPr>
              <w:t>]</w:t>
            </w:r>
          </w:p>
        </w:tc>
        <w:tc>
          <w:tcPr>
            <w:tcW w:w="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7"/>
                <w:szCs w:val="17"/>
                <w:b w:val="1"/>
                <w:bCs w:val="1"/>
                <w:color w:val="auto"/>
                <w:w w:val="91"/>
              </w:rPr>
              <w:t>ID Card No./ Registration</w:t>
            </w:r>
          </w:p>
        </w:tc>
        <w:tc>
          <w:tcPr>
            <w:tcW w:w="120" w:type="dxa"/>
            <w:vAlign w:val="bottom"/>
          </w:tcPr>
          <w:p>
            <w:pPr>
              <w:spacing w:after="0"/>
              <w:rPr>
                <w:sz w:val="19"/>
                <w:szCs w:val="19"/>
                <w:color w:val="auto"/>
              </w:rPr>
            </w:pPr>
          </w:p>
        </w:tc>
        <w:tc>
          <w:tcPr>
            <w:tcW w:w="680" w:type="dxa"/>
            <w:vAlign w:val="bottom"/>
            <w:gridSpan w:val="3"/>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340" w:type="dxa"/>
            <w:vAlign w:val="bottom"/>
            <w:gridSpan w:val="2"/>
          </w:tcPr>
          <w:p>
            <w:pPr>
              <w:jc w:val="right"/>
              <w:ind w:right="37"/>
              <w:spacing w:after="0"/>
              <w:rPr>
                <w:sz w:val="20"/>
                <w:szCs w:val="20"/>
                <w:color w:val="auto"/>
              </w:rPr>
            </w:pPr>
            <w:r>
              <w:rPr>
                <w:rFonts w:ascii="Arial" w:cs="Arial" w:eastAsia="Arial" w:hAnsi="Arial"/>
                <w:sz w:val="17"/>
                <w:szCs w:val="17"/>
                <w:b w:val="1"/>
                <w:bCs w:val="1"/>
                <w:color w:val="auto"/>
              </w:rPr>
              <w:t>]</w:t>
            </w:r>
          </w:p>
        </w:tc>
        <w:tc>
          <w:tcPr>
            <w:tcW w:w="1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87"/>
              </w:rPr>
              <w:t>Occupation/</w:t>
            </w:r>
          </w:p>
        </w:tc>
        <w:tc>
          <w:tcPr>
            <w:tcW w:w="90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280" w:type="dxa"/>
            <w:vAlign w:val="bottom"/>
            <w:gridSpan w:val="2"/>
          </w:tcPr>
          <w:p>
            <w:pPr>
              <w:jc w:val="center"/>
              <w:ind w:right="337"/>
              <w:spacing w:after="0"/>
              <w:rPr>
                <w:sz w:val="20"/>
                <w:szCs w:val="20"/>
                <w:color w:val="auto"/>
              </w:rPr>
            </w:pPr>
            <w:r>
              <w:rPr>
                <w:rFonts w:ascii="Arial" w:cs="Arial" w:eastAsia="Arial" w:hAnsi="Arial"/>
                <w:sz w:val="17"/>
                <w:szCs w:val="17"/>
                <w:b w:val="1"/>
                <w:bCs w:val="1"/>
                <w:color w:val="auto"/>
                <w:w w:val="86"/>
              </w:rPr>
              <w:t>Shareholder</w:t>
            </w: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7"/>
              </w:rPr>
              <w:t>No.</w:t>
            </w:r>
          </w:p>
        </w:tc>
        <w:tc>
          <w:tcPr>
            <w:tcW w:w="3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95"/>
              </w:rPr>
              <w:t>Identity</w:t>
            </w:r>
          </w:p>
        </w:tc>
        <w:tc>
          <w:tcPr>
            <w:tcW w:w="9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880" w:type="dxa"/>
            <w:vAlign w:val="bottom"/>
            <w:tcBorders>
              <w:left w:val="single" w:sz="8" w:color="auto"/>
              <w:bottom w:val="single" w:sz="8" w:color="auto"/>
            </w:tcBorders>
            <w:gridSpan w:val="3"/>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1880" w:type="dxa"/>
            <w:vAlign w:val="bottom"/>
            <w:tcBorders>
              <w:left w:val="single" w:sz="8" w:color="auto"/>
            </w:tcBorders>
            <w:gridSpan w:val="3"/>
          </w:tcPr>
          <w:p>
            <w:pPr>
              <w:ind w:left="400"/>
              <w:spacing w:after="0"/>
              <w:rPr>
                <w:sz w:val="20"/>
                <w:szCs w:val="20"/>
                <w:color w:val="auto"/>
              </w:rPr>
            </w:pPr>
            <w:r>
              <w:rPr>
                <w:rFonts w:ascii="Arial" w:cs="Arial" w:eastAsia="Arial" w:hAnsi="Arial"/>
                <w:sz w:val="17"/>
                <w:szCs w:val="17"/>
                <w:b w:val="1"/>
                <w:bCs w:val="1"/>
                <w:color w:val="auto"/>
                <w:w w:val="88"/>
              </w:rPr>
              <w:t>Address of Domicile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tcPr>
          <w:p>
            <w:pPr>
              <w:jc w:val="right"/>
              <w:ind w:right="317"/>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0"/>
        </w:trPr>
        <w:tc>
          <w:tcPr>
            <w:tcW w:w="900" w:type="dxa"/>
            <w:vAlign w:val="bottom"/>
            <w:tcBorders>
              <w:left w:val="single" w:sz="8" w:color="auto"/>
              <w:bottom w:val="single" w:sz="8" w:color="auto"/>
            </w:tcBorders>
            <w:gridSpan w:val="2"/>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right w:val="single" w:sz="8" w:color="auto"/>
            </w:tcBorders>
            <w:gridSpan w:val="2"/>
          </w:tcPr>
          <w:p>
            <w:pPr>
              <w:spacing w:after="0"/>
              <w:rPr>
                <w:sz w:val="4"/>
                <w:szCs w:val="4"/>
                <w:color w:val="auto"/>
              </w:rPr>
            </w:pPr>
          </w:p>
        </w:tc>
        <w:tc>
          <w:tcPr>
            <w:tcW w:w="1460" w:type="dxa"/>
            <w:vAlign w:val="bottom"/>
            <w:tcBorders>
              <w:bottom w:val="single" w:sz="8" w:color="auto"/>
            </w:tcBorders>
            <w:gridSpan w:val="6"/>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900" w:type="dxa"/>
            <w:vAlign w:val="bottom"/>
            <w:tcBorders>
              <w:left w:val="single" w:sz="8" w:color="auto"/>
              <w:right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Date</w:t>
            </w:r>
          </w:p>
        </w:tc>
        <w:tc>
          <w:tcPr>
            <w:tcW w:w="2960" w:type="dxa"/>
            <w:vAlign w:val="bottom"/>
            <w:gridSpan w:val="11"/>
          </w:tcPr>
          <w:p>
            <w:pPr>
              <w:ind w:left="300"/>
              <w:spacing w:after="0"/>
              <w:rPr>
                <w:sz w:val="20"/>
                <w:szCs w:val="20"/>
                <w:color w:val="auto"/>
              </w:rPr>
            </w:pPr>
            <w:r>
              <w:rPr>
                <w:rFonts w:ascii="Arial" w:cs="Arial" w:eastAsia="Arial" w:hAnsi="Arial"/>
                <w:sz w:val="17"/>
                <w:szCs w:val="17"/>
                <w:b w:val="1"/>
                <w:bCs w:val="1"/>
                <w:color w:val="auto"/>
                <w:w w:val="89"/>
              </w:rPr>
              <w:t>Contribution Amount/ Consideration</w:t>
            </w:r>
          </w:p>
        </w:tc>
        <w:tc>
          <w:tcPr>
            <w:tcW w:w="2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580" w:type="dxa"/>
            <w:vAlign w:val="bottom"/>
            <w:gridSpan w:val="7"/>
          </w:tcPr>
          <w:p>
            <w:pPr>
              <w:ind w:left="440"/>
              <w:spacing w:after="0"/>
              <w:rPr>
                <w:sz w:val="20"/>
                <w:szCs w:val="20"/>
                <w:color w:val="auto"/>
              </w:rPr>
            </w:pPr>
            <w:r>
              <w:rPr>
                <w:rFonts w:ascii="Arial" w:cs="Arial" w:eastAsia="Arial" w:hAnsi="Arial"/>
                <w:sz w:val="17"/>
                <w:szCs w:val="17"/>
                <w:b w:val="1"/>
                <w:bCs w:val="1"/>
                <w:color w:val="auto"/>
              </w:rPr>
              <w:t>Shareholding Percentage</w:t>
            </w:r>
          </w:p>
        </w:tc>
        <w:tc>
          <w:tcPr>
            <w:tcW w:w="8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Arial" w:cs="Arial" w:eastAsia="Arial" w:hAnsi="Arial"/>
                <w:sz w:val="17"/>
                <w:szCs w:val="17"/>
                <w:b w:val="1"/>
                <w:bCs w:val="1"/>
                <w:color w:val="auto"/>
              </w:rPr>
              <w:t>Note</w:t>
            </w:r>
          </w:p>
        </w:tc>
        <w:tc>
          <w:tcPr>
            <w:tcW w:w="15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gridSpan w:val="2"/>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9"/>
        </w:trPr>
        <w:tc>
          <w:tcPr>
            <w:tcW w:w="600" w:type="dxa"/>
            <w:vAlign w:val="bottom"/>
            <w:tcBorders>
              <w:lef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gridSpan w:val="4"/>
          </w:tcPr>
          <w:p>
            <w:pPr>
              <w:jc w:val="right"/>
              <w:ind w:right="77"/>
              <w:spacing w:after="0"/>
              <w:rPr>
                <w:sz w:val="20"/>
                <w:szCs w:val="20"/>
                <w:color w:val="auto"/>
              </w:rPr>
            </w:pPr>
            <w:r>
              <w:rPr>
                <w:rFonts w:ascii="Arial" w:cs="Arial" w:eastAsia="Arial" w:hAnsi="Arial"/>
                <w:sz w:val="17"/>
                <w:szCs w:val="17"/>
                <w:color w:val="auto"/>
              </w:rPr>
              <w:t>CNY [</w:t>
            </w:r>
          </w:p>
        </w:tc>
        <w:tc>
          <w:tcPr>
            <w:tcW w:w="780" w:type="dxa"/>
            <w:vAlign w:val="bottom"/>
            <w:gridSpan w:val="2"/>
          </w:tcPr>
          <w:p>
            <w:pPr>
              <w:jc w:val="right"/>
              <w:ind w:right="97"/>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right w:val="single" w:sz="8" w:color="auto"/>
            </w:tcBorders>
            <w:gridSpan w:val="2"/>
          </w:tcPr>
          <w:p>
            <w:pPr>
              <w:spacing w:after="0"/>
              <w:rPr>
                <w:sz w:val="19"/>
                <w:szCs w:val="19"/>
                <w:color w:val="auto"/>
              </w:rPr>
            </w:pPr>
          </w:p>
        </w:tc>
        <w:tc>
          <w:tcPr>
            <w:tcW w:w="138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520" w:type="dxa"/>
            <w:vAlign w:val="bottom"/>
            <w:gridSpan w:val="3"/>
          </w:tcPr>
          <w:p>
            <w:pPr>
              <w:jc w:val="right"/>
              <w:ind w:right="100"/>
              <w:spacing w:after="0"/>
              <w:rPr>
                <w:sz w:val="20"/>
                <w:szCs w:val="20"/>
                <w:color w:val="auto"/>
              </w:rPr>
            </w:pPr>
            <w:r>
              <w:rPr>
                <w:rFonts w:ascii="Arial" w:cs="Arial" w:eastAsia="Arial" w:hAnsi="Arial"/>
                <w:sz w:val="17"/>
                <w:szCs w:val="17"/>
                <w:color w:val="auto"/>
              </w:rPr>
              <w:t>5 ]%</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4"/>
          </w:tcPr>
          <w:p>
            <w:pPr>
              <w:ind w:left="40"/>
              <w:spacing w:after="0"/>
              <w:rPr>
                <w:sz w:val="20"/>
                <w:szCs w:val="20"/>
                <w:color w:val="auto"/>
              </w:rPr>
            </w:pPr>
            <w:r>
              <w:rPr>
                <w:rFonts w:ascii="Arial" w:cs="Arial" w:eastAsia="Arial" w:hAnsi="Arial"/>
                <w:sz w:val="17"/>
                <w:szCs w:val="17"/>
                <w:color w:val="auto"/>
                <w:w w:val="91"/>
              </w:rPr>
              <w:t>100% of the equity being pledged to [</w:t>
            </w:r>
          </w:p>
        </w:tc>
        <w:tc>
          <w:tcPr>
            <w:tcW w:w="1560" w:type="dxa"/>
            <w:vAlign w:val="bottom"/>
            <w:tcBorders>
              <w:right w:val="single" w:sz="8" w:color="auto"/>
            </w:tcBorders>
          </w:tcPr>
          <w:p>
            <w:pPr>
              <w:jc w:val="right"/>
              <w:ind w:right="237"/>
              <w:spacing w:after="0"/>
              <w:rPr>
                <w:sz w:val="20"/>
                <w:szCs w:val="20"/>
                <w:color w:val="auto"/>
              </w:rPr>
            </w:pPr>
            <w:r>
              <w:rPr>
                <w:rFonts w:ascii="Arial" w:cs="Arial" w:eastAsia="Arial" w:hAnsi="Arial"/>
                <w:sz w:val="17"/>
                <w:szCs w:val="17"/>
                <w:color w:val="auto"/>
              </w:rPr>
              <w:t>Tianjin Studyvip</w:t>
            </w:r>
          </w:p>
        </w:tc>
        <w:tc>
          <w:tcPr>
            <w:tcW w:w="20" w:type="dxa"/>
            <w:vAlign w:val="bottom"/>
          </w:tcPr>
          <w:p>
            <w:pPr>
              <w:spacing w:after="0"/>
              <w:rPr>
                <w:sz w:val="19"/>
                <w:szCs w:val="19"/>
                <w:color w:val="auto"/>
              </w:rPr>
            </w:pPr>
          </w:p>
        </w:tc>
      </w:tr>
      <w:tr>
        <w:trPr>
          <w:trHeight w:val="212"/>
        </w:trPr>
        <w:tc>
          <w:tcPr>
            <w:tcW w:w="600" w:type="dxa"/>
            <w:vAlign w:val="bottom"/>
            <w:tcBorders>
              <w:lef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3"/>
          </w:tcPr>
          <w:p>
            <w:pPr>
              <w:ind w:left="780"/>
              <w:spacing w:after="0"/>
              <w:rPr>
                <w:sz w:val="20"/>
                <w:szCs w:val="20"/>
                <w:color w:val="auto"/>
              </w:rPr>
            </w:pPr>
            <w:r>
              <w:rPr>
                <w:rFonts w:ascii="Arial" w:cs="Arial" w:eastAsia="Arial" w:hAnsi="Arial"/>
                <w:sz w:val="17"/>
                <w:szCs w:val="17"/>
                <w:color w:val="auto"/>
                <w:w w:val="97"/>
              </w:rPr>
              <w:t>Education Co., Limited</w:t>
            </w:r>
          </w:p>
        </w:tc>
        <w:tc>
          <w:tcPr>
            <w:tcW w:w="1560" w:type="dxa"/>
            <w:vAlign w:val="bottom"/>
            <w:tcBorders>
              <w:right w:val="single" w:sz="8" w:color="auto"/>
            </w:tcBorders>
          </w:tcPr>
          <w:p>
            <w:pPr>
              <w:jc w:val="right"/>
              <w:ind w:right="1157"/>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994"/>
        </w:trPr>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263" w:name="page264"/>
    <w:bookmarkEnd w:id="263"/>
    <w:p>
      <w:pPr>
        <w:spacing w:after="0"/>
        <w:rPr>
          <w:sz w:val="20"/>
          <w:szCs w:val="20"/>
          <w:color w:val="auto"/>
        </w:rPr>
      </w:pPr>
      <w:r>
        <w:rPr>
          <w:rFonts w:ascii="Arial" w:cs="Arial" w:eastAsia="Arial" w:hAnsi="Arial"/>
          <w:sz w:val="17"/>
          <w:szCs w:val="17"/>
          <w:b w:val="1"/>
          <w:bCs w:val="1"/>
          <w:color w:val="auto"/>
        </w:rPr>
        <w:t>Annotation:</w:t>
      </w:r>
    </w:p>
    <w:p>
      <w:pPr>
        <w:spacing w:after="0" w:line="203" w:lineRule="exact"/>
        <w:rPr>
          <w:sz w:val="20"/>
          <w:szCs w:val="20"/>
          <w:color w:val="auto"/>
        </w:rPr>
      </w:pPr>
    </w:p>
    <w:p>
      <w:pPr>
        <w:jc w:val="both"/>
        <w:ind w:right="100"/>
        <w:spacing w:after="0" w:line="257" w:lineRule="auto"/>
        <w:tabs>
          <w:tab w:leader="none" w:pos="166"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This Shareholders’ Register is prepared as per the Articles of Association of Beijing Zhiziyuanshui Education Technology Co., Ltd. and the Equity Interest Pledge Agreement (the “Pledge Agreement”) was made as of the 28</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of December, 2020 and entered into by and among Beijing Zhiziyuanshui Education Technology Co., Ltd. and its shareholders and Tianjin Studyvip Education Co., Limited.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w:t>
      </w:r>
    </w:p>
    <w:p>
      <w:pPr>
        <w:spacing w:after="0" w:line="20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This Shareholders’ Register is made in ONE (1) original and ONE (1) true and same photocopy of such original. Such ONE (1) original is placed at Tianjin Shangde Online</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Education Technology Co., Ltd.; and such ONE (1) photocopy being sealed by Tianjin Shangde Online Education Technology Co., Ltd. is handed over to Tianjin Studyvip Education Co., Limited for custody.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Beijing Zhiziyuanshui Education Technology Co., Ltd. (Seal)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(Signature):/s/ LIU Chicheng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10160</wp:posOffset>
            </wp:positionV>
            <wp:extent cx="214376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2143760" cy="762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7"/>
          <w:szCs w:val="17"/>
          <w:b w:val="1"/>
          <w:bCs w:val="1"/>
          <w:color w:val="auto"/>
        </w:rPr>
        <w:t>Exhibit 4.32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Agreement</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Option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28</w:t>
      </w:r>
      <w:r>
        <w:rPr>
          <w:rFonts w:ascii="Arial" w:cs="Arial" w:eastAsia="Arial" w:hAnsi="Arial"/>
          <w:sz w:val="14"/>
          <w:szCs w:val="14"/>
          <w:color w:val="auto"/>
        </w:rPr>
        <w:t>th</w:t>
      </w:r>
      <w:r>
        <w:rPr>
          <w:rFonts w:ascii="Arial" w:cs="Arial" w:eastAsia="Arial" w:hAnsi="Arial"/>
          <w:sz w:val="17"/>
          <w:szCs w:val="17"/>
          <w:color w:val="auto"/>
        </w:rPr>
        <w:t xml:space="preserve"> day of December,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Beijing Zhiziyuanshui Education Technology Co., Ltd.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305, No. 4, No. 36 Yard, Laiguangying Chuangyuan Road, Chaoyang District, Beijing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Chicheng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580" w:hanging="580"/>
        <w:spacing w:after="0"/>
        <w:tabs>
          <w:tab w:leader="none" w:pos="5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Party A is a wholly foreign-owned enterprise incorporated and existing under the laws of the PRC.</w:t>
      </w:r>
    </w:p>
    <w:p>
      <w:pPr>
        <w:spacing w:after="0" w:line="203" w:lineRule="exact"/>
        <w:rPr>
          <w:rFonts w:ascii="Arial" w:cs="Arial" w:eastAsia="Arial" w:hAnsi="Arial"/>
          <w:sz w:val="17"/>
          <w:szCs w:val="17"/>
          <w:color w:val="auto"/>
        </w:rPr>
      </w:pPr>
    </w:p>
    <w:p>
      <w:pPr>
        <w:ind w:left="580" w:hanging="580"/>
        <w:spacing w:after="0"/>
        <w:tabs>
          <w:tab w:leader="none" w:pos="5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Party C is a limited liability company incorporated and existing under the laws of the PRC.</w:t>
      </w:r>
    </w:p>
    <w:p>
      <w:pPr>
        <w:spacing w:after="0" w:line="199" w:lineRule="exact"/>
        <w:rPr>
          <w:rFonts w:ascii="Arial" w:cs="Arial" w:eastAsia="Arial" w:hAnsi="Arial"/>
          <w:sz w:val="17"/>
          <w:szCs w:val="17"/>
          <w:color w:val="auto"/>
        </w:rPr>
      </w:pPr>
    </w:p>
    <w:p>
      <w:pPr>
        <w:ind w:left="580" w:hanging="580"/>
        <w:spacing w:after="0"/>
        <w:tabs>
          <w:tab w:leader="none" w:pos="5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Party B (“</w:t>
      </w:r>
      <w:r>
        <w:rPr>
          <w:rFonts w:ascii="Arial" w:cs="Arial" w:eastAsia="Arial" w:hAnsi="Arial"/>
          <w:sz w:val="17"/>
          <w:szCs w:val="17"/>
          <w:b w:val="1"/>
          <w:bCs w:val="1"/>
          <w:color w:val="auto"/>
        </w:rPr>
        <w:t>Grantors</w:t>
      </w:r>
      <w:r>
        <w:rPr>
          <w:rFonts w:ascii="Arial" w:cs="Arial" w:eastAsia="Arial" w:hAnsi="Arial"/>
          <w:sz w:val="17"/>
          <w:szCs w:val="17"/>
          <w:color w:val="auto"/>
        </w:rPr>
        <w:t>”) directly hold their interests in Party C, and the shareholdings are shown in Annex II hereto.</w:t>
      </w:r>
    </w:p>
    <w:p>
      <w:pPr>
        <w:spacing w:after="0" w:line="206" w:lineRule="exact"/>
        <w:rPr>
          <w:rFonts w:ascii="Arial" w:cs="Arial" w:eastAsia="Arial" w:hAnsi="Arial"/>
          <w:sz w:val="17"/>
          <w:szCs w:val="17"/>
          <w:color w:val="auto"/>
        </w:rPr>
      </w:pPr>
    </w:p>
    <w:p>
      <w:pPr>
        <w:ind w:left="580" w:hanging="580"/>
        <w:spacing w:after="0"/>
        <w:tabs>
          <w:tab w:leader="none" w:pos="5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Parties hereto signed the Equity Pledge Agreement on the 28</w:t>
      </w:r>
      <w:r>
        <w:rPr>
          <w:rFonts w:ascii="Arial" w:cs="Arial" w:eastAsia="Arial" w:hAnsi="Arial"/>
          <w:sz w:val="14"/>
          <w:szCs w:val="14"/>
          <w:color w:val="auto"/>
        </w:rPr>
        <w:t>th</w:t>
      </w:r>
      <w:r>
        <w:rPr>
          <w:rFonts w:ascii="Arial" w:cs="Arial" w:eastAsia="Arial" w:hAnsi="Arial"/>
          <w:sz w:val="17"/>
          <w:szCs w:val="17"/>
          <w:color w:val="auto"/>
        </w:rPr>
        <w:t xml:space="preserve"> day of December, 2020.</w:t>
      </w:r>
    </w:p>
    <w:p>
      <w:pPr>
        <w:spacing w:after="0" w:line="203" w:lineRule="exact"/>
        <w:rPr>
          <w:rFonts w:ascii="Arial" w:cs="Arial" w:eastAsia="Arial" w:hAnsi="Arial"/>
          <w:sz w:val="17"/>
          <w:szCs w:val="17"/>
          <w:color w:val="auto"/>
        </w:rPr>
      </w:pPr>
    </w:p>
    <w:p>
      <w:pPr>
        <w:ind w:left="580" w:hanging="580"/>
        <w:spacing w:after="0" w:line="264" w:lineRule="auto"/>
        <w:tabs>
          <w:tab w:leader="none" w:pos="5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Party B intends to grant Party A or its designated qualified subject an exclusive option to purchase all or part of the shares/assets of Party C held by any or all of Grantors at any time subject to compliance with the requirements of Chinese laws.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Therefore, this Agreement is entered into by and among the Parties as follows:</w:t>
      </w:r>
    </w:p>
    <w:p>
      <w:pPr>
        <w:spacing w:after="0" w:line="199" w:lineRule="exact"/>
        <w:rPr>
          <w:sz w:val="20"/>
          <w:szCs w:val="20"/>
          <w:color w:val="auto"/>
        </w:rPr>
      </w:pPr>
    </w:p>
    <w:p>
      <w:pPr>
        <w:ind w:left="580" w:hanging="580"/>
        <w:spacing w:after="0"/>
        <w:tabs>
          <w:tab w:leader="none" w:pos="580"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Granting of the Option</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5"/>
          <w:szCs w:val="15"/>
          <w:color w:val="auto"/>
        </w:rPr>
        <w:t>Granting</w:t>
      </w:r>
    </w:p>
    <w:p>
      <w:pPr>
        <w:spacing w:after="0" w:line="228" w:lineRule="exact"/>
        <w:rPr>
          <w:sz w:val="20"/>
          <w:szCs w:val="20"/>
          <w:color w:val="auto"/>
        </w:rPr>
      </w:pPr>
    </w:p>
    <w:p>
      <w:pPr>
        <w:jc w:val="both"/>
        <w:ind w:left="1180"/>
        <w:spacing w:after="0" w:line="304" w:lineRule="auto"/>
        <w:rPr>
          <w:sz w:val="20"/>
          <w:szCs w:val="20"/>
          <w:color w:val="auto"/>
        </w:rPr>
      </w:pPr>
      <w:r>
        <w:rPr>
          <w:rFonts w:ascii="Arial" w:cs="Arial" w:eastAsia="Arial" w:hAnsi="Arial"/>
          <w:sz w:val="15"/>
          <w:szCs w:val="15"/>
          <w:color w:val="auto"/>
        </w:rPr>
        <w:t>Grantors agree that, on the date of signing this Agreement, they shall irrevocably grant Party A an option to purchase in installments or lump sum all their shares in Party C by Party A or its designated third party in such way of exercise as stipulated in Section 2.2 hereof. Such option shall be granted to Party A after this Agreement is signed by the Parties hereto and shall be irrevocable within the term of this Agreement once granted.</w:t>
      </w:r>
    </w:p>
    <w:p>
      <w:pPr>
        <w:spacing w:after="0" w:line="14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3"/>
          <w:szCs w:val="13"/>
          <w:color w:val="auto"/>
        </w:rPr>
        <w:t>Term</w:t>
      </w:r>
    </w:p>
    <w:p>
      <w:pPr>
        <w:spacing w:after="0" w:line="228" w:lineRule="exact"/>
        <w:rPr>
          <w:sz w:val="20"/>
          <w:szCs w:val="20"/>
          <w:color w:val="auto"/>
        </w:rPr>
      </w:pPr>
    </w:p>
    <w:p>
      <w:pPr>
        <w:jc w:val="both"/>
        <w:ind w:left="1180"/>
        <w:spacing w:after="0" w:line="264" w:lineRule="auto"/>
        <w:rPr>
          <w:sz w:val="20"/>
          <w:szCs w:val="20"/>
          <w:color w:val="auto"/>
        </w:rPr>
      </w:pPr>
      <w:r>
        <w:rPr>
          <w:rFonts w:ascii="Arial" w:cs="Arial" w:eastAsia="Arial" w:hAnsi="Arial"/>
          <w:sz w:val="17"/>
          <w:szCs w:val="17"/>
          <w:color w:val="auto"/>
        </w:rPr>
        <w:t>This Agreement shall take effect after being signed and/or sealed by the parties hereto, and shall not be terminated until Party A acquires all shares of Party C held by Grantors subject to the applicable laws of the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165100</wp:posOffset>
            </wp:positionV>
            <wp:extent cx="7184390" cy="412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5" w:name="page266"/>
    <w:bookmarkEnd w:id="265"/>
    <w:p>
      <w:pPr>
        <w:ind w:left="580" w:hanging="580"/>
        <w:spacing w:after="0"/>
        <w:tabs>
          <w:tab w:leader="none" w:pos="580" w:val="left"/>
        </w:tabs>
        <w:numPr>
          <w:ilvl w:val="0"/>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Option and Delivery</w:t>
      </w:r>
    </w:p>
    <w:p>
      <w:pPr>
        <w:spacing w:after="0" w:line="203"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2.1</w:t>
      </w:r>
      <w:r>
        <w:rPr>
          <w:rFonts w:ascii="Arial" w:cs="Arial" w:eastAsia="Arial" w:hAnsi="Arial"/>
          <w:sz w:val="13"/>
          <w:szCs w:val="13"/>
          <w:b w:val="1"/>
          <w:bCs w:val="1"/>
          <w:color w:val="auto"/>
        </w:rPr>
        <w:t>Time of Exercise</w:t>
      </w:r>
    </w:p>
    <w:p>
      <w:pPr>
        <w:spacing w:after="0" w:line="232" w:lineRule="exact"/>
        <w:rPr>
          <w:sz w:val="20"/>
          <w:szCs w:val="20"/>
          <w:color w:val="auto"/>
        </w:rPr>
      </w:pPr>
    </w:p>
    <w:p>
      <w:pPr>
        <w:ind w:left="1760" w:right="120" w:hanging="584"/>
        <w:spacing w:after="0" w:line="264" w:lineRule="auto"/>
        <w:tabs>
          <w:tab w:leader="none" w:pos="174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Grantors unanimously agree that Party A may exercise the option in whole or in part at any time within the term of this Agreement subject to the applicable laws of the PRC;</w:t>
      </w:r>
    </w:p>
    <w:p>
      <w:pPr>
        <w:spacing w:after="0" w:line="168" w:lineRule="exact"/>
        <w:rPr>
          <w:sz w:val="20"/>
          <w:szCs w:val="20"/>
          <w:color w:val="auto"/>
        </w:rPr>
      </w:pPr>
    </w:p>
    <w:p>
      <w:pPr>
        <w:ind w:left="1760" w:right="180" w:hanging="584"/>
        <w:spacing w:after="0" w:line="264" w:lineRule="auto"/>
        <w:tabs>
          <w:tab w:leader="none" w:pos="17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Grantors unanimously agree that there shall not be any restrictions on number of Party A’s exercise unless Party A has acquired all shares of Party C; and</w:t>
      </w:r>
    </w:p>
    <w:p>
      <w:pPr>
        <w:spacing w:after="0" w:line="168" w:lineRule="exact"/>
        <w:rPr>
          <w:sz w:val="20"/>
          <w:szCs w:val="20"/>
          <w:color w:val="auto"/>
        </w:rPr>
      </w:pPr>
    </w:p>
    <w:p>
      <w:pPr>
        <w:ind w:left="1760" w:right="220" w:hanging="584"/>
        <w:spacing w:after="0" w:line="264" w:lineRule="auto"/>
        <w:tabs>
          <w:tab w:leader="none" w:pos="174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Grantors unanimously agree that Party A may designate any third party to exercise the option, provided that Party A shall inform in writing Grantors of such designation in advance.</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3"/>
          <w:szCs w:val="13"/>
          <w:color w:val="auto"/>
        </w:rPr>
        <w:t>Exercise Consideration</w:t>
      </w:r>
    </w:p>
    <w:p>
      <w:pPr>
        <w:spacing w:after="0" w:line="228" w:lineRule="exact"/>
        <w:rPr>
          <w:sz w:val="20"/>
          <w:szCs w:val="20"/>
          <w:color w:val="auto"/>
        </w:rPr>
      </w:pPr>
    </w:p>
    <w:p>
      <w:pPr>
        <w:jc w:val="both"/>
        <w:ind w:left="1180"/>
        <w:spacing w:after="0" w:line="264" w:lineRule="auto"/>
        <w:rPr>
          <w:sz w:val="20"/>
          <w:szCs w:val="20"/>
          <w:color w:val="auto"/>
        </w:rPr>
      </w:pPr>
      <w:r>
        <w:rPr>
          <w:rFonts w:ascii="Arial" w:cs="Arial" w:eastAsia="Arial" w:hAnsi="Arial"/>
          <w:sz w:val="17"/>
          <w:szCs w:val="17"/>
          <w:color w:val="auto"/>
        </w:rPr>
        <w:t>Unless otherwise agreed by the Parties hereto, Grantors unanimously agree that, when Party A or its designated third party exercises the option, all exercise</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considerations obtained by Grantors therefor shall be immediately given to Party A or its designated third party free of charge.</w:t>
      </w:r>
    </w:p>
    <w:p>
      <w:pPr>
        <w:spacing w:after="0" w:line="20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3"/>
          <w:szCs w:val="13"/>
          <w:color w:val="auto"/>
        </w:rPr>
        <w:t>Transfer</w:t>
      </w:r>
    </w:p>
    <w:p>
      <w:pPr>
        <w:spacing w:after="0" w:line="228" w:lineRule="exact"/>
        <w:rPr>
          <w:sz w:val="20"/>
          <w:szCs w:val="20"/>
          <w:color w:val="auto"/>
        </w:rPr>
      </w:pPr>
    </w:p>
    <w:p>
      <w:pPr>
        <w:jc w:val="both"/>
        <w:ind w:left="1180"/>
        <w:spacing w:after="0" w:line="304" w:lineRule="auto"/>
        <w:rPr>
          <w:sz w:val="20"/>
          <w:szCs w:val="20"/>
          <w:color w:val="auto"/>
        </w:rPr>
      </w:pPr>
      <w:r>
        <w:rPr>
          <w:rFonts w:ascii="Arial" w:cs="Arial" w:eastAsia="Arial" w:hAnsi="Arial"/>
          <w:sz w:val="15"/>
          <w:szCs w:val="15"/>
          <w:color w:val="auto"/>
        </w:rPr>
        <w:t>Grantors unanimously agree that Party A may transfer its option under this Agreement to any third party in whole or in part without separate approval of Grantors, and such transferees shall be deemed to be a party to this Agreement and may exercise the option according to this Agreement in respect of the share of the option acquired by it and shall enjoy and bear all of Party A’s rights and obligations under this Agreement.</w:t>
      </w:r>
    </w:p>
    <w:p>
      <w:pPr>
        <w:spacing w:after="0" w:line="14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Notice on Exercise</w:t>
      </w:r>
    </w:p>
    <w:p>
      <w:pPr>
        <w:spacing w:after="0" w:line="228" w:lineRule="exact"/>
        <w:rPr>
          <w:sz w:val="20"/>
          <w:szCs w:val="20"/>
          <w:color w:val="auto"/>
        </w:rPr>
      </w:pPr>
    </w:p>
    <w:p>
      <w:pPr>
        <w:ind w:left="1760" w:right="140" w:hanging="584"/>
        <w:spacing w:after="0" w:line="264" w:lineRule="auto"/>
        <w:tabs>
          <w:tab w:leader="none" w:pos="174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If Party A exercises the option hereunder, it shall notify in writing Grantors of such exercise Ten (10) working days prior to the delivery date (as defined below), and such notice shall specify the following terms:</w:t>
      </w:r>
    </w:p>
    <w:p>
      <w:pPr>
        <w:spacing w:after="0" w:line="164" w:lineRule="exact"/>
        <w:rPr>
          <w:sz w:val="20"/>
          <w:szCs w:val="20"/>
          <w:color w:val="auto"/>
        </w:rPr>
      </w:pPr>
    </w:p>
    <w:p>
      <w:pPr>
        <w:ind w:left="2140" w:right="160" w:hanging="421"/>
        <w:spacing w:after="0" w:line="269" w:lineRule="auto"/>
        <w:tabs>
          <w:tab w:leader="none" w:pos="21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Effective delivery date (“</w:t>
      </w:r>
      <w:r>
        <w:rPr>
          <w:rFonts w:ascii="Arial" w:cs="Arial" w:eastAsia="Arial" w:hAnsi="Arial"/>
          <w:sz w:val="17"/>
          <w:szCs w:val="17"/>
          <w:b w:val="1"/>
          <w:bCs w:val="1"/>
          <w:color w:val="auto"/>
        </w:rPr>
        <w:t>Delivery Date</w:t>
      </w:r>
      <w:r>
        <w:rPr>
          <w:rFonts w:ascii="Arial" w:cs="Arial" w:eastAsia="Arial" w:hAnsi="Arial"/>
          <w:sz w:val="17"/>
          <w:szCs w:val="17"/>
          <w:color w:val="auto"/>
        </w:rPr>
        <w:t>”) of the shares after the option is exercised, namely the date on which a formal application for share change registration is filed to the relevant administrative department of industry and commerce;</w:t>
      </w:r>
    </w:p>
    <w:p>
      <w:pPr>
        <w:spacing w:after="0" w:line="163" w:lineRule="exact"/>
        <w:rPr>
          <w:rFonts w:ascii="Arial" w:cs="Arial" w:eastAsia="Arial" w:hAnsi="Arial"/>
          <w:sz w:val="17"/>
          <w:szCs w:val="17"/>
          <w:color w:val="auto"/>
        </w:rPr>
      </w:pPr>
    </w:p>
    <w:p>
      <w:pPr>
        <w:ind w:left="2140" w:hanging="421"/>
        <w:spacing w:after="0"/>
        <w:tabs>
          <w:tab w:leader="none" w:pos="21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Name of the registered holder of the shares after the option is exercised;</w:t>
      </w:r>
    </w:p>
    <w:p>
      <w:pPr>
        <w:spacing w:after="0" w:line="228" w:lineRule="exact"/>
        <w:rPr>
          <w:rFonts w:ascii="Arial" w:cs="Arial" w:eastAsia="Arial" w:hAnsi="Arial"/>
          <w:sz w:val="17"/>
          <w:szCs w:val="17"/>
          <w:color w:val="auto"/>
        </w:rPr>
      </w:pPr>
    </w:p>
    <w:p>
      <w:pPr>
        <w:ind w:left="2140" w:hanging="421"/>
        <w:spacing w:after="0"/>
        <w:tabs>
          <w:tab w:leader="none" w:pos="21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Number of the shares purchased from Grantors;</w:t>
      </w:r>
    </w:p>
    <w:p>
      <w:pPr>
        <w:spacing w:after="0" w:line="228" w:lineRule="exact"/>
        <w:rPr>
          <w:rFonts w:ascii="Arial" w:cs="Arial" w:eastAsia="Arial" w:hAnsi="Arial"/>
          <w:sz w:val="17"/>
          <w:szCs w:val="17"/>
          <w:color w:val="auto"/>
        </w:rPr>
      </w:pPr>
    </w:p>
    <w:p>
      <w:pPr>
        <w:ind w:left="2140" w:hanging="421"/>
        <w:spacing w:after="0"/>
        <w:tabs>
          <w:tab w:leader="none" w:pos="21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Exercise consideration and its payment method; and</w:t>
      </w:r>
    </w:p>
    <w:p>
      <w:pPr>
        <w:spacing w:after="0" w:line="228" w:lineRule="exact"/>
        <w:rPr>
          <w:rFonts w:ascii="Arial" w:cs="Arial" w:eastAsia="Arial" w:hAnsi="Arial"/>
          <w:sz w:val="17"/>
          <w:szCs w:val="17"/>
          <w:color w:val="auto"/>
        </w:rPr>
      </w:pPr>
    </w:p>
    <w:p>
      <w:pPr>
        <w:ind w:left="2140" w:hanging="421"/>
        <w:spacing w:after="0"/>
        <w:tabs>
          <w:tab w:leader="none" w:pos="21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Power of attorney (if exercised by any third party on its behalf).</w:t>
      </w:r>
    </w:p>
    <w:p>
      <w:pPr>
        <w:spacing w:after="0" w:line="228" w:lineRule="exact"/>
        <w:rPr>
          <w:sz w:val="20"/>
          <w:szCs w:val="20"/>
          <w:color w:val="auto"/>
        </w:rPr>
      </w:pPr>
    </w:p>
    <w:p>
      <w:pPr>
        <w:ind w:left="1760" w:right="20" w:hanging="584"/>
        <w:spacing w:after="0" w:line="251" w:lineRule="auto"/>
        <w:tabs>
          <w:tab w:leader="none" w:pos="174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7"/>
          <w:szCs w:val="17"/>
          <w:color w:val="auto"/>
        </w:rPr>
        <w:t>The Parties hereto agree that Party A may designate at any time any third party to exercise the option and acquire and register the shares in the name of such third party. Grantors agree that, as long as Party A or its designated third party requests to exercise the option, Grantors shall, within Ten (10) working days after receipt of a notice on exercise, sign a share transfer agreement and other relevant documents according to the notice on exercise and this Agreement.</w:t>
      </w:r>
    </w:p>
    <w:p>
      <w:pPr>
        <w:spacing w:after="0" w:line="17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Transfer of Shares and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203200</wp:posOffset>
            </wp:positionV>
            <wp:extent cx="7184390" cy="412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6" w:name="page267"/>
    <w:bookmarkEnd w:id="266"/>
    <w:p>
      <w:pPr>
        <w:ind w:left="1760" w:right="620" w:hanging="584"/>
        <w:spacing w:after="0" w:line="264" w:lineRule="auto"/>
        <w:tabs>
          <w:tab w:leader="none" w:pos="174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Whenever Party A exercises the option, within Ten (10) working days from the date of receipt of a notice on exercise sent by Party A according to the Section 2.4 hereof;</w:t>
      </w:r>
    </w:p>
    <w:p>
      <w:pPr>
        <w:spacing w:after="0" w:line="168" w:lineRule="exact"/>
        <w:rPr>
          <w:sz w:val="20"/>
          <w:szCs w:val="20"/>
          <w:color w:val="auto"/>
        </w:rPr>
      </w:pPr>
    </w:p>
    <w:p>
      <w:pPr>
        <w:ind w:left="2140" w:right="140" w:hanging="421"/>
        <w:spacing w:after="0" w:line="264" w:lineRule="auto"/>
        <w:tabs>
          <w:tab w:leader="none" w:pos="214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Grantors shall cause Party C to promptly hold a shareholders’ meeting at which a shareholder resolution on the approval of the transfer of shares by Grantors to Party A and/or its designated third party shall be adopted; and</w:t>
      </w:r>
    </w:p>
    <w:p>
      <w:pPr>
        <w:spacing w:after="0" w:line="167" w:lineRule="exact"/>
        <w:rPr>
          <w:rFonts w:ascii="Arial" w:cs="Arial" w:eastAsia="Arial" w:hAnsi="Arial"/>
          <w:sz w:val="17"/>
          <w:szCs w:val="17"/>
          <w:color w:val="auto"/>
        </w:rPr>
      </w:pPr>
    </w:p>
    <w:p>
      <w:pPr>
        <w:ind w:left="2140" w:hanging="421"/>
        <w:spacing w:after="0" w:line="266" w:lineRule="auto"/>
        <w:tabs>
          <w:tab w:leader="none" w:pos="214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Grantors shall sign all necessary contracts, agreements or documents, obtain all necessary government approvals and consents and take all necessary actions to transfer to Party A and/or its designated third party the ownership and all ancillary rights of the shares designated by Party A to be purchased without any security interests (other than the pledge under the Equity Pledge Agreement) and shall cause Party A and/or its designated third party to become the registered owner of the purchased shares and deliver to Party A and/or its designated third party the latest business license, articles of association, approval certificates (if applicable) and other relevant documents that are issued or registered by the relevant Chinese authorities, and such documents shall reflect any changes of Party C’s shares, directors and legal representative and other matters (if applicable).</w:t>
      </w:r>
    </w:p>
    <w:p>
      <w:pPr>
        <w:spacing w:after="0" w:line="163" w:lineRule="exact"/>
        <w:rPr>
          <w:rFonts w:ascii="Arial" w:cs="Arial" w:eastAsia="Arial" w:hAnsi="Arial"/>
          <w:sz w:val="16"/>
          <w:szCs w:val="16"/>
          <w:color w:val="auto"/>
        </w:rPr>
      </w:pPr>
    </w:p>
    <w:p>
      <w:pPr>
        <w:ind w:left="580" w:hanging="580"/>
        <w:spacing w:after="0"/>
        <w:tabs>
          <w:tab w:leader="none" w:pos="580"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and Undertakings</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3.1</w:t>
      </w:r>
      <w:r>
        <w:rPr>
          <w:rFonts w:ascii="Arial" w:cs="Arial" w:eastAsia="Arial" w:hAnsi="Arial"/>
          <w:sz w:val="15"/>
          <w:szCs w:val="15"/>
          <w:color w:val="auto"/>
        </w:rPr>
        <w:t>Grantors jointly and severally make the following representations and warranties:</w:t>
      </w:r>
    </w:p>
    <w:p>
      <w:pPr>
        <w:spacing w:after="0" w:line="228" w:lineRule="exact"/>
        <w:rPr>
          <w:sz w:val="20"/>
          <w:szCs w:val="20"/>
          <w:color w:val="auto"/>
        </w:rPr>
      </w:pPr>
    </w:p>
    <w:p>
      <w:pPr>
        <w:ind w:left="1760" w:right="120" w:hanging="584"/>
        <w:spacing w:after="0" w:line="332" w:lineRule="auto"/>
        <w:tabs>
          <w:tab w:leader="none" w:pos="174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On the date of signing this Agreement and each Delivery Date, Grantors have the powers, rights, authority and ability to sign and deliver this Agreement and any share transfer agreement (hereinafter referred to as “</w:t>
      </w:r>
      <w:r>
        <w:rPr>
          <w:rFonts w:ascii="Arial" w:cs="Arial" w:eastAsia="Arial" w:hAnsi="Arial"/>
          <w:sz w:val="15"/>
          <w:szCs w:val="15"/>
          <w:b w:val="1"/>
          <w:bCs w:val="1"/>
          <w:color w:val="auto"/>
        </w:rPr>
        <w:t>Transfer Agreement</w:t>
      </w:r>
      <w:r>
        <w:rPr>
          <w:rFonts w:ascii="Arial" w:cs="Arial" w:eastAsia="Arial" w:hAnsi="Arial"/>
          <w:sz w:val="15"/>
          <w:szCs w:val="15"/>
          <w:color w:val="auto"/>
        </w:rPr>
        <w:t>”) signed by them as a party</w:t>
      </w:r>
    </w:p>
    <w:p>
      <w:pPr>
        <w:spacing w:after="0" w:line="121" w:lineRule="exact"/>
        <w:rPr>
          <w:sz w:val="20"/>
          <w:szCs w:val="20"/>
          <w:color w:val="auto"/>
        </w:rPr>
      </w:pPr>
    </w:p>
    <w:p>
      <w:pPr>
        <w:jc w:val="both"/>
        <w:ind w:left="1720"/>
        <w:spacing w:after="0" w:line="254" w:lineRule="auto"/>
        <w:rPr>
          <w:sz w:val="20"/>
          <w:szCs w:val="20"/>
          <w:color w:val="auto"/>
        </w:rPr>
      </w:pPr>
      <w:r>
        <w:rPr>
          <w:rFonts w:ascii="Arial" w:cs="Arial" w:eastAsia="Arial" w:hAnsi="Arial"/>
          <w:sz w:val="17"/>
          <w:szCs w:val="17"/>
          <w:color w:val="auto"/>
        </w:rPr>
        <w:t>thereto for each share transfer according to this Agreement and to perform their obligations under this Agreement and any Transfer Agreement. This Agreement and any Transfer Agreement to which they are a party shall constitute their legal, effective and binding obligations that are enforceable on them according to the provisions thereof once signed.</w:t>
      </w:r>
    </w:p>
    <w:p>
      <w:pPr>
        <w:spacing w:after="0" w:line="177" w:lineRule="exact"/>
        <w:rPr>
          <w:sz w:val="20"/>
          <w:szCs w:val="20"/>
          <w:color w:val="auto"/>
        </w:rPr>
      </w:pPr>
    </w:p>
    <w:p>
      <w:pPr>
        <w:ind w:left="1760" w:right="60" w:hanging="584"/>
        <w:spacing w:after="0" w:line="288" w:lineRule="auto"/>
        <w:tabs>
          <w:tab w:leader="none" w:pos="174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No signing and delivery of this Agreement or any Transfer Agreement and no performance by Grantors of their obligations under this Agreement or any Transfer Agreement shall (i) result in any violation of any relevant laws and regulations of the PRC; (ii) conflict with the articles of association or other organizational documents; (iii) result in any breach of any binding agreements or instruments to which they are a party or constitute any breach of contract under any binding agreements or instruments to which they are a party; (iv) result in any breach of any licenses or approvals issued by the relevant competent government departments to them; or (v) cause any licenses or approvals issued by the relevant competent government departments to them to be suspended or revoked or attached with any conditions;</w:t>
      </w:r>
    </w:p>
    <w:p>
      <w:pPr>
        <w:spacing w:after="0" w:line="153" w:lineRule="exact"/>
        <w:rPr>
          <w:sz w:val="20"/>
          <w:szCs w:val="20"/>
          <w:color w:val="auto"/>
        </w:rPr>
      </w:pPr>
    </w:p>
    <w:p>
      <w:pPr>
        <w:ind w:left="1760" w:right="780" w:hanging="584"/>
        <w:spacing w:after="0" w:line="264" w:lineRule="auto"/>
        <w:tabs>
          <w:tab w:leader="none" w:pos="174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There is no suit, arbitration or other judicial or administrative proceedings that are pending or may have a substantial impact on the performance of this Agreement or any Transfer Agreement.</w:t>
      </w:r>
    </w:p>
    <w:p>
      <w:pPr>
        <w:spacing w:after="0" w:line="168" w:lineRule="exact"/>
        <w:rPr>
          <w:sz w:val="20"/>
          <w:szCs w:val="20"/>
          <w:color w:val="auto"/>
        </w:rPr>
      </w:pPr>
    </w:p>
    <w:p>
      <w:pPr>
        <w:ind w:left="1760" w:right="40" w:hanging="584"/>
        <w:spacing w:after="0" w:line="264" w:lineRule="auto"/>
        <w:tabs>
          <w:tab w:leader="none" w:pos="174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7"/>
          <w:szCs w:val="17"/>
          <w:color w:val="auto"/>
        </w:rPr>
        <w:t>Grantors have good and marketable ownership of all shares of Party C. There are no pledges, liabilities and other third party encumbrances on Party C’s shares held by Grantors other than the pledge under the Equity Pledge Agreement.</w:t>
      </w:r>
    </w:p>
    <w:p>
      <w:pPr>
        <w:spacing w:after="0" w:line="168"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3"/>
          <w:szCs w:val="13"/>
          <w:color w:val="auto"/>
        </w:rPr>
        <w:t>Grantors have disclosed to Party A all circumstances that may have a material adverse effect on the performance of this Agreement.</w:t>
      </w:r>
    </w:p>
    <w:p>
      <w:pPr>
        <w:spacing w:after="0" w:line="228" w:lineRule="exact"/>
        <w:rPr>
          <w:sz w:val="20"/>
          <w:szCs w:val="20"/>
          <w:color w:val="auto"/>
        </w:rPr>
      </w:pPr>
    </w:p>
    <w:p>
      <w:pPr>
        <w:ind w:left="1760" w:right="160" w:hanging="584"/>
        <w:spacing w:after="0" w:line="264" w:lineRule="auto"/>
        <w:tabs>
          <w:tab w:leader="none" w:pos="174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The option granted by Grantors to Party A is exclusive, and Grantors have not otherwise granted any third party any other options or similar rights before or when granting the option to Party A.</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Grantors jointly and severally make the following undertakings: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203200</wp:posOffset>
            </wp:positionV>
            <wp:extent cx="7184390" cy="412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7" w:name="page268"/>
    <w:bookmarkEnd w:id="267"/>
    <w:p>
      <w:pPr>
        <w:jc w:val="both"/>
        <w:ind w:left="640" w:right="20" w:hanging="584"/>
        <w:spacing w:after="0" w:line="278" w:lineRule="auto"/>
        <w:tabs>
          <w:tab w:leader="none" w:pos="62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6"/>
          <w:szCs w:val="16"/>
          <w:color w:val="auto"/>
        </w:rPr>
        <w:t>Within the term of this Agreement, Grantors will not create any pledges, liabilities and any other third party encumbrances on Party C’s shares held by them other than those under the Equity Pledge Agreement separately signed by Grantors and Party A nor transfer, donate or otherwise dispose of any shares held by them to any third party other than the Parties to this Agreement.</w:t>
      </w:r>
    </w:p>
    <w:p>
      <w:pPr>
        <w:spacing w:after="0" w:line="158"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Within the term of this Agreement, Grantors will not otherwise grant any other options or similar rights to any third party.</w:t>
      </w:r>
    </w:p>
    <w:p>
      <w:pPr>
        <w:spacing w:after="0" w:line="228" w:lineRule="exact"/>
        <w:rPr>
          <w:sz w:val="20"/>
          <w:szCs w:val="20"/>
          <w:color w:val="auto"/>
        </w:rPr>
      </w:pPr>
    </w:p>
    <w:p>
      <w:pPr>
        <w:jc w:val="both"/>
        <w:ind w:left="640" w:right="220" w:hanging="584"/>
        <w:spacing w:after="0" w:line="304" w:lineRule="auto"/>
        <w:tabs>
          <w:tab w:leader="none" w:pos="62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5"/>
          <w:szCs w:val="15"/>
          <w:color w:val="auto"/>
        </w:rPr>
        <w:t>Within the term of this Agreement, Grantors will cause and ensure that the business carried out by Party C conforms to the applicable laws, regulations, rules and other management regulations and documents issued by the competent government departments and that there are no breach of the above provisions that results in a major adverse impact on the business or assets of the company.</w:t>
      </w:r>
    </w:p>
    <w:p>
      <w:pPr>
        <w:spacing w:after="0" w:line="142" w:lineRule="exact"/>
        <w:rPr>
          <w:sz w:val="20"/>
          <w:szCs w:val="20"/>
          <w:color w:val="auto"/>
        </w:rPr>
      </w:pPr>
    </w:p>
    <w:p>
      <w:pPr>
        <w:ind w:left="640" w:right="80" w:hanging="584"/>
        <w:spacing w:after="0" w:line="251" w:lineRule="auto"/>
        <w:tabs>
          <w:tab w:leader="none" w:pos="62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Grantors will maintain the valid existence of Party C in accordance with good financial and commercial standards and practices, operate their business and deal with affairs in a prudent and efficient manner, use their best efforts to obtain and maintain any permits, licenses and approvals necessary for Party C’s continuous operation and ensure that any such permits, licenses and approvals will not be canceled, withdrawn or declared null and void.</w:t>
      </w:r>
    </w:p>
    <w:p>
      <w:pPr>
        <w:spacing w:after="0" w:line="179"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5"/>
          <w:szCs w:val="15"/>
          <w:color w:val="auto"/>
        </w:rPr>
        <w:t>Grantors will provide Party A with all Party C’s operation and financial information at Party A’s request.</w:t>
      </w:r>
    </w:p>
    <w:p>
      <w:pPr>
        <w:spacing w:after="0" w:line="228" w:lineRule="exact"/>
        <w:rPr>
          <w:sz w:val="20"/>
          <w:szCs w:val="20"/>
          <w:color w:val="auto"/>
        </w:rPr>
      </w:pPr>
    </w:p>
    <w:p>
      <w:pPr>
        <w:ind w:left="640" w:right="380" w:hanging="584"/>
        <w:spacing w:after="0" w:line="264" w:lineRule="auto"/>
        <w:tabs>
          <w:tab w:leader="none" w:pos="620"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7"/>
          <w:szCs w:val="17"/>
          <w:color w:val="auto"/>
        </w:rPr>
        <w:t>Except as expressly agreed by Party A (or its designated third party) in writing, before Party A (or its designated third party) exercises its option and obtains all of Party C’s shares or assets, Grantors shall not jointly or individually:</w:t>
      </w:r>
    </w:p>
    <w:p>
      <w:pPr>
        <w:spacing w:after="0" w:line="168" w:lineRule="exact"/>
        <w:rPr>
          <w:sz w:val="20"/>
          <w:szCs w:val="20"/>
          <w:color w:val="auto"/>
        </w:rPr>
      </w:pPr>
    </w:p>
    <w:p>
      <w:pPr>
        <w:ind w:left="1020" w:hanging="421"/>
        <w:spacing w:after="0"/>
        <w:tabs>
          <w:tab w:leader="none" w:pos="10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Supplement or modify Party C’s constitutional documents in any form, and such supplements, alterations or modifications will</w:t>
      </w:r>
    </w:p>
    <w:p>
      <w:pPr>
        <w:spacing w:after="0" w:line="240" w:lineRule="exact"/>
        <w:rPr>
          <w:sz w:val="20"/>
          <w:szCs w:val="20"/>
          <w:color w:val="auto"/>
        </w:rPr>
      </w:pPr>
    </w:p>
    <w:p>
      <w:pPr>
        <w:jc w:val="both"/>
        <w:ind w:left="1040"/>
        <w:spacing w:after="0" w:line="254" w:lineRule="auto"/>
        <w:rPr>
          <w:sz w:val="20"/>
          <w:szCs w:val="20"/>
          <w:color w:val="auto"/>
        </w:rPr>
      </w:pPr>
      <w:r>
        <w:rPr>
          <w:rFonts w:ascii="Arial" w:cs="Arial" w:eastAsia="Arial" w:hAnsi="Arial"/>
          <w:sz w:val="17"/>
          <w:szCs w:val="17"/>
          <w:color w:val="auto"/>
        </w:rPr>
        <w:t>have substantial adverse effects on any assets, responsibilities, operation, shares and other legal rights of Party C (excluding the same proportion of capital increase for the purpose of meeting the legal requirements) or may affect the effective performance of this Agreement and other agreements signed by Party A, Grantors and Party C.</w:t>
      </w:r>
    </w:p>
    <w:p>
      <w:pPr>
        <w:spacing w:after="0" w:line="177" w:lineRule="exact"/>
        <w:rPr>
          <w:sz w:val="20"/>
          <w:szCs w:val="20"/>
          <w:color w:val="auto"/>
        </w:rPr>
      </w:pPr>
    </w:p>
    <w:p>
      <w:pPr>
        <w:ind w:left="1020" w:hanging="421"/>
        <w:spacing w:after="0" w:line="254" w:lineRule="auto"/>
        <w:tabs>
          <w:tab w:leader="none" w:pos="10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Cause Party C to enter into or do any transactions or acts (excluding those that arise in the ordinary or daily business course or have been disclosed to and agreed by Party A expressly in writing in advance) that will have materially adverse effects on its assets, liabilities, operation, shares and other legitimate rights.</w:t>
      </w:r>
    </w:p>
    <w:p>
      <w:pPr>
        <w:spacing w:after="0" w:line="176" w:lineRule="exact"/>
        <w:rPr>
          <w:rFonts w:ascii="Arial" w:cs="Arial" w:eastAsia="Arial" w:hAnsi="Arial"/>
          <w:sz w:val="17"/>
          <w:szCs w:val="17"/>
          <w:color w:val="auto"/>
        </w:rPr>
      </w:pPr>
    </w:p>
    <w:p>
      <w:pPr>
        <w:ind w:left="1020" w:hanging="421"/>
        <w:spacing w:after="0"/>
        <w:tabs>
          <w:tab w:leader="none" w:pos="10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Cause any resolutions on the distribution of dividends or bonuses to be adopted at the shareholders’ meeting of Party C.</w:t>
      </w:r>
    </w:p>
    <w:p>
      <w:pPr>
        <w:spacing w:after="0" w:line="228" w:lineRule="exact"/>
        <w:rPr>
          <w:rFonts w:ascii="Arial" w:cs="Arial" w:eastAsia="Arial" w:hAnsi="Arial"/>
          <w:sz w:val="17"/>
          <w:szCs w:val="17"/>
          <w:color w:val="auto"/>
        </w:rPr>
      </w:pPr>
    </w:p>
    <w:p>
      <w:pPr>
        <w:ind w:left="1020" w:right="180" w:hanging="421"/>
        <w:spacing w:after="0" w:line="264" w:lineRule="auto"/>
        <w:tabs>
          <w:tab w:leader="none" w:pos="10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Sell, assign, mortgage or otherwise dispose of any legal or beneficial interests on Party C’s shares or allow to create any other security interests thereon at any time from the effective date of this Agreement.</w:t>
      </w:r>
    </w:p>
    <w:p>
      <w:pPr>
        <w:spacing w:after="0" w:line="167" w:lineRule="exact"/>
        <w:rPr>
          <w:rFonts w:ascii="Arial" w:cs="Arial" w:eastAsia="Arial" w:hAnsi="Arial"/>
          <w:sz w:val="17"/>
          <w:szCs w:val="17"/>
          <w:color w:val="auto"/>
        </w:rPr>
      </w:pPr>
    </w:p>
    <w:p>
      <w:pPr>
        <w:ind w:left="1020" w:hanging="421"/>
        <w:spacing w:after="0" w:line="278" w:lineRule="auto"/>
        <w:tabs>
          <w:tab w:leader="none" w:pos="10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Cause any sales, transfer, mortgage or otherwise disposal of any legal or beneficial interests on shares to be approved at the shareholders’ meeting of Party C, or allow to create any other security interests thereon, or adopt a shareholder resolution on the increase or decrease of Party C’s registered capital or otherwise modify the structure of the registered capital.</w:t>
      </w:r>
    </w:p>
    <w:p>
      <w:pPr>
        <w:spacing w:after="0" w:line="157" w:lineRule="exact"/>
        <w:rPr>
          <w:rFonts w:ascii="Arial" w:cs="Arial" w:eastAsia="Arial" w:hAnsi="Arial"/>
          <w:sz w:val="16"/>
          <w:szCs w:val="16"/>
          <w:color w:val="auto"/>
        </w:rPr>
      </w:pPr>
    </w:p>
    <w:p>
      <w:pPr>
        <w:ind w:left="1020" w:right="640" w:hanging="421"/>
        <w:spacing w:after="0" w:line="332" w:lineRule="auto"/>
        <w:tabs>
          <w:tab w:leader="none" w:pos="1020" w:val="left"/>
        </w:tabs>
        <w:numPr>
          <w:ilvl w:val="0"/>
          <w:numId w:val="276"/>
        </w:numPr>
        <w:rPr>
          <w:rFonts w:ascii="Arial" w:cs="Arial" w:eastAsia="Arial" w:hAnsi="Arial"/>
          <w:sz w:val="15"/>
          <w:szCs w:val="15"/>
          <w:color w:val="auto"/>
        </w:rPr>
      </w:pPr>
      <w:r>
        <w:rPr>
          <w:rFonts w:ascii="Arial" w:cs="Arial" w:eastAsia="Arial" w:hAnsi="Arial"/>
          <w:sz w:val="15"/>
          <w:szCs w:val="15"/>
          <w:color w:val="auto"/>
        </w:rPr>
        <w:t>Cause any merger or association of Party C with any persons to be approved at the shareholders’ meeting of Party C, or acquire investments from any persons or make an investment to any persons, or carry out reorganization in any other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135255</wp:posOffset>
            </wp:positionV>
            <wp:extent cx="7184390" cy="412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268" w:name="page269"/>
    <w:bookmarkEnd w:id="268"/>
    <w:p>
      <w:pPr>
        <w:ind w:left="1560" w:hanging="421"/>
        <w:spacing w:after="0"/>
        <w:tabs>
          <w:tab w:leader="none" w:pos="156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Cause any winding-up, liquidation or dissolution and other matters of Party C to be approved at the shareholders’ meeting of Party C.</w:t>
      </w:r>
    </w:p>
    <w:p>
      <w:pPr>
        <w:spacing w:after="0" w:line="251"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6"/>
          <w:szCs w:val="16"/>
          <w:color w:val="auto"/>
        </w:rPr>
        <w:t>3.2.7   Before Party A (or its designated third party) exercises its option and obtains all of Party C’s shares or assets, Grantors undertake that:</w:t>
      </w:r>
    </w:p>
    <w:p>
      <w:pPr>
        <w:spacing w:after="0" w:line="240" w:lineRule="exact"/>
        <w:rPr>
          <w:sz w:val="20"/>
          <w:szCs w:val="20"/>
          <w:color w:val="auto"/>
        </w:rPr>
      </w:pPr>
    </w:p>
    <w:p>
      <w:pPr>
        <w:ind w:left="1560" w:right="400" w:hanging="421"/>
        <w:spacing w:after="0" w:line="296" w:lineRule="auto"/>
        <w:tabs>
          <w:tab w:leader="none" w:pos="15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They will forthwith notify Party A in writing of any suits, arbitration or administrative proceedings that have arisen or may arise in relation to the shares owned by them or of any circumstances that may have any adverse effect on such shares.</w:t>
      </w:r>
    </w:p>
    <w:p>
      <w:pPr>
        <w:spacing w:after="0" w:line="144" w:lineRule="exact"/>
        <w:rPr>
          <w:rFonts w:ascii="Arial" w:cs="Arial" w:eastAsia="Arial" w:hAnsi="Arial"/>
          <w:sz w:val="16"/>
          <w:szCs w:val="16"/>
          <w:color w:val="auto"/>
        </w:rPr>
      </w:pPr>
    </w:p>
    <w:p>
      <w:pPr>
        <w:ind w:left="1560" w:hanging="421"/>
        <w:spacing w:after="0" w:line="248" w:lineRule="auto"/>
        <w:tabs>
          <w:tab w:leader="none" w:pos="15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They will cause the shareholders’ meeting of Party C to examine and approve the transfer of the purchased shares as specified in this Agreement, cause Party C to amend its articles of association so as to reflect any changes of Party C’s shares after Party A and/or its designated third party exercises the option according to this Agreement and other changes as set forth herein and immediately apply to the authorities of the PRC for approval (if required by law) and change of registration, and cause the shareholders’ meeting of Party C to approve and appoint such persons as designated by Party A and/or its designated third party as Party C’s director and legal representative (if necessary).</w:t>
      </w:r>
    </w:p>
    <w:p>
      <w:pPr>
        <w:spacing w:after="0" w:line="183" w:lineRule="exact"/>
        <w:rPr>
          <w:rFonts w:ascii="Arial" w:cs="Arial" w:eastAsia="Arial" w:hAnsi="Arial"/>
          <w:sz w:val="17"/>
          <w:szCs w:val="17"/>
          <w:color w:val="auto"/>
        </w:rPr>
      </w:pPr>
    </w:p>
    <w:p>
      <w:pPr>
        <w:jc w:val="both"/>
        <w:ind w:left="1560" w:hanging="421"/>
        <w:spacing w:after="0" w:line="278" w:lineRule="auto"/>
        <w:tabs>
          <w:tab w:leader="none" w:pos="15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Before Party A and/or its designated third party exercises the option, they will enter into all necessary or appropriate documents, take all necessary or appropriate actions and make all necessary or appropriate accusations or make all necessary and appropriate defenses for all claims in order to maintain their lawful and effective ownership over the appropriate shares.</w:t>
      </w:r>
    </w:p>
    <w:p>
      <w:pPr>
        <w:spacing w:after="0" w:line="157" w:lineRule="exact"/>
        <w:rPr>
          <w:rFonts w:ascii="Arial" w:cs="Arial" w:eastAsia="Arial" w:hAnsi="Arial"/>
          <w:sz w:val="16"/>
          <w:szCs w:val="16"/>
          <w:color w:val="auto"/>
        </w:rPr>
      </w:pPr>
    </w:p>
    <w:p>
      <w:pPr>
        <w:ind w:left="1560" w:right="60" w:hanging="421"/>
        <w:spacing w:after="0" w:line="254" w:lineRule="auto"/>
        <w:tabs>
          <w:tab w:leader="none" w:pos="15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Upon Party A’s request at any time, they will unconditionally transfer their shares to Party A and/or its designated third party at the time specified by Party A and waive their right of first refusal against any other shareholders of Party C in respect of the above transfer of shares by them according to Party A’s instructions.</w:t>
      </w:r>
    </w:p>
    <w:p>
      <w:pPr>
        <w:spacing w:after="0" w:line="176" w:lineRule="exact"/>
        <w:rPr>
          <w:rFonts w:ascii="Arial" w:cs="Arial" w:eastAsia="Arial" w:hAnsi="Arial"/>
          <w:sz w:val="17"/>
          <w:szCs w:val="17"/>
          <w:color w:val="auto"/>
        </w:rPr>
      </w:pPr>
    </w:p>
    <w:p>
      <w:pPr>
        <w:ind w:left="1560" w:hanging="421"/>
        <w:spacing w:after="0"/>
        <w:tabs>
          <w:tab w:leader="none" w:pos="15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They will strictly abide by this Agreement and other agreements jointly or severally entered into by and between Grantors and</w:t>
      </w:r>
    </w:p>
    <w:p>
      <w:pPr>
        <w:spacing w:after="0" w:line="240" w:lineRule="exact"/>
        <w:rPr>
          <w:sz w:val="20"/>
          <w:szCs w:val="20"/>
          <w:color w:val="auto"/>
        </w:rPr>
      </w:pPr>
    </w:p>
    <w:p>
      <w:pPr>
        <w:ind w:left="1580"/>
        <w:spacing w:after="0" w:line="264" w:lineRule="auto"/>
        <w:rPr>
          <w:sz w:val="20"/>
          <w:szCs w:val="20"/>
          <w:color w:val="auto"/>
        </w:rPr>
      </w:pPr>
      <w:r>
        <w:rPr>
          <w:rFonts w:ascii="Arial" w:cs="Arial" w:eastAsia="Arial" w:hAnsi="Arial"/>
          <w:sz w:val="17"/>
          <w:szCs w:val="17"/>
          <w:color w:val="auto"/>
        </w:rPr>
        <w:t>Party A, conscientiously perform their obligations under such agreements and will not do any acts/omissions that are likely to affect the validity and enforceability of such agreements.</w:t>
      </w:r>
    </w:p>
    <w:p>
      <w:pPr>
        <w:spacing w:after="0" w:line="16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Party C and Grantors hereby jointly and severally make the following representations, warranties and undertakings to Party A:</w:t>
      </w:r>
    </w:p>
    <w:p>
      <w:pPr>
        <w:spacing w:after="0" w:line="228" w:lineRule="exact"/>
        <w:rPr>
          <w:sz w:val="20"/>
          <w:szCs w:val="20"/>
          <w:color w:val="auto"/>
        </w:rPr>
      </w:pPr>
    </w:p>
    <w:p>
      <w:pPr>
        <w:ind w:left="1180" w:right="300" w:hanging="584"/>
        <w:spacing w:after="0" w:line="264" w:lineRule="auto"/>
        <w:tabs>
          <w:tab w:leader="none" w:pos="116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Except as agreed by Party A (or its designated third party) in writing, before Party A (or its designated third party) exercises its option and obtains all of Party C’s shares or interests, Party C shall not:</w:t>
      </w:r>
    </w:p>
    <w:p>
      <w:pPr>
        <w:spacing w:after="0" w:line="168" w:lineRule="exact"/>
        <w:rPr>
          <w:sz w:val="20"/>
          <w:szCs w:val="20"/>
          <w:color w:val="auto"/>
        </w:rPr>
      </w:pPr>
    </w:p>
    <w:p>
      <w:pPr>
        <w:ind w:left="1560" w:right="100" w:hanging="421"/>
        <w:spacing w:after="0" w:line="254" w:lineRule="auto"/>
        <w:tabs>
          <w:tab w:leader="none" w:pos="156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Sell, assign, mortgage or otherwise dispose of any assets, business or incomes or allow to create any other security interests thereon (excluding those that arise in the ordinary or daily business course or have been disclosed to and agreed by Party A expressly in writing in advance);</w:t>
      </w:r>
    </w:p>
    <w:p>
      <w:pPr>
        <w:spacing w:after="0" w:line="176" w:lineRule="exact"/>
        <w:rPr>
          <w:rFonts w:ascii="Arial" w:cs="Arial" w:eastAsia="Arial" w:hAnsi="Arial"/>
          <w:sz w:val="17"/>
          <w:szCs w:val="17"/>
          <w:color w:val="auto"/>
        </w:rPr>
      </w:pPr>
    </w:p>
    <w:p>
      <w:pPr>
        <w:jc w:val="both"/>
        <w:ind w:left="1560" w:right="200" w:hanging="421"/>
        <w:spacing w:after="0" w:line="254" w:lineRule="auto"/>
        <w:tabs>
          <w:tab w:leader="none" w:pos="156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Enter into any transactions (excluding those that arise in the ordinary or daily business course or have been disclosed to and agreed by Party A expressly in writing in advance) that will or may have materially adverse effects on its assets, liabilities, operation, shares and other legitimate rights;</w:t>
      </w:r>
    </w:p>
    <w:p>
      <w:pPr>
        <w:spacing w:after="0" w:line="176" w:lineRule="exact"/>
        <w:rPr>
          <w:rFonts w:ascii="Arial" w:cs="Arial" w:eastAsia="Arial" w:hAnsi="Arial"/>
          <w:sz w:val="17"/>
          <w:szCs w:val="17"/>
          <w:color w:val="auto"/>
        </w:rPr>
      </w:pPr>
    </w:p>
    <w:p>
      <w:pPr>
        <w:ind w:left="1560" w:hanging="421"/>
        <w:spacing w:after="0"/>
        <w:tabs>
          <w:tab w:leader="none" w:pos="156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Distribute any dividends or bonuses to each shareholder in any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203200</wp:posOffset>
            </wp:positionV>
            <wp:extent cx="7184390" cy="412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660"/>
          </w:cols>
          <w:pgMar w:left="900" w:top="127" w:right="339" w:bottom="1440" w:gutter="0" w:footer="0" w:header="0"/>
        </w:sectPr>
      </w:pPr>
    </w:p>
    <w:bookmarkStart w:id="269" w:name="page270"/>
    <w:bookmarkEnd w:id="269"/>
    <w:p>
      <w:pPr>
        <w:ind w:left="2140" w:right="280" w:hanging="421"/>
        <w:spacing w:after="0" w:line="332" w:lineRule="auto"/>
        <w:tabs>
          <w:tab w:leader="none" w:pos="214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Incur, inherit, guarantee or allow the existence of any debts other than (i) any debts that arise in the ordinary or daily business course rather than by borrowing, and (ii) any debts that have been disclosed to and agreed by Party A expressly in writing in advance;</w:t>
      </w:r>
    </w:p>
    <w:p>
      <w:pPr>
        <w:spacing w:after="0" w:line="120" w:lineRule="exact"/>
        <w:rPr>
          <w:rFonts w:ascii="Arial" w:cs="Arial" w:eastAsia="Arial" w:hAnsi="Arial"/>
          <w:sz w:val="15"/>
          <w:szCs w:val="15"/>
          <w:color w:val="auto"/>
        </w:rPr>
      </w:pPr>
    </w:p>
    <w:p>
      <w:pPr>
        <w:ind w:left="2140" w:hanging="421"/>
        <w:spacing w:after="0" w:line="264" w:lineRule="auto"/>
        <w:tabs>
          <w:tab w:leader="none" w:pos="214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Sign any significant contracts other than those signed in the ordinary business course (for the purpose of this Article, if the amount under a contract is more than RMB50,000, such contract shall be deemed to be a significant contract);</w:t>
      </w:r>
    </w:p>
    <w:p>
      <w:pPr>
        <w:spacing w:after="0" w:line="167" w:lineRule="exact"/>
        <w:rPr>
          <w:rFonts w:ascii="Arial" w:cs="Arial" w:eastAsia="Arial" w:hAnsi="Arial"/>
          <w:sz w:val="17"/>
          <w:szCs w:val="17"/>
          <w:color w:val="auto"/>
        </w:rPr>
      </w:pPr>
    </w:p>
    <w:p>
      <w:pPr>
        <w:ind w:left="2140" w:hanging="421"/>
        <w:spacing w:after="0"/>
        <w:tabs>
          <w:tab w:leader="none" w:pos="214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Adopt a shareholder resolution on the increase or decrease of</w:t>
      </w:r>
    </w:p>
    <w:p>
      <w:pPr>
        <w:spacing w:after="0" w:line="228"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Party C’s registered capital or otherwise modify the structure of the registered capital;</w:t>
      </w:r>
    </w:p>
    <w:p>
      <w:pPr>
        <w:spacing w:after="0" w:line="203" w:lineRule="exact"/>
        <w:rPr>
          <w:sz w:val="20"/>
          <w:szCs w:val="20"/>
          <w:color w:val="auto"/>
        </w:rPr>
      </w:pPr>
    </w:p>
    <w:p>
      <w:pPr>
        <w:ind w:left="2140" w:hanging="421"/>
        <w:spacing w:after="0"/>
        <w:tabs>
          <w:tab w:leader="none" w:pos="21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Supplement, modify or amend Party C’s articles of association in any form; and</w:t>
      </w:r>
    </w:p>
    <w:p>
      <w:pPr>
        <w:spacing w:after="0" w:line="228" w:lineRule="exact"/>
        <w:rPr>
          <w:rFonts w:ascii="Arial" w:cs="Arial" w:eastAsia="Arial" w:hAnsi="Arial"/>
          <w:sz w:val="17"/>
          <w:szCs w:val="17"/>
          <w:color w:val="auto"/>
        </w:rPr>
      </w:pPr>
    </w:p>
    <w:p>
      <w:pPr>
        <w:ind w:left="2140" w:hanging="421"/>
        <w:spacing w:after="0"/>
        <w:tabs>
          <w:tab w:leader="none" w:pos="214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Enter into merge or association with any persons, or acquire investments from any persons or make an investment to any persons.</w:t>
      </w:r>
    </w:p>
    <w:p>
      <w:pPr>
        <w:spacing w:after="0" w:line="251" w:lineRule="exact"/>
        <w:rPr>
          <w:sz w:val="20"/>
          <w:szCs w:val="20"/>
          <w:color w:val="auto"/>
        </w:rPr>
      </w:pPr>
    </w:p>
    <w:p>
      <w:pPr>
        <w:ind w:left="1760" w:right="40" w:hanging="584"/>
        <w:spacing w:after="0" w:line="296" w:lineRule="auto"/>
        <w:tabs>
          <w:tab w:leader="none" w:pos="174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6"/>
          <w:szCs w:val="16"/>
          <w:color w:val="auto"/>
        </w:rPr>
        <w:t>On the date of signing this Agreement and each Delivery Date, Party C has no outstanding debts other than (i) any debts arising in its ordinary business course; and (ii) any debts that have been disclosed to and agreed by Party A expressly in writing in advance.</w:t>
      </w:r>
    </w:p>
    <w:p>
      <w:pPr>
        <w:spacing w:after="0" w:line="144" w:lineRule="exact"/>
        <w:rPr>
          <w:sz w:val="20"/>
          <w:szCs w:val="20"/>
          <w:color w:val="auto"/>
        </w:rPr>
      </w:pPr>
    </w:p>
    <w:p>
      <w:pPr>
        <w:jc w:val="both"/>
        <w:ind w:left="1760" w:right="200" w:hanging="584"/>
        <w:spacing w:after="0" w:line="278" w:lineRule="auto"/>
        <w:tabs>
          <w:tab w:leader="none" w:pos="174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6"/>
          <w:szCs w:val="16"/>
          <w:color w:val="auto"/>
        </w:rPr>
        <w:t>On the date of signing this Agreement and each Delivery Date, there is no suit, arbitration or administrative proceedings that are ongoing or may occur in relation to the shares, Party C’s assets or that may have a substantial impact on the performance of this Agreement by Party C other than those that have been disclosed to and agreed by Party A expressly in writing in advance.</w:t>
      </w:r>
    </w:p>
    <w:p>
      <w:pPr>
        <w:spacing w:after="0" w:line="158"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3"/>
          <w:szCs w:val="13"/>
          <w:color w:val="auto"/>
        </w:rPr>
        <w:t>Party C has not been declared bankrupt.</w:t>
      </w:r>
    </w:p>
    <w:p>
      <w:pPr>
        <w:spacing w:after="0" w:line="228" w:lineRule="exact"/>
        <w:rPr>
          <w:sz w:val="20"/>
          <w:szCs w:val="20"/>
          <w:color w:val="auto"/>
        </w:rPr>
      </w:pPr>
    </w:p>
    <w:p>
      <w:pPr>
        <w:ind w:left="1760" w:right="60" w:hanging="584"/>
        <w:spacing w:after="0" w:line="291" w:lineRule="auto"/>
        <w:tabs>
          <w:tab w:leader="none" w:pos="1740" w:val="left"/>
        </w:tabs>
        <w:rPr>
          <w:sz w:val="20"/>
          <w:szCs w:val="20"/>
          <w:color w:val="auto"/>
        </w:rPr>
      </w:pPr>
      <w:r>
        <w:rPr>
          <w:rFonts w:ascii="Arial" w:cs="Arial" w:eastAsia="Arial" w:hAnsi="Arial"/>
          <w:sz w:val="17"/>
          <w:szCs w:val="17"/>
          <w:color w:val="auto"/>
        </w:rPr>
        <w:t>3.3.5</w:t>
      </w:r>
      <w:r>
        <w:rPr>
          <w:sz w:val="20"/>
          <w:szCs w:val="20"/>
          <w:color w:val="auto"/>
        </w:rPr>
        <w:tab/>
      </w:r>
      <w:r>
        <w:rPr>
          <w:rFonts w:ascii="Arial" w:cs="Arial" w:eastAsia="Arial" w:hAnsi="Arial"/>
          <w:sz w:val="15"/>
          <w:szCs w:val="15"/>
          <w:color w:val="auto"/>
        </w:rPr>
        <w:t>Party C hereby undertakes to Party A that it will comply with all laws and regulations applicable to the acquisition of shares and assets within the term of this Agreement, bear all expenses arising out of the share transfer and handle all procedures necessary for enabling Party A or its designated third party to become Party C’s shareholder, including but not limited to assisting Party A in obtaining any necessary approvals in relation to the share transfer from the approval authorities, submitting the relevant applications required for handling the share change registration to the competent administrative department of industry and commerce and amending the register of shareholders.</w:t>
      </w:r>
    </w:p>
    <w:p>
      <w:pPr>
        <w:spacing w:after="0" w:line="146" w:lineRule="exact"/>
        <w:rPr>
          <w:sz w:val="20"/>
          <w:szCs w:val="20"/>
          <w:color w:val="auto"/>
        </w:rPr>
      </w:pPr>
    </w:p>
    <w:p>
      <w:pPr>
        <w:ind w:left="580" w:hanging="580"/>
        <w:spacing w:after="0"/>
        <w:tabs>
          <w:tab w:leader="none" w:pos="580"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All taxes arising out of the performance of this Agreement shall be borne by Party C.</w:t>
      </w:r>
    </w:p>
    <w:p>
      <w:pPr>
        <w:spacing w:after="0" w:line="199" w:lineRule="exact"/>
        <w:rPr>
          <w:rFonts w:ascii="Arial" w:cs="Arial" w:eastAsia="Arial" w:hAnsi="Arial"/>
          <w:sz w:val="17"/>
          <w:szCs w:val="17"/>
          <w:b w:val="1"/>
          <w:bCs w:val="1"/>
          <w:color w:val="auto"/>
        </w:rPr>
      </w:pPr>
    </w:p>
    <w:p>
      <w:pPr>
        <w:ind w:left="580" w:hanging="580"/>
        <w:spacing w:after="0"/>
        <w:tabs>
          <w:tab w:leader="none" w:pos="580"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Breach of Contract</w:t>
      </w:r>
    </w:p>
    <w:p>
      <w:pPr>
        <w:spacing w:after="0" w:line="207" w:lineRule="exact"/>
        <w:rPr>
          <w:rFonts w:ascii="Arial" w:cs="Arial" w:eastAsia="Arial" w:hAnsi="Arial"/>
          <w:sz w:val="17"/>
          <w:szCs w:val="17"/>
          <w:b w:val="1"/>
          <w:bCs w:val="1"/>
          <w:color w:val="auto"/>
        </w:rPr>
      </w:pPr>
    </w:p>
    <w:p>
      <w:pPr>
        <w:jc w:val="both"/>
        <w:ind w:left="58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Except as otherwise stipulated herein, if any Party fails to fully perform or suspend the performance of its obligations under this Agreement and fails to correct such breach within Thirty (30) days from the date of receipt of a notice from the other Party, or any of its representations and warranties under this Agreement are untrue, inaccurate or misleading, such Party shall be deemed to have breached this Agreement.</w:t>
      </w:r>
    </w:p>
    <w:p>
      <w:pPr>
        <w:spacing w:after="0" w:line="176" w:lineRule="exact"/>
        <w:rPr>
          <w:rFonts w:ascii="Arial" w:cs="Arial" w:eastAsia="Arial" w:hAnsi="Arial"/>
          <w:sz w:val="17"/>
          <w:szCs w:val="17"/>
          <w:b w:val="1"/>
          <w:bCs w:val="1"/>
          <w:color w:val="auto"/>
        </w:rPr>
      </w:pPr>
    </w:p>
    <w:p>
      <w:pPr>
        <w:jc w:val="both"/>
        <w:ind w:left="580"/>
        <w:spacing w:after="0" w:line="295" w:lineRule="auto"/>
        <w:rPr>
          <w:rFonts w:ascii="Arial" w:cs="Arial" w:eastAsia="Arial" w:hAnsi="Arial"/>
          <w:sz w:val="17"/>
          <w:szCs w:val="17"/>
          <w:b w:val="1"/>
          <w:bCs w:val="1"/>
          <w:color w:val="auto"/>
        </w:rPr>
      </w:pPr>
      <w:r>
        <w:rPr>
          <w:rFonts w:ascii="Arial" w:cs="Arial" w:eastAsia="Arial" w:hAnsi="Arial"/>
          <w:sz w:val="15"/>
          <w:szCs w:val="15"/>
          <w:color w:val="auto"/>
        </w:rPr>
        <w:t>If any Party hereto breaches this Agreement or any of its representations and warranties under this Agreement, the non-breaching Party may notify in writing the breaching Party of correcting such breach within Ten (10) days from the date of receipt of a notice, taking appropriate measures to effectively and promptly avoid any damage and continuing to perform this Agreement. If any damage occurs, the breaching Party shall make compensation to the non-breaching Party so that the non-breaching Party can obtain all rights and interests that should have been obtained by it in the case of the performance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153035</wp:posOffset>
            </wp:positionV>
            <wp:extent cx="7184390" cy="412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0" w:name="page271"/>
    <w:bookmarkEnd w:id="270"/>
    <w:p>
      <w:pPr>
        <w:ind w:left="580"/>
        <w:spacing w:after="0" w:line="264" w:lineRule="auto"/>
        <w:rPr>
          <w:sz w:val="20"/>
          <w:szCs w:val="20"/>
          <w:color w:val="auto"/>
        </w:rPr>
      </w:pPr>
      <w:r>
        <w:rPr>
          <w:rFonts w:ascii="Arial" w:cs="Arial" w:eastAsia="Arial" w:hAnsi="Arial"/>
          <w:sz w:val="17"/>
          <w:szCs w:val="17"/>
          <w:color w:val="auto"/>
        </w:rPr>
        <w:t>If all of the Parties breach this Agreement, they shall determine the respective amount of compensation payable by them according to the degree of their respective breach.</w:t>
      </w:r>
    </w:p>
    <w:p>
      <w:pPr>
        <w:spacing w:after="0" w:line="164" w:lineRule="exact"/>
        <w:rPr>
          <w:sz w:val="20"/>
          <w:szCs w:val="20"/>
          <w:color w:val="auto"/>
        </w:rPr>
      </w:pPr>
    </w:p>
    <w:p>
      <w:pPr>
        <w:ind w:left="580" w:hanging="580"/>
        <w:spacing w:after="0"/>
        <w:tabs>
          <w:tab w:leader="none" w:pos="580"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6.1</w:t>
      </w:r>
      <w:r>
        <w:rPr>
          <w:rFonts w:ascii="Arial" w:cs="Arial" w:eastAsia="Arial" w:hAnsi="Arial"/>
          <w:sz w:val="15"/>
          <w:szCs w:val="15"/>
          <w:color w:val="auto"/>
        </w:rPr>
        <w:t>Governing Law</w:t>
      </w:r>
    </w:p>
    <w:p>
      <w:pPr>
        <w:spacing w:after="0" w:line="22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20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color w:val="auto"/>
        </w:rPr>
        <w:t>Arbitration</w:t>
      </w:r>
    </w:p>
    <w:p>
      <w:pPr>
        <w:spacing w:after="0" w:line="228" w:lineRule="exact"/>
        <w:rPr>
          <w:sz w:val="20"/>
          <w:szCs w:val="20"/>
          <w:color w:val="auto"/>
        </w:rPr>
      </w:pPr>
    </w:p>
    <w:p>
      <w:pPr>
        <w:jc w:val="both"/>
        <w:ind w:left="1180"/>
        <w:spacing w:after="0" w:line="254" w:lineRule="auto"/>
        <w:rPr>
          <w:sz w:val="20"/>
          <w:szCs w:val="20"/>
          <w:color w:val="auto"/>
        </w:rPr>
      </w:pPr>
      <w:r>
        <w:rPr>
          <w:rFonts w:ascii="Arial" w:cs="Arial" w:eastAsia="Arial" w:hAnsi="Arial"/>
          <w:sz w:val="17"/>
          <w:szCs w:val="17"/>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w:t>
      </w:r>
    </w:p>
    <w:p>
      <w:pPr>
        <w:spacing w:after="0" w:line="177" w:lineRule="exact"/>
        <w:rPr>
          <w:sz w:val="20"/>
          <w:szCs w:val="20"/>
          <w:color w:val="auto"/>
        </w:rPr>
      </w:pPr>
    </w:p>
    <w:p>
      <w:pPr>
        <w:jc w:val="both"/>
        <w:ind w:left="1180"/>
        <w:spacing w:after="0" w:line="254" w:lineRule="auto"/>
        <w:rPr>
          <w:sz w:val="20"/>
          <w:szCs w:val="20"/>
          <w:color w:val="auto"/>
        </w:rPr>
      </w:pPr>
      <w:r>
        <w:rPr>
          <w:rFonts w:ascii="Arial" w:cs="Arial" w:eastAsia="Arial" w:hAnsi="Arial"/>
          <w:sz w:val="17"/>
          <w:szCs w:val="17"/>
          <w:color w:val="auto"/>
        </w:rPr>
        <w:t>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17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Continue to Perform</w:t>
      </w:r>
    </w:p>
    <w:p>
      <w:pPr>
        <w:spacing w:after="0" w:line="228" w:lineRule="exact"/>
        <w:rPr>
          <w:sz w:val="20"/>
          <w:szCs w:val="20"/>
          <w:color w:val="auto"/>
        </w:rPr>
      </w:pPr>
    </w:p>
    <w:p>
      <w:pPr>
        <w:jc w:val="both"/>
        <w:ind w:left="1180"/>
        <w:spacing w:after="0" w:line="264" w:lineRule="auto"/>
        <w:rPr>
          <w:sz w:val="20"/>
          <w:szCs w:val="20"/>
          <w:color w:val="auto"/>
        </w:rPr>
      </w:pP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64" w:lineRule="exact"/>
        <w:rPr>
          <w:sz w:val="20"/>
          <w:szCs w:val="20"/>
          <w:color w:val="auto"/>
        </w:rPr>
      </w:pPr>
    </w:p>
    <w:p>
      <w:pPr>
        <w:ind w:left="580" w:hanging="580"/>
        <w:spacing w:after="0"/>
        <w:tabs>
          <w:tab w:leader="none" w:pos="580"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7.1</w:t>
      </w:r>
      <w:r>
        <w:rPr>
          <w:rFonts w:ascii="Arial" w:cs="Arial" w:eastAsia="Arial" w:hAnsi="Arial"/>
          <w:sz w:val="15"/>
          <w:szCs w:val="15"/>
          <w:color w:val="auto"/>
        </w:rPr>
        <w:t>Confidential Information</w:t>
      </w:r>
    </w:p>
    <w:p>
      <w:pPr>
        <w:spacing w:after="0" w:line="228" w:lineRule="exact"/>
        <w:rPr>
          <w:sz w:val="20"/>
          <w:szCs w:val="20"/>
          <w:color w:val="auto"/>
        </w:rPr>
      </w:pPr>
    </w:p>
    <w:p>
      <w:pPr>
        <w:ind w:left="1180" w:firstLine="1"/>
        <w:spacing w:after="0" w:line="332" w:lineRule="auto"/>
        <w:rPr>
          <w:sz w:val="20"/>
          <w:szCs w:val="20"/>
          <w:color w:val="auto"/>
        </w:rPr>
      </w:pPr>
      <w:r>
        <w:rPr>
          <w:rFonts w:ascii="Arial" w:cs="Arial" w:eastAsia="Arial" w:hAnsi="Arial"/>
          <w:sz w:val="15"/>
          <w:szCs w:val="15"/>
          <w:color w:val="auto"/>
        </w:rPr>
        <w:t>Any contents of this Agreement and its annexes shall be kept confidential. Any Party shall not disclose to any third party any information contained herein (unless they obtain the prior written consent of the Parties hereto). These provisions hereof shall survive the termination of this Agreement.</w:t>
      </w:r>
    </w:p>
    <w:p>
      <w:pPr>
        <w:spacing w:after="0" w:line="121"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3"/>
          <w:szCs w:val="13"/>
          <w:color w:val="auto"/>
        </w:rPr>
        <w:t>Exceptions</w:t>
      </w:r>
    </w:p>
    <w:p>
      <w:pPr>
        <w:spacing w:after="0" w:line="228" w:lineRule="exact"/>
        <w:rPr>
          <w:sz w:val="20"/>
          <w:szCs w:val="20"/>
          <w:color w:val="auto"/>
        </w:rPr>
      </w:pPr>
    </w:p>
    <w:p>
      <w:pPr>
        <w:ind w:left="1180"/>
        <w:spacing w:after="0" w:line="264" w:lineRule="auto"/>
        <w:rPr>
          <w:sz w:val="20"/>
          <w:szCs w:val="20"/>
          <w:color w:val="auto"/>
        </w:rPr>
      </w:pPr>
      <w:r>
        <w:rPr>
          <w:rFonts w:ascii="Arial" w:cs="Arial" w:eastAsia="Arial" w:hAnsi="Arial"/>
          <w:sz w:val="17"/>
          <w:szCs w:val="17"/>
          <w:color w:val="auto"/>
        </w:rPr>
        <w:t>Any disclosure of any confidential information required by the laws, court judgments, arbitral awards and decisions of governmental authorities shall not constitute a breach of the Section 7.1 above.</w:t>
      </w:r>
    </w:p>
    <w:p>
      <w:pPr>
        <w:spacing w:after="0" w:line="164" w:lineRule="exact"/>
        <w:rPr>
          <w:sz w:val="20"/>
          <w:szCs w:val="20"/>
          <w:color w:val="auto"/>
        </w:rPr>
      </w:pPr>
    </w:p>
    <w:p>
      <w:pPr>
        <w:ind w:left="580" w:hanging="580"/>
        <w:spacing w:after="0"/>
        <w:tabs>
          <w:tab w:leader="none" w:pos="580" w:val="left"/>
        </w:tabs>
        <w:numPr>
          <w:ilvl w:val="0"/>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8.1</w:t>
      </w:r>
      <w:r>
        <w:rPr>
          <w:rFonts w:ascii="Arial" w:cs="Arial" w:eastAsia="Arial" w:hAnsi="Arial"/>
          <w:sz w:val="15"/>
          <w:szCs w:val="15"/>
          <w:color w:val="auto"/>
        </w:rPr>
        <w:t>Entire Agreement</w:t>
      </w:r>
    </w:p>
    <w:p>
      <w:pPr>
        <w:spacing w:after="0" w:line="228" w:lineRule="exact"/>
        <w:rPr>
          <w:sz w:val="20"/>
          <w:szCs w:val="20"/>
          <w:color w:val="auto"/>
        </w:rPr>
      </w:pPr>
    </w:p>
    <w:p>
      <w:pPr>
        <w:jc w:val="both"/>
        <w:ind w:left="1180"/>
        <w:spacing w:after="0" w:line="304" w:lineRule="auto"/>
        <w:rPr>
          <w:sz w:val="20"/>
          <w:szCs w:val="20"/>
          <w:color w:val="auto"/>
        </w:rPr>
      </w:pPr>
      <w:r>
        <w:rPr>
          <w:rFonts w:ascii="Arial" w:cs="Arial" w:eastAsia="Arial" w:hAnsi="Arial"/>
          <w:sz w:val="15"/>
          <w:szCs w:val="15"/>
          <w:color w:val="auto"/>
        </w:rPr>
        <w:t>This Agreement shall constitute an entire agreement among the Parties hereto in respect of the matters involved herein. In case of any discrepancies between any prior discussions, negotiations and agreement and this Agreement, this Agreement shall prevail. This Agreement shall be amended by the Parties in writing. Any annexes hereto shall form an integral part of this Agreement and be equally authentic as this Agreement.</w:t>
      </w:r>
    </w:p>
    <w:p>
      <w:pPr>
        <w:spacing w:after="0" w:line="14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3"/>
          <w:szCs w:val="13"/>
          <w:color w:val="auto"/>
        </w:rPr>
        <w:t>Notices</w:t>
      </w:r>
    </w:p>
    <w:p>
      <w:pPr>
        <w:spacing w:after="0" w:line="228" w:lineRule="exact"/>
        <w:rPr>
          <w:sz w:val="20"/>
          <w:szCs w:val="20"/>
          <w:color w:val="auto"/>
        </w:rPr>
      </w:pPr>
    </w:p>
    <w:p>
      <w:pPr>
        <w:ind w:left="1760" w:right="160" w:hanging="584"/>
        <w:spacing w:after="0" w:line="254" w:lineRule="auto"/>
        <w:tabs>
          <w:tab w:leader="none" w:pos="1740" w:val="left"/>
        </w:tabs>
        <w:rPr>
          <w:sz w:val="20"/>
          <w:szCs w:val="20"/>
          <w:color w:val="auto"/>
        </w:rPr>
      </w:pPr>
      <w:r>
        <w:rPr>
          <w:rFonts w:ascii="Arial" w:cs="Arial" w:eastAsia="Arial" w:hAnsi="Arial"/>
          <w:sz w:val="17"/>
          <w:szCs w:val="17"/>
          <w:color w:val="auto"/>
        </w:rPr>
        <w:t>8.2.1</w:t>
      </w:r>
      <w:r>
        <w:rPr>
          <w:sz w:val="20"/>
          <w:szCs w:val="20"/>
          <w:color w:val="auto"/>
        </w:rPr>
        <w:tab/>
      </w: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170815</wp:posOffset>
            </wp:positionV>
            <wp:extent cx="7184390" cy="412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1" w:name="page272"/>
    <w:bookmarkEnd w:id="271"/>
    <w:p>
      <w:pPr>
        <w:ind w:left="1140"/>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Address: [•]</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Tel.: [•]</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Attn.: [•]</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Party B and Party C</w:t>
      </w:r>
      <w:r>
        <w:rPr>
          <w:rFonts w:ascii="Arial" w:cs="Arial" w:eastAsia="Arial" w:hAnsi="Arial"/>
          <w:sz w:val="17"/>
          <w:szCs w:val="17"/>
          <w:color w:val="auto"/>
        </w:rPr>
        <w:t>:</w:t>
      </w:r>
    </w:p>
    <w:p>
      <w:pPr>
        <w:spacing w:after="0" w:line="20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Address: [•]</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Tel.: [•]</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Attn.: [•]</w:t>
      </w:r>
    </w:p>
    <w:p>
      <w:pPr>
        <w:spacing w:after="0" w:line="191"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3"/>
          <w:szCs w:val="13"/>
          <w:color w:val="auto"/>
        </w:rPr>
        <w:t>All notices and correspondences shall be deemed to have been delivered under the following circumstances:</w:t>
      </w:r>
    </w:p>
    <w:p>
      <w:pPr>
        <w:spacing w:after="0" w:line="228" w:lineRule="exact"/>
        <w:rPr>
          <w:sz w:val="20"/>
          <w:szCs w:val="20"/>
          <w:color w:val="auto"/>
        </w:rPr>
      </w:pPr>
    </w:p>
    <w:p>
      <w:pPr>
        <w:jc w:val="both"/>
        <w:ind w:left="1560" w:right="80" w:hanging="421"/>
        <w:spacing w:after="0" w:line="254" w:lineRule="auto"/>
        <w:tabs>
          <w:tab w:leader="none" w:pos="15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If delivered by fax, the date displayed on the fax machine shall be the date of delivery, provided that, when such notices sent by fax are delivered later than 5:00 p.m. or on any non-working day in the place of delivery, the working day following the date displayed shall be the date of delivery;</w:t>
      </w:r>
    </w:p>
    <w:p>
      <w:pPr>
        <w:spacing w:after="0" w:line="176" w:lineRule="exact"/>
        <w:rPr>
          <w:rFonts w:ascii="Arial" w:cs="Arial" w:eastAsia="Arial" w:hAnsi="Arial"/>
          <w:sz w:val="17"/>
          <w:szCs w:val="17"/>
          <w:color w:val="auto"/>
        </w:rPr>
      </w:pPr>
    </w:p>
    <w:p>
      <w:pPr>
        <w:ind w:left="1560" w:right="220" w:hanging="421"/>
        <w:spacing w:after="0" w:line="264" w:lineRule="auto"/>
        <w:tabs>
          <w:tab w:leader="none" w:pos="15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If delivered by personal delivery (including by express mail service), the date of signing for such notices shall be the date of delivery; and</w:t>
      </w:r>
    </w:p>
    <w:p>
      <w:pPr>
        <w:spacing w:after="0" w:line="167" w:lineRule="exact"/>
        <w:rPr>
          <w:rFonts w:ascii="Arial" w:cs="Arial" w:eastAsia="Arial" w:hAnsi="Arial"/>
          <w:sz w:val="17"/>
          <w:szCs w:val="17"/>
          <w:color w:val="auto"/>
        </w:rPr>
      </w:pPr>
    </w:p>
    <w:p>
      <w:pPr>
        <w:ind w:left="1560" w:right="20" w:hanging="421"/>
        <w:spacing w:after="0" w:line="265" w:lineRule="auto"/>
        <w:tabs>
          <w:tab w:leader="none" w:pos="15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If delivered by registered mail, the Fifteenth (15</w:t>
      </w:r>
      <w:r>
        <w:rPr>
          <w:rFonts w:ascii="Arial" w:cs="Arial" w:eastAsia="Arial" w:hAnsi="Arial"/>
          <w:sz w:val="14"/>
          <w:szCs w:val="14"/>
          <w:color w:val="auto"/>
        </w:rPr>
        <w:t>th</w:t>
      </w:r>
      <w:r>
        <w:rPr>
          <w:rFonts w:ascii="Arial" w:cs="Arial" w:eastAsia="Arial" w:hAnsi="Arial"/>
          <w:sz w:val="17"/>
          <w:szCs w:val="17"/>
          <w:color w:val="auto"/>
        </w:rPr>
        <w:t>) day following the date shown in the return receipt of such registered mail shall be the date of delivery.</w:t>
      </w:r>
    </w:p>
    <w:p>
      <w:pPr>
        <w:spacing w:after="0" w:line="167"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8.2.3</w:t>
      </w:r>
      <w:r>
        <w:rPr>
          <w:sz w:val="20"/>
          <w:szCs w:val="20"/>
          <w:color w:val="auto"/>
        </w:rPr>
        <w:tab/>
      </w:r>
      <w:r>
        <w:rPr>
          <w:rFonts w:ascii="Arial" w:cs="Arial" w:eastAsia="Arial" w:hAnsi="Arial"/>
          <w:sz w:val="15"/>
          <w:szCs w:val="15"/>
          <w:color w:val="auto"/>
        </w:rPr>
        <w:t>Binding force</w:t>
      </w: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This Agreement shall be binding on the Parties hereto.</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3"/>
          <w:szCs w:val="13"/>
          <w:color w:val="auto"/>
        </w:rPr>
        <w:t>Language</w:t>
      </w:r>
    </w:p>
    <w:p>
      <w:pPr>
        <w:spacing w:after="0" w:line="22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Agreement is written in Chinese and is executed in four (4) copies.</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color w:val="auto"/>
        </w:rPr>
        <w:t>Day and Working Day</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Day</w:t>
      </w:r>
      <w:r>
        <w:rPr>
          <w:rFonts w:ascii="Arial" w:cs="Arial" w:eastAsia="Arial" w:hAnsi="Arial"/>
          <w:sz w:val="17"/>
          <w:szCs w:val="17"/>
          <w:color w:val="auto"/>
        </w:rPr>
        <w:t>” referred to herein shall be the calendar day; “</w:t>
      </w:r>
      <w:r>
        <w:rPr>
          <w:rFonts w:ascii="Arial" w:cs="Arial" w:eastAsia="Arial" w:hAnsi="Arial"/>
          <w:sz w:val="17"/>
          <w:szCs w:val="17"/>
          <w:b w:val="1"/>
          <w:bCs w:val="1"/>
          <w:color w:val="auto"/>
        </w:rPr>
        <w:t>Working Day</w:t>
      </w:r>
      <w:r>
        <w:rPr>
          <w:rFonts w:ascii="Arial" w:cs="Arial" w:eastAsia="Arial" w:hAnsi="Arial"/>
          <w:sz w:val="17"/>
          <w:szCs w:val="17"/>
          <w:color w:val="auto"/>
        </w:rPr>
        <w:t>” referred to herein shall be any day from Monday to Friday.</w:t>
      </w:r>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3"/>
          <w:szCs w:val="13"/>
          <w:color w:val="auto"/>
        </w:rPr>
        <w:t>Headings</w:t>
      </w:r>
    </w:p>
    <w:p>
      <w:pPr>
        <w:spacing w:after="0" w:line="22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headings hereunder are for reading convenience only and shall not be used for the interpretation of this Agreement.</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3"/>
          <w:szCs w:val="13"/>
          <w:color w:val="auto"/>
        </w:rPr>
        <w:t>Pending matters</w:t>
      </w:r>
    </w:p>
    <w:p>
      <w:pPr>
        <w:spacing w:after="0" w:line="22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Any matters not stipulated herein shall be resolved by the Parties hereto through friendly consultation in accordance with the laws of the PRC.</w:t>
      </w:r>
    </w:p>
    <w:p>
      <w:pPr>
        <w:spacing w:after="0" w:line="21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Termination</w:t>
      </w:r>
    </w:p>
    <w:p>
      <w:pPr>
        <w:spacing w:after="0" w:line="228" w:lineRule="exact"/>
        <w:rPr>
          <w:sz w:val="20"/>
          <w:szCs w:val="20"/>
          <w:color w:val="auto"/>
        </w:rPr>
      </w:pPr>
    </w:p>
    <w:p>
      <w:pPr>
        <w:ind w:left="600"/>
        <w:spacing w:after="0" w:line="264" w:lineRule="auto"/>
        <w:rPr>
          <w:sz w:val="20"/>
          <w:szCs w:val="20"/>
          <w:color w:val="auto"/>
        </w:rPr>
      </w:pPr>
      <w:r>
        <w:rPr>
          <w:rFonts w:ascii="Arial" w:cs="Arial" w:eastAsia="Arial" w:hAnsi="Arial"/>
          <w:sz w:val="17"/>
          <w:szCs w:val="17"/>
          <w:color w:val="auto"/>
        </w:rPr>
        <w:t>The Parties hereto acknowledge that, in case of any change of shareholding structure of Party C or any increase or decrease of shareholders, Party A, Party C and all existing shareholders of Party C shall 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38735</wp:posOffset>
            </wp:positionV>
            <wp:extent cx="7184390" cy="41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660"/>
          </w:cols>
          <w:pgMar w:left="900" w:top="323" w:right="339" w:bottom="1440" w:gutter="0" w:footer="0" w:header="0"/>
        </w:sectPr>
      </w:pPr>
    </w:p>
    <w:bookmarkStart w:id="272" w:name="page273"/>
    <w:bookmarkEnd w:id="272"/>
    <w:p>
      <w:pPr>
        <w:ind w:left="1180"/>
        <w:spacing w:after="0" w:line="264" w:lineRule="auto"/>
        <w:rPr>
          <w:sz w:val="20"/>
          <w:szCs w:val="20"/>
          <w:color w:val="auto"/>
        </w:rPr>
      </w:pPr>
      <w:r>
        <w:rPr>
          <w:rFonts w:ascii="Arial" w:cs="Arial" w:eastAsia="Arial" w:hAnsi="Arial"/>
          <w:sz w:val="17"/>
          <w:szCs w:val="17"/>
          <w:color w:val="auto"/>
        </w:rPr>
        <w:t>sign this Agreement and that this Agreement shall be automatically terminated and become invalid from the effective date of the option agreement re-signed by the aforesaid Parties.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Option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LIU Chicheng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Chicheng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ZHOU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ZHOU Wei</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Chicheng</w:t>
      </w:r>
      <w:r>
        <w:rPr>
          <w:rFonts w:ascii="Arial" w:cs="Arial" w:eastAsia="Arial" w:hAnsi="Arial"/>
          <w:sz w:val="17"/>
          <w:szCs w:val="17"/>
          <w:color w:val="auto"/>
        </w:rPr>
        <w:t xml:space="preserve"> (Seal)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 Party C’s Shareholders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92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jc w:val="center"/>
              <w:ind w:right="537"/>
              <w:spacing w:after="0"/>
              <w:rPr>
                <w:sz w:val="20"/>
                <w:szCs w:val="20"/>
                <w:color w:val="auto"/>
              </w:rPr>
            </w:pPr>
            <w:r>
              <w:rPr>
                <w:rFonts w:ascii="Arial" w:cs="Arial" w:eastAsia="Arial" w:hAnsi="Arial"/>
                <w:sz w:val="17"/>
                <w:szCs w:val="17"/>
                <w:color w:val="auto"/>
                <w:w w:val="88"/>
              </w:rPr>
              <w:t>Name of Shareholders</w:t>
            </w:r>
          </w:p>
        </w:tc>
        <w:tc>
          <w:tcPr>
            <w:tcW w:w="320" w:type="dxa"/>
            <w:vAlign w:val="bottom"/>
            <w:tcBorders>
              <w:top w:val="single" w:sz="8" w:color="auto"/>
              <w:bottom w:val="single" w:sz="8" w:color="auto"/>
              <w:right w:val="single" w:sz="8" w:color="auto"/>
            </w:tcBorders>
          </w:tcPr>
          <w:p>
            <w:pPr>
              <w:spacing w:after="0"/>
              <w:rPr>
                <w:sz w:val="18"/>
                <w:szCs w:val="18"/>
                <w:color w:val="auto"/>
              </w:rPr>
            </w:pP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ID Card No.</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9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537"/>
              <w:spacing w:after="0" w:line="192" w:lineRule="exact"/>
              <w:rPr>
                <w:sz w:val="20"/>
                <w:szCs w:val="20"/>
                <w:color w:val="auto"/>
              </w:rPr>
            </w:pPr>
            <w:r>
              <w:rPr>
                <w:rFonts w:ascii="Arial" w:cs="Arial" w:eastAsia="Arial" w:hAnsi="Arial"/>
                <w:sz w:val="17"/>
                <w:szCs w:val="17"/>
                <w:color w:val="auto"/>
                <w:w w:val="91"/>
              </w:rPr>
              <w:t>LIU Chicheng</w:t>
            </w:r>
          </w:p>
        </w:tc>
        <w:tc>
          <w:tcPr>
            <w:tcW w:w="32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9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537"/>
              <w:spacing w:after="0" w:line="192" w:lineRule="exact"/>
              <w:rPr>
                <w:sz w:val="20"/>
                <w:szCs w:val="20"/>
                <w:color w:val="auto"/>
              </w:rPr>
            </w:pPr>
            <w:r>
              <w:rPr>
                <w:rFonts w:ascii="Arial" w:cs="Arial" w:eastAsia="Arial" w:hAnsi="Arial"/>
                <w:sz w:val="17"/>
                <w:szCs w:val="17"/>
                <w:color w:val="auto"/>
                <w:w w:val="94"/>
              </w:rPr>
              <w:t>ZHOU Wei</w:t>
            </w:r>
          </w:p>
        </w:tc>
        <w:tc>
          <w:tcPr>
            <w:tcW w:w="32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gridSpan w:val="5"/>
          </w:tcPr>
          <w:p>
            <w:pPr>
              <w:ind w:left="520"/>
              <w:spacing w:after="0"/>
              <w:rPr>
                <w:sz w:val="20"/>
                <w:szCs w:val="20"/>
                <w:color w:val="auto"/>
              </w:rPr>
            </w:pPr>
            <w:r>
              <w:rPr>
                <w:rFonts w:ascii="Arial" w:cs="Arial" w:eastAsia="Arial" w:hAnsi="Arial"/>
                <w:sz w:val="20"/>
                <w:szCs w:val="20"/>
                <w:b w:val="1"/>
                <w:bCs w:val="1"/>
                <w:color w:val="auto"/>
              </w:rPr>
              <w:t>Annex II Party C’s Shareholding Structure</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3600" w:type="dxa"/>
            <w:vAlign w:val="bottom"/>
            <w:gridSpan w:val="3"/>
            <w:vMerge w:val="restart"/>
          </w:tcPr>
          <w:p>
            <w:pPr>
              <w:jc w:val="center"/>
              <w:ind w:left="1997"/>
              <w:spacing w:after="0"/>
              <w:rPr>
                <w:sz w:val="20"/>
                <w:szCs w:val="20"/>
                <w:color w:val="auto"/>
              </w:rPr>
            </w:pPr>
            <w:r>
              <w:rPr>
                <w:rFonts w:ascii="Arial" w:cs="Arial" w:eastAsia="Arial" w:hAnsi="Arial"/>
                <w:sz w:val="17"/>
                <w:szCs w:val="17"/>
                <w:color w:val="auto"/>
                <w:w w:val="86"/>
              </w:rPr>
              <w:t>Name of Shareholders</w:t>
            </w:r>
          </w:p>
        </w:tc>
        <w:tc>
          <w:tcPr>
            <w:tcW w:w="2120" w:type="dxa"/>
            <w:vAlign w:val="bottom"/>
            <w:tcBorders>
              <w:right w:val="single" w:sz="8" w:color="auto"/>
            </w:tcBorders>
          </w:tcPr>
          <w:p>
            <w:pPr>
              <w:spacing w:after="0"/>
              <w:rPr>
                <w:sz w:val="15"/>
                <w:szCs w:val="15"/>
                <w:color w:val="auto"/>
              </w:rPr>
            </w:pPr>
          </w:p>
        </w:tc>
        <w:tc>
          <w:tcPr>
            <w:tcW w:w="2460" w:type="dxa"/>
            <w:vAlign w:val="bottom"/>
            <w:tcBorders>
              <w:right w:val="single" w:sz="8" w:color="auto"/>
            </w:tcBorders>
            <w:gridSpan w:val="3"/>
          </w:tcPr>
          <w:p>
            <w:pPr>
              <w:jc w:val="center"/>
              <w:spacing w:after="0" w:line="180" w:lineRule="exact"/>
              <w:rPr>
                <w:sz w:val="20"/>
                <w:szCs w:val="20"/>
                <w:color w:val="auto"/>
              </w:rPr>
            </w:pPr>
            <w:r>
              <w:rPr>
                <w:rFonts w:ascii="Arial" w:cs="Arial" w:eastAsia="Arial" w:hAnsi="Arial"/>
                <w:sz w:val="17"/>
                <w:szCs w:val="17"/>
                <w:color w:val="auto"/>
                <w:w w:val="93"/>
              </w:rPr>
              <w:t>Amount of Contribution (CNY</w:t>
            </w:r>
          </w:p>
        </w:tc>
        <w:tc>
          <w:tcPr>
            <w:tcW w:w="2480" w:type="dxa"/>
            <w:vAlign w:val="bottom"/>
            <w:tcBorders>
              <w:right w:val="single" w:sz="8" w:color="auto"/>
            </w:tcBorders>
          </w:tcPr>
          <w:p>
            <w:pPr>
              <w:ind w:left="640"/>
              <w:spacing w:after="0" w:line="180" w:lineRule="exact"/>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3600" w:type="dxa"/>
            <w:vAlign w:val="bottom"/>
            <w:gridSpan w:val="3"/>
            <w:vMerge w:val="continue"/>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2120" w:type="dxa"/>
            <w:vAlign w:val="bottom"/>
            <w:gridSpan w:val="2"/>
            <w:vMerge w:val="restart"/>
          </w:tcPr>
          <w:p>
            <w:pPr>
              <w:jc w:val="center"/>
              <w:ind w:left="237"/>
              <w:spacing w:after="0"/>
              <w:rPr>
                <w:sz w:val="20"/>
                <w:szCs w:val="20"/>
                <w:color w:val="auto"/>
              </w:rPr>
            </w:pPr>
            <w:r>
              <w:rPr>
                <w:rFonts w:ascii="Arial" w:cs="Arial" w:eastAsia="Arial" w:hAnsi="Arial"/>
                <w:sz w:val="17"/>
                <w:szCs w:val="17"/>
                <w:color w:val="auto"/>
                <w:w w:val="90"/>
              </w:rPr>
              <w:t>10000)</w:t>
            </w:r>
          </w:p>
        </w:tc>
        <w:tc>
          <w:tcPr>
            <w:tcW w:w="34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2120" w:type="dxa"/>
            <w:vAlign w:val="bottom"/>
            <w:tcBorders>
              <w:bottom w:val="single" w:sz="8" w:color="auto"/>
            </w:tcBorders>
            <w:gridSpan w:val="2"/>
            <w:vMerge w:val="continue"/>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2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69"/>
              <w:spacing w:after="0" w:line="192" w:lineRule="exact"/>
              <w:rPr>
                <w:sz w:val="20"/>
                <w:szCs w:val="20"/>
                <w:color w:val="auto"/>
              </w:rPr>
            </w:pPr>
            <w:r>
              <w:rPr>
                <w:rFonts w:ascii="Arial" w:cs="Arial" w:eastAsia="Arial" w:hAnsi="Arial"/>
                <w:sz w:val="17"/>
                <w:szCs w:val="17"/>
                <w:color w:val="auto"/>
                <w:w w:val="93"/>
              </w:rPr>
              <w:t>LIU Chicheng</w:t>
            </w:r>
          </w:p>
        </w:tc>
        <w:tc>
          <w:tcPr>
            <w:tcW w:w="2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jc w:val="center"/>
              <w:ind w:left="237"/>
              <w:spacing w:after="0" w:line="192" w:lineRule="exact"/>
              <w:rPr>
                <w:sz w:val="20"/>
                <w:szCs w:val="20"/>
                <w:color w:val="auto"/>
              </w:rPr>
            </w:pPr>
            <w:r>
              <w:rPr>
                <w:rFonts w:ascii="Arial" w:cs="Arial" w:eastAsia="Arial" w:hAnsi="Arial"/>
                <w:sz w:val="17"/>
                <w:szCs w:val="17"/>
                <w:color w:val="auto"/>
                <w:w w:val="84"/>
              </w:rPr>
              <w:t>190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2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69"/>
              <w:spacing w:after="0" w:line="192" w:lineRule="exact"/>
              <w:rPr>
                <w:sz w:val="20"/>
                <w:szCs w:val="20"/>
                <w:color w:val="auto"/>
              </w:rPr>
            </w:pPr>
            <w:r>
              <w:rPr>
                <w:rFonts w:ascii="Arial" w:cs="Arial" w:eastAsia="Arial" w:hAnsi="Arial"/>
                <w:sz w:val="17"/>
                <w:szCs w:val="17"/>
                <w:color w:val="auto"/>
                <w:w w:val="92"/>
              </w:rPr>
              <w:t>ZHOU Wei</w:t>
            </w:r>
          </w:p>
        </w:tc>
        <w:tc>
          <w:tcPr>
            <w:tcW w:w="2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jc w:val="center"/>
              <w:ind w:left="237"/>
              <w:spacing w:after="0" w:line="192" w:lineRule="exact"/>
              <w:rPr>
                <w:sz w:val="20"/>
                <w:szCs w:val="20"/>
                <w:color w:val="auto"/>
              </w:rPr>
            </w:pPr>
            <w:r>
              <w:rPr>
                <w:rFonts w:ascii="Arial" w:cs="Arial" w:eastAsia="Arial" w:hAnsi="Arial"/>
                <w:sz w:val="17"/>
                <w:szCs w:val="17"/>
                <w:color w:val="auto"/>
                <w:w w:val="84"/>
              </w:rPr>
              <w:t>10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9"/>
              <w:spacing w:after="0" w:line="192" w:lineRule="exact"/>
              <w:rPr>
                <w:sz w:val="20"/>
                <w:szCs w:val="20"/>
                <w:color w:val="auto"/>
              </w:rPr>
            </w:pPr>
            <w:r>
              <w:rPr>
                <w:rFonts w:ascii="Arial" w:cs="Arial" w:eastAsia="Arial" w:hAnsi="Arial"/>
                <w:sz w:val="17"/>
                <w:szCs w:val="17"/>
                <w:color w:val="auto"/>
                <w:w w:val="89"/>
              </w:rPr>
              <w:t>Total</w:t>
            </w:r>
          </w:p>
        </w:tc>
        <w:tc>
          <w:tcPr>
            <w:tcW w:w="2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jc w:val="center"/>
              <w:ind w:left="237"/>
              <w:spacing w:after="0" w:line="192" w:lineRule="exact"/>
              <w:rPr>
                <w:sz w:val="20"/>
                <w:szCs w:val="20"/>
                <w:color w:val="auto"/>
              </w:rPr>
            </w:pPr>
            <w:r>
              <w:rPr>
                <w:rFonts w:ascii="Arial" w:cs="Arial" w:eastAsia="Arial" w:hAnsi="Arial"/>
                <w:sz w:val="17"/>
                <w:szCs w:val="17"/>
                <w:color w:val="auto"/>
                <w:w w:val="84"/>
              </w:rPr>
              <w:t>200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273" w:name="page274"/>
    <w:bookmarkEnd w:id="273"/>
    <w:p>
      <w:pPr>
        <w:ind w:left="10340"/>
        <w:spacing w:after="0"/>
        <w:rPr>
          <w:sz w:val="20"/>
          <w:szCs w:val="20"/>
          <w:color w:val="auto"/>
        </w:rPr>
      </w:pPr>
      <w:r>
        <w:rPr>
          <w:rFonts w:ascii="Arial" w:cs="Arial" w:eastAsia="Arial" w:hAnsi="Arial"/>
          <w:sz w:val="16"/>
          <w:szCs w:val="16"/>
          <w:b w:val="1"/>
          <w:bCs w:val="1"/>
          <w:color w:val="auto"/>
        </w:rPr>
        <w:t>Exhibit 4.33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Beijing Zhiziyuanshui Education Technology Co., Ltd. (“</w:t>
      </w:r>
      <w:r>
        <w:rPr>
          <w:rFonts w:ascii="Arial" w:cs="Arial" w:eastAsia="Arial" w:hAnsi="Arial"/>
          <w:sz w:val="17"/>
          <w:szCs w:val="17"/>
          <w:b w:val="1"/>
          <w:bCs w:val="1"/>
          <w:color w:val="auto"/>
        </w:rPr>
        <w:t>Beijing Zhiziyuanshui</w:t>
      </w:r>
      <w:r>
        <w:rPr>
          <w:rFonts w:ascii="Arial" w:cs="Arial" w:eastAsia="Arial" w:hAnsi="Arial"/>
          <w:sz w:val="17"/>
          <w:szCs w:val="17"/>
          <w:color w:val="auto"/>
        </w:rPr>
        <w:t>”) of any specific obligations required by them as the shareholders of Beijing Zhiziyuanshui,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LIU Chicheng, ZHOU Wei,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Authorizers hereby irrevocably authorize to the maximum scope permitted by law Tianjin Studyvip Education Co., Limited ("</w:t>
      </w:r>
      <w:r>
        <w:rPr>
          <w:rFonts w:ascii="Arial" w:cs="Arial" w:eastAsia="Arial" w:hAnsi="Arial"/>
          <w:sz w:val="16"/>
          <w:szCs w:val="16"/>
          <w:b w:val="1"/>
          <w:bCs w:val="1"/>
          <w:color w:val="auto"/>
        </w:rPr>
        <w:t>WFOE</w:t>
      </w:r>
      <w:r>
        <w:rPr>
          <w:rFonts w:ascii="Arial" w:cs="Arial" w:eastAsia="Arial" w:hAnsi="Arial"/>
          <w:sz w:val="16"/>
          <w:szCs w:val="16"/>
          <w:color w:val="auto"/>
        </w:rPr>
        <w:t>") or its designated person or authorized representative (“</w:t>
      </w:r>
      <w:r>
        <w:rPr>
          <w:rFonts w:ascii="Arial" w:cs="Arial" w:eastAsia="Arial" w:hAnsi="Arial"/>
          <w:sz w:val="16"/>
          <w:szCs w:val="16"/>
          <w:b w:val="1"/>
          <w:bCs w:val="1"/>
          <w:color w:val="auto"/>
        </w:rPr>
        <w:t>Authorized Person</w:t>
      </w:r>
      <w:r>
        <w:rPr>
          <w:rFonts w:ascii="Arial" w:cs="Arial" w:eastAsia="Arial" w:hAnsi="Arial"/>
          <w:sz w:val="16"/>
          <w:szCs w:val="16"/>
          <w:color w:val="auto"/>
        </w:rPr>
        <w:t>”) to exercise all their shareholder rights corresponding to all voting shares (“</w:t>
      </w:r>
      <w:r>
        <w:rPr>
          <w:rFonts w:ascii="Arial" w:cs="Arial" w:eastAsia="Arial" w:hAnsi="Arial"/>
          <w:sz w:val="16"/>
          <w:szCs w:val="16"/>
          <w:b w:val="1"/>
          <w:bCs w:val="1"/>
          <w:color w:val="auto"/>
        </w:rPr>
        <w:t>Shares</w:t>
      </w:r>
      <w:r>
        <w:rPr>
          <w:rFonts w:ascii="Arial" w:cs="Arial" w:eastAsia="Arial" w:hAnsi="Arial"/>
          <w:sz w:val="16"/>
          <w:szCs w:val="16"/>
          <w:color w:val="auto"/>
        </w:rPr>
        <w:t>”) held by them in Beijing Zhiziyuanshui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 (3) 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Beijing Zhiziyuanshui at the meeting of shareholders of Beijing Zhiziyuanshui.</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designated by the board of directors of the WFOE.</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Unless the Business Operation Agreement signed by Beijing Zhiziyuanshui,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28</w:t>
      </w:r>
      <w:r>
        <w:rPr>
          <w:rFonts w:ascii="Arial" w:cs="Arial" w:eastAsia="Arial" w:hAnsi="Arial"/>
          <w:sz w:val="14"/>
          <w:szCs w:val="14"/>
          <w:color w:val="auto"/>
        </w:rPr>
        <w:t>th</w:t>
      </w:r>
      <w:r>
        <w:rPr>
          <w:rFonts w:ascii="Arial" w:cs="Arial" w:eastAsia="Arial" w:hAnsi="Arial"/>
          <w:sz w:val="17"/>
          <w:szCs w:val="17"/>
          <w:color w:val="auto"/>
        </w:rPr>
        <w:t xml:space="preserve"> day of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187960</wp:posOffset>
            </wp:positionV>
            <wp:extent cx="7184390" cy="41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4" w:name="page275"/>
    <w:bookmarkEnd w:id="274"/>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LIU Chicheng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Chicheng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ZHOU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ZHOU Wei</w:t>
      </w:r>
    </w:p>
    <w:p>
      <w:pPr>
        <w:spacing w:after="0" w:line="390" w:lineRule="exact"/>
        <w:rPr>
          <w:sz w:val="20"/>
          <w:szCs w:val="20"/>
          <w:color w:val="auto"/>
        </w:rPr>
      </w:pPr>
    </w:p>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Tianjin Studyvip Education Co., Limited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LIU Tongbo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Title: Authorized Representative</w:t>
      </w:r>
    </w:p>
    <w:p>
      <w:pPr>
        <w:sectPr>
          <w:pgSz w:w="11900" w:h="16838" w:orient="portrait"/>
          <w:cols w:equalWidth="0" w:num="1">
            <w:col w:w="10139"/>
          </w:cols>
          <w:pgMar w:left="320" w:top="127" w:right="1440"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400" w:type="dxa"/>
            <w:vAlign w:val="bottom"/>
            <w:gridSpan w:val="2"/>
          </w:tcPr>
          <w:p>
            <w:pPr>
              <w:jc w:val="right"/>
              <w:spacing w:after="0"/>
              <w:rPr>
                <w:sz w:val="20"/>
                <w:szCs w:val="20"/>
                <w:color w:val="auto"/>
              </w:rPr>
            </w:pPr>
            <w:r>
              <w:rPr>
                <w:rFonts w:ascii="Arial" w:cs="Arial" w:eastAsia="Arial" w:hAnsi="Arial"/>
                <w:sz w:val="17"/>
                <w:szCs w:val="17"/>
                <w:b w:val="1"/>
                <w:bCs w:val="1"/>
                <w:color w:val="auto"/>
              </w:rPr>
              <w:t>Exhibit 4.34</w:t>
            </w:r>
          </w:p>
        </w:tc>
      </w:tr>
      <w:tr>
        <w:trPr>
          <w:trHeight w:val="598"/>
        </w:trPr>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0" w:type="dxa"/>
            <w:vAlign w:val="bottom"/>
            <w:gridSpan w:val="2"/>
          </w:tcPr>
          <w:p>
            <w:pPr>
              <w:jc w:val="right"/>
              <w:ind w:right="5000"/>
              <w:spacing w:after="0"/>
              <w:rPr>
                <w:sz w:val="20"/>
                <w:szCs w:val="20"/>
                <w:color w:val="auto"/>
              </w:rPr>
            </w:pPr>
            <w:r>
              <w:rPr>
                <w:rFonts w:ascii="Arial" w:cs="Arial" w:eastAsia="Arial" w:hAnsi="Arial"/>
                <w:sz w:val="17"/>
                <w:szCs w:val="17"/>
                <w:b w:val="1"/>
                <w:bCs w:val="1"/>
                <w:color w:val="auto"/>
                <w:w w:val="93"/>
              </w:rPr>
              <w:t>Spousal Consents</w:t>
            </w:r>
          </w:p>
        </w:tc>
      </w:tr>
      <w:tr>
        <w:trPr>
          <w:trHeight w:val="382"/>
        </w:trPr>
        <w:tc>
          <w:tcPr>
            <w:tcW w:w="4840" w:type="dxa"/>
            <w:vAlign w:val="bottom"/>
            <w:gridSpan w:val="4"/>
          </w:tcPr>
          <w:p>
            <w:pPr>
              <w:spacing w:after="0"/>
              <w:rPr>
                <w:sz w:val="20"/>
                <w:szCs w:val="20"/>
                <w:color w:val="auto"/>
              </w:rPr>
            </w:pPr>
            <w:r>
              <w:rPr>
                <w:rFonts w:ascii="Arial" w:cs="Arial" w:eastAsia="Arial" w:hAnsi="Arial"/>
                <w:sz w:val="17"/>
                <w:szCs w:val="17"/>
                <w:color w:val="auto"/>
                <w:w w:val="94"/>
              </w:rPr>
              <w:t>I, SHEN Lu, (Citizen of the People's Republic of China; ID Card No.:</w:t>
            </w:r>
          </w:p>
        </w:tc>
        <w:tc>
          <w:tcPr>
            <w:tcW w:w="6400" w:type="dxa"/>
            <w:vAlign w:val="bottom"/>
            <w:gridSpan w:val="2"/>
          </w:tcPr>
          <w:p>
            <w:pPr>
              <w:jc w:val="right"/>
              <w:spacing w:after="0"/>
              <w:rPr>
                <w:sz w:val="20"/>
                <w:szCs w:val="20"/>
                <w:color w:val="auto"/>
              </w:rPr>
            </w:pPr>
            <w:r>
              <w:rPr>
                <w:rFonts w:ascii="Arial" w:cs="Arial" w:eastAsia="Arial" w:hAnsi="Arial"/>
                <w:sz w:val="17"/>
                <w:szCs w:val="17"/>
                <w:color w:val="auto"/>
              </w:rPr>
              <w:t>), is the lawful spouse of LIU Chicheng (Citizen of the People's Republic of China; ID</w:t>
            </w:r>
          </w:p>
        </w:tc>
      </w:tr>
      <w:tr>
        <w:trPr>
          <w:trHeight w:val="178"/>
        </w:trPr>
        <w:tc>
          <w:tcPr>
            <w:tcW w:w="1100" w:type="dxa"/>
            <w:vAlign w:val="bottom"/>
          </w:tcPr>
          <w:p>
            <w:pPr>
              <w:spacing w:after="0" w:line="179" w:lineRule="exact"/>
              <w:rPr>
                <w:sz w:val="20"/>
                <w:szCs w:val="20"/>
                <w:color w:val="auto"/>
              </w:rPr>
            </w:pPr>
            <w:r>
              <w:rPr>
                <w:rFonts w:ascii="Arial" w:cs="Arial" w:eastAsia="Arial" w:hAnsi="Arial"/>
                <w:sz w:val="17"/>
                <w:szCs w:val="17"/>
                <w:color w:val="auto"/>
              </w:rPr>
              <w:t>Card No.:</w:t>
            </w:r>
          </w:p>
        </w:tc>
        <w:tc>
          <w:tcPr>
            <w:tcW w:w="10140" w:type="dxa"/>
            <w:vAlign w:val="bottom"/>
            <w:gridSpan w:val="5"/>
          </w:tcPr>
          <w:p>
            <w:pPr>
              <w:jc w:val="right"/>
              <w:spacing w:after="0" w:line="179" w:lineRule="exact"/>
              <w:rPr>
                <w:sz w:val="20"/>
                <w:szCs w:val="20"/>
                <w:color w:val="auto"/>
              </w:rPr>
            </w:pPr>
            <w:r>
              <w:rPr>
                <w:rFonts w:ascii="Arial" w:cs="Arial" w:eastAsia="Arial" w:hAnsi="Arial"/>
                <w:sz w:val="17"/>
                <w:szCs w:val="17"/>
                <w:color w:val="auto"/>
                <w:w w:val="93"/>
              </w:rPr>
              <w:t>, the “</w:t>
            </w:r>
            <w:r>
              <w:rPr>
                <w:rFonts w:ascii="Arial" w:cs="Arial" w:eastAsia="Arial" w:hAnsi="Arial"/>
                <w:sz w:val="17"/>
                <w:szCs w:val="17"/>
                <w:b w:val="1"/>
                <w:bCs w:val="1"/>
                <w:color w:val="auto"/>
                <w:w w:val="93"/>
              </w:rPr>
              <w:t>My Spouse</w:t>
            </w:r>
            <w:r>
              <w:rPr>
                <w:rFonts w:ascii="Arial" w:cs="Arial" w:eastAsia="Arial" w:hAnsi="Arial"/>
                <w:sz w:val="17"/>
                <w:szCs w:val="17"/>
                <w:color w:val="auto"/>
                <w:w w:val="93"/>
              </w:rPr>
              <w:t>”). I hereby confirm and agree that the equity held by My Spouse presently and in the future (hereinafter referred to as “</w:t>
            </w:r>
            <w:r>
              <w:rPr>
                <w:rFonts w:ascii="Arial" w:cs="Arial" w:eastAsia="Arial" w:hAnsi="Arial"/>
                <w:sz w:val="17"/>
                <w:szCs w:val="17"/>
                <w:b w:val="1"/>
                <w:bCs w:val="1"/>
                <w:color w:val="auto"/>
                <w:w w:val="93"/>
              </w:rPr>
              <w:t>Equity</w:t>
            </w:r>
          </w:p>
        </w:tc>
      </w:tr>
      <w:tr>
        <w:trPr>
          <w:trHeight w:val="20"/>
        </w:trPr>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and Interest</w:t>
      </w:r>
      <w:r>
        <w:rPr>
          <w:rFonts w:ascii="Arial" w:cs="Arial" w:eastAsia="Arial" w:hAnsi="Arial"/>
          <w:sz w:val="16"/>
          <w:szCs w:val="16"/>
          <w:color w:val="auto"/>
        </w:rPr>
        <w:t>”) is the personal property of My Spouse, do not form the common property of me and My Spouse and can be disposed solely by My Spouse: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Beijing Zhiziyuanshui Education Technology Co., Ltd. (the “</w:t>
      </w:r>
      <w:r>
        <w:rPr>
          <w:rFonts w:ascii="Arial" w:cs="Arial" w:eastAsia="Arial" w:hAnsi="Arial"/>
          <w:sz w:val="17"/>
          <w:szCs w:val="17"/>
          <w:b w:val="1"/>
          <w:bCs w:val="1"/>
          <w:u w:val="single" w:color="auto"/>
          <w:color w:val="auto"/>
        </w:rPr>
        <w:t>Beijing Zhiziyuanshui</w:t>
      </w:r>
      <w:r>
        <w:rPr>
          <w:rFonts w:ascii="Arial" w:cs="Arial" w:eastAsia="Arial" w:hAnsi="Arial"/>
          <w:sz w:val="17"/>
          <w:szCs w:val="17"/>
          <w:color w:val="auto"/>
        </w:rPr>
        <w: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Beijing Zhiziyuanshui or affecting in any manner any decision made by My Spouse.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Beijing Zhiziyuanshui and its shareholders and Tianjin Studyvip Education Co., Limited).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the 28</w:t>
      </w:r>
      <w:r>
        <w:rPr>
          <w:rFonts w:ascii="Arial" w:cs="Arial" w:eastAsia="Arial" w:hAnsi="Arial"/>
          <w:sz w:val="14"/>
          <w:szCs w:val="14"/>
          <w:color w:val="auto"/>
        </w:rPr>
        <w:t>th</w:t>
      </w:r>
      <w:r>
        <w:rPr>
          <w:rFonts w:ascii="Arial" w:cs="Arial" w:eastAsia="Arial" w:hAnsi="Arial"/>
          <w:sz w:val="17"/>
          <w:szCs w:val="17"/>
          <w:color w:val="auto"/>
        </w:rPr>
        <w:t xml:space="preserve"> day of December,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6" w:name="page277"/>
    <w:bookmarkEnd w:id="276"/>
    <w:p>
      <w:pPr>
        <w:jc w:val="right"/>
        <w:ind w:right="2619"/>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r>
        <w:rPr>
          <w:rFonts w:ascii="Arial" w:cs="Arial" w:eastAsia="Arial" w:hAnsi="Arial"/>
          <w:sz w:val="17"/>
          <w:szCs w:val="17"/>
          <w:u w:val="single" w:color="auto"/>
          <w:color w:val="auto"/>
        </w:rPr>
        <w:t>/s/ SHEN Lu</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SHEN Lu</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LIU Chicheng hereby agrees and accepts this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Chicheng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LIU Chicheng</w:t>
      </w:r>
    </w:p>
    <w:p>
      <w:pPr>
        <w:spacing w:after="0" w:line="200" w:lineRule="exact"/>
        <w:rPr>
          <w:sz w:val="20"/>
          <w:szCs w:val="20"/>
          <w:color w:val="auto"/>
        </w:rPr>
      </w:pPr>
    </w:p>
    <w:p>
      <w:pPr>
        <w:spacing w:after="0" w:line="38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Spousal Consents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380" w:type="dxa"/>
            <w:vAlign w:val="bottom"/>
            <w:gridSpan w:val="2"/>
          </w:tcPr>
          <w:p>
            <w:pPr>
              <w:jc w:val="right"/>
              <w:ind w:right="5000"/>
              <w:spacing w:after="0"/>
              <w:rPr>
                <w:sz w:val="20"/>
                <w:szCs w:val="20"/>
                <w:color w:val="auto"/>
              </w:rPr>
            </w:pPr>
            <w:r>
              <w:rPr>
                <w:rFonts w:ascii="Arial" w:cs="Arial" w:eastAsia="Arial" w:hAnsi="Arial"/>
                <w:sz w:val="17"/>
                <w:szCs w:val="17"/>
                <w:b w:val="1"/>
                <w:bCs w:val="1"/>
                <w:color w:val="auto"/>
                <w:w w:val="91"/>
              </w:rPr>
              <w:t>Spousal Consents</w:t>
            </w:r>
          </w:p>
        </w:tc>
      </w:tr>
      <w:tr>
        <w:trPr>
          <w:trHeight w:val="382"/>
        </w:trPr>
        <w:tc>
          <w:tcPr>
            <w:tcW w:w="4860" w:type="dxa"/>
            <w:vAlign w:val="bottom"/>
            <w:gridSpan w:val="4"/>
          </w:tcPr>
          <w:p>
            <w:pPr>
              <w:spacing w:after="0"/>
              <w:rPr>
                <w:sz w:val="20"/>
                <w:szCs w:val="20"/>
                <w:color w:val="auto"/>
              </w:rPr>
            </w:pPr>
            <w:r>
              <w:rPr>
                <w:rFonts w:ascii="Arial" w:cs="Arial" w:eastAsia="Arial" w:hAnsi="Arial"/>
                <w:sz w:val="17"/>
                <w:szCs w:val="17"/>
                <w:color w:val="auto"/>
                <w:w w:val="94"/>
              </w:rPr>
              <w:t>I, GUAN Kai, (Citizen of the Peole's Republic of China; ID Card No.:</w:t>
            </w:r>
          </w:p>
        </w:tc>
        <w:tc>
          <w:tcPr>
            <w:tcW w:w="6380" w:type="dxa"/>
            <w:vAlign w:val="bottom"/>
            <w:gridSpan w:val="2"/>
          </w:tcPr>
          <w:p>
            <w:pPr>
              <w:jc w:val="right"/>
              <w:spacing w:after="0"/>
              <w:rPr>
                <w:sz w:val="20"/>
                <w:szCs w:val="20"/>
                <w:color w:val="auto"/>
              </w:rPr>
            </w:pPr>
            <w:r>
              <w:rPr>
                <w:rFonts w:ascii="Arial" w:cs="Arial" w:eastAsia="Arial" w:hAnsi="Arial"/>
                <w:sz w:val="17"/>
                <w:szCs w:val="17"/>
                <w:color w:val="auto"/>
              </w:rPr>
              <w:t>), is the lawful spouse of ZHOU Wei (Citizen of the People's Republic of China; ID</w:t>
            </w:r>
          </w:p>
        </w:tc>
      </w:tr>
      <w:tr>
        <w:trPr>
          <w:trHeight w:val="178"/>
        </w:trPr>
        <w:tc>
          <w:tcPr>
            <w:tcW w:w="1100" w:type="dxa"/>
            <w:vAlign w:val="bottom"/>
          </w:tcPr>
          <w:p>
            <w:pPr>
              <w:spacing w:after="0" w:line="179" w:lineRule="exact"/>
              <w:rPr>
                <w:sz w:val="20"/>
                <w:szCs w:val="20"/>
                <w:color w:val="auto"/>
              </w:rPr>
            </w:pPr>
            <w:r>
              <w:rPr>
                <w:rFonts w:ascii="Arial" w:cs="Arial" w:eastAsia="Arial" w:hAnsi="Arial"/>
                <w:sz w:val="17"/>
                <w:szCs w:val="17"/>
                <w:color w:val="auto"/>
              </w:rPr>
              <w:t>Card No.:</w:t>
            </w:r>
          </w:p>
        </w:tc>
        <w:tc>
          <w:tcPr>
            <w:tcW w:w="10140" w:type="dxa"/>
            <w:vAlign w:val="bottom"/>
            <w:gridSpan w:val="5"/>
          </w:tcPr>
          <w:p>
            <w:pPr>
              <w:jc w:val="right"/>
              <w:spacing w:after="0" w:line="179" w:lineRule="exact"/>
              <w:rPr>
                <w:sz w:val="20"/>
                <w:szCs w:val="20"/>
                <w:color w:val="auto"/>
              </w:rPr>
            </w:pPr>
            <w:r>
              <w:rPr>
                <w:rFonts w:ascii="Arial" w:cs="Arial" w:eastAsia="Arial" w:hAnsi="Arial"/>
                <w:sz w:val="17"/>
                <w:szCs w:val="17"/>
                <w:color w:val="auto"/>
                <w:w w:val="93"/>
              </w:rPr>
              <w:t>, the “</w:t>
            </w:r>
            <w:r>
              <w:rPr>
                <w:rFonts w:ascii="Arial" w:cs="Arial" w:eastAsia="Arial" w:hAnsi="Arial"/>
                <w:sz w:val="17"/>
                <w:szCs w:val="17"/>
                <w:b w:val="1"/>
                <w:bCs w:val="1"/>
                <w:color w:val="auto"/>
                <w:w w:val="93"/>
              </w:rPr>
              <w:t>My Spouse</w:t>
            </w:r>
            <w:r>
              <w:rPr>
                <w:rFonts w:ascii="Arial" w:cs="Arial" w:eastAsia="Arial" w:hAnsi="Arial"/>
                <w:sz w:val="17"/>
                <w:szCs w:val="17"/>
                <w:color w:val="auto"/>
                <w:w w:val="93"/>
              </w:rPr>
              <w:t>”). I hereby confirm and agree that the equity held by My Spouse presently and in the future (hereinafter referred to as “</w:t>
            </w:r>
            <w:r>
              <w:rPr>
                <w:rFonts w:ascii="Arial" w:cs="Arial" w:eastAsia="Arial" w:hAnsi="Arial"/>
                <w:sz w:val="17"/>
                <w:szCs w:val="17"/>
                <w:b w:val="1"/>
                <w:bCs w:val="1"/>
                <w:color w:val="auto"/>
                <w:w w:val="93"/>
              </w:rPr>
              <w:t>Equity</w:t>
            </w:r>
          </w:p>
        </w:tc>
      </w:tr>
      <w:tr>
        <w:trPr>
          <w:trHeight w:val="20"/>
        </w:trPr>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and Interest</w:t>
      </w:r>
      <w:r>
        <w:rPr>
          <w:rFonts w:ascii="Arial" w:cs="Arial" w:eastAsia="Arial" w:hAnsi="Arial"/>
          <w:sz w:val="16"/>
          <w:szCs w:val="16"/>
          <w:color w:val="auto"/>
        </w:rPr>
        <w:t>”) is the personal property of My Spouse, do not form the common property of me and My Spouse and can be disposed solely by My Spouse: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Beijing Zhiziyuanshui Education Technology Co., Ltd. (the “</w:t>
      </w:r>
      <w:r>
        <w:rPr>
          <w:rFonts w:ascii="Arial" w:cs="Arial" w:eastAsia="Arial" w:hAnsi="Arial"/>
          <w:sz w:val="17"/>
          <w:szCs w:val="17"/>
          <w:b w:val="1"/>
          <w:bCs w:val="1"/>
          <w:u w:val="single" w:color="auto"/>
          <w:color w:val="auto"/>
        </w:rPr>
        <w:t>Beijing Zhiziyuanshui</w:t>
      </w:r>
      <w:r>
        <w:rPr>
          <w:rFonts w:ascii="Arial" w:cs="Arial" w:eastAsia="Arial" w:hAnsi="Arial"/>
          <w:sz w:val="17"/>
          <w:szCs w:val="17"/>
          <w:color w:val="auto"/>
        </w:rPr>
        <w: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Beijing Zhiziyuanshui or affecting in any manner any decision made by My Spouse.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Beijing Zhiziyuanshui and its shareholders and Tianjin Studyvip Education Co. Limited).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the 28</w:t>
      </w:r>
      <w:r>
        <w:rPr>
          <w:rFonts w:ascii="Arial" w:cs="Arial" w:eastAsia="Arial" w:hAnsi="Arial"/>
          <w:sz w:val="14"/>
          <w:szCs w:val="14"/>
          <w:color w:val="auto"/>
        </w:rPr>
        <w:t>th</w:t>
      </w:r>
      <w:r>
        <w:rPr>
          <w:rFonts w:ascii="Arial" w:cs="Arial" w:eastAsia="Arial" w:hAnsi="Arial"/>
          <w:sz w:val="17"/>
          <w:szCs w:val="17"/>
          <w:color w:val="auto"/>
        </w:rPr>
        <w:t xml:space="preserve"> day of December,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8" w:name="page279"/>
    <w:bookmarkEnd w:id="278"/>
    <w:p>
      <w:pPr>
        <w:jc w:val="right"/>
        <w:ind w:right="2619"/>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GUAN Kai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GUAN Kai</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ZHOU Wei hereby agrees and accepts this Spousal Consents: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ZHOU Wei</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ZHOU Wei</w:t>
      </w:r>
    </w:p>
    <w:p>
      <w:pPr>
        <w:sectPr>
          <w:pgSz w:w="11900" w:h="16838" w:orient="portrait"/>
          <w:cols w:equalWidth="0" w:num="1">
            <w:col w:w="10139"/>
          </w:cols>
          <w:pgMar w:left="320" w:top="127" w:right="1440" w:bottom="1440" w:gutter="0" w:footer="0" w:header="0"/>
        </w:sectPr>
      </w:pPr>
    </w:p>
    <w:bookmarkStart w:id="279" w:name="page280"/>
    <w:bookmarkEnd w:id="279"/>
    <w:p>
      <w:pPr>
        <w:jc w:val="right"/>
        <w:ind w:right="40"/>
        <w:spacing w:after="0"/>
        <w:rPr>
          <w:sz w:val="20"/>
          <w:szCs w:val="20"/>
          <w:color w:val="auto"/>
        </w:rPr>
      </w:pPr>
      <w:r>
        <w:rPr>
          <w:rFonts w:ascii="Arial" w:cs="Arial" w:eastAsia="Arial" w:hAnsi="Arial"/>
          <w:sz w:val="17"/>
          <w:szCs w:val="17"/>
          <w:b w:val="1"/>
          <w:bCs w:val="1"/>
          <w:color w:val="auto"/>
        </w:rPr>
        <w:t>Exhibit 4.35</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Exclusive Technical Consultation and Service Agreement</w:t>
      </w:r>
    </w:p>
    <w:p>
      <w:pPr>
        <w:spacing w:after="0" w:line="202"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color w:val="auto"/>
        </w:rPr>
        <w:t>This Exclusive Technical Consultation and Service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14</w:t>
      </w:r>
      <w:r>
        <w:rPr>
          <w:rFonts w:ascii="Arial" w:cs="Arial" w:eastAsia="Arial" w:hAnsi="Arial"/>
          <w:sz w:val="14"/>
          <w:szCs w:val="14"/>
          <w:color w:val="auto"/>
        </w:rPr>
        <w:t>th</w:t>
      </w:r>
      <w:r>
        <w:rPr>
          <w:rFonts w:ascii="Arial" w:cs="Arial" w:eastAsia="Arial" w:hAnsi="Arial"/>
          <w:sz w:val="17"/>
          <w:szCs w:val="17"/>
          <w:color w:val="auto"/>
        </w:rPr>
        <w:t xml:space="preserve"> day of September,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r>
        <w:rPr>
          <w:rFonts w:ascii="Arial" w:cs="Arial" w:eastAsia="Arial" w:hAnsi="Arial"/>
          <w:sz w:val="17"/>
          <w:szCs w:val="17"/>
          <w:color w:val="auto"/>
        </w:rPr>
        <w:t>: Guangzhou Tianyong Online Education Technology Co., Ltd.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No. 104 (even), No. 90-96, Kexue grand avenue, Huangpu District, Guangzhou,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JIAN Rongshan</w:t>
      </w:r>
    </w:p>
    <w:p>
      <w:pPr>
        <w:spacing w:after="0" w:line="2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shares or investment interests are held by Party B.</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32" w:lineRule="exact"/>
        <w:rPr>
          <w:sz w:val="20"/>
          <w:szCs w:val="20"/>
          <w:color w:val="auto"/>
        </w:rPr>
      </w:pPr>
    </w:p>
    <w:p>
      <w:pPr>
        <w:ind w:left="540" w:hanging="491"/>
        <w:spacing w:after="0"/>
        <w:tabs>
          <w:tab w:leader="none" w:pos="5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28" w:lineRule="exact"/>
        <w:rPr>
          <w:rFonts w:ascii="Arial" w:cs="Arial" w:eastAsia="Arial" w:hAnsi="Arial"/>
          <w:sz w:val="17"/>
          <w:szCs w:val="17"/>
          <w:color w:val="auto"/>
        </w:rPr>
      </w:pPr>
    </w:p>
    <w:p>
      <w:pPr>
        <w:ind w:left="540" w:hanging="491"/>
        <w:spacing w:after="0"/>
        <w:tabs>
          <w:tab w:leader="none" w:pos="5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28" w:lineRule="exact"/>
        <w:rPr>
          <w:rFonts w:ascii="Arial" w:cs="Arial" w:eastAsia="Arial" w:hAnsi="Arial"/>
          <w:sz w:val="17"/>
          <w:szCs w:val="17"/>
          <w:color w:val="auto"/>
        </w:rPr>
      </w:pPr>
    </w:p>
    <w:p>
      <w:pPr>
        <w:ind w:left="540" w:right="40" w:hanging="491"/>
        <w:spacing w:after="0" w:line="264" w:lineRule="auto"/>
        <w:tabs>
          <w:tab w:leader="none" w:pos="5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Party A agrees to provide technical consultation and related services to Party B and Party B’s Subsidiaries, and Party B and Party B’s Subsidiaries agree to accept such technical consultation and related services provided by Party A.</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900" w:hanging="851"/>
        <w:spacing w:after="0"/>
        <w:tabs>
          <w:tab w:leader="none" w:pos="900"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Technical Consultation and Services: Sole and Exclusive Rights and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20" w:type="dxa"/>
            <w:vAlign w:val="bottom"/>
          </w:tcPr>
          <w:p>
            <w:pPr>
              <w:jc w:val="right"/>
              <w:ind w:right="237"/>
              <w:spacing w:after="0"/>
              <w:rPr>
                <w:sz w:val="20"/>
                <w:szCs w:val="20"/>
                <w:color w:val="auto"/>
              </w:rPr>
            </w:pPr>
            <w:r>
              <w:rPr>
                <w:rFonts w:ascii="Arial" w:cs="Arial" w:eastAsia="Arial" w:hAnsi="Arial"/>
                <w:sz w:val="17"/>
                <w:szCs w:val="17"/>
                <w:color w:val="auto"/>
              </w:rPr>
              <w:t>1.1</w:t>
            </w:r>
          </w:p>
        </w:tc>
        <w:tc>
          <w:tcPr>
            <w:tcW w:w="9860" w:type="dxa"/>
            <w:vAlign w:val="bottom"/>
          </w:tcPr>
          <w:p>
            <w:pPr>
              <w:ind w:left="320"/>
              <w:spacing w:after="0"/>
              <w:rPr>
                <w:sz w:val="20"/>
                <w:szCs w:val="20"/>
                <w:color w:val="auto"/>
              </w:rPr>
            </w:pPr>
            <w:r>
              <w:rPr>
                <w:rFonts w:ascii="Arial" w:cs="Arial" w:eastAsia="Arial" w:hAnsi="Arial"/>
                <w:sz w:val="17"/>
                <w:szCs w:val="17"/>
                <w:color w:val="auto"/>
                <w:w w:val="91"/>
              </w:rPr>
              <w:t>Within the term of this Agreement, Party A agrees that it shall, as the exclusive technical consultation and services provider of Party B and</w:t>
            </w:r>
          </w:p>
        </w:tc>
      </w:tr>
      <w:tr>
        <w:trPr>
          <w:trHeight w:val="199"/>
        </w:trPr>
        <w:tc>
          <w:tcPr>
            <w:tcW w:w="1420" w:type="dxa"/>
            <w:vAlign w:val="bottom"/>
          </w:tcPr>
          <w:p>
            <w:pPr>
              <w:spacing w:after="0"/>
              <w:rPr>
                <w:sz w:val="17"/>
                <w:szCs w:val="17"/>
                <w:color w:val="auto"/>
              </w:rPr>
            </w:pPr>
          </w:p>
        </w:tc>
        <w:tc>
          <w:tcPr>
            <w:tcW w:w="9860" w:type="dxa"/>
            <w:vAlign w:val="bottom"/>
          </w:tcPr>
          <w:p>
            <w:pPr>
              <w:ind w:left="320"/>
              <w:spacing w:after="0"/>
              <w:rPr>
                <w:sz w:val="20"/>
                <w:szCs w:val="20"/>
                <w:color w:val="auto"/>
              </w:rPr>
            </w:pPr>
            <w:r>
              <w:rPr>
                <w:rFonts w:ascii="Arial" w:cs="Arial" w:eastAsia="Arial" w:hAnsi="Arial"/>
                <w:sz w:val="17"/>
                <w:szCs w:val="17"/>
                <w:color w:val="auto"/>
                <w:w w:val="93"/>
              </w:rPr>
              <w:t>Party B’s Subsidiaries, provide Party B and Party B’s Subsidiaries with the relevant technical consultation and services (See Annex I for</w:t>
            </w:r>
          </w:p>
        </w:tc>
      </w:tr>
      <w:tr>
        <w:trPr>
          <w:trHeight w:val="212"/>
        </w:trPr>
        <w:tc>
          <w:tcPr>
            <w:tcW w:w="142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7"/>
                <w:szCs w:val="17"/>
                <w:color w:val="auto"/>
              </w:rPr>
              <w:t>specific content) according to the terms of this Agreement.</w:t>
            </w:r>
          </w:p>
        </w:tc>
      </w:tr>
      <w:tr>
        <w:trPr>
          <w:trHeight w:val="702"/>
        </w:trPr>
        <w:tc>
          <w:tcPr>
            <w:tcW w:w="1420" w:type="dxa"/>
            <w:vAlign w:val="bottom"/>
            <w:tcBorders>
              <w:bottom w:val="single" w:sz="8" w:color="9A9A9A"/>
            </w:tcBorders>
          </w:tcPr>
          <w:p>
            <w:pPr>
              <w:spacing w:after="0"/>
              <w:rPr>
                <w:sz w:val="24"/>
                <w:szCs w:val="24"/>
                <w:color w:val="auto"/>
              </w:rPr>
            </w:pPr>
          </w:p>
        </w:tc>
        <w:tc>
          <w:tcPr>
            <w:tcW w:w="9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280" w:name="page281"/>
    <w:bookmarkEnd w:id="280"/>
    <w:tbl>
      <w:tblPr>
        <w:tblLayout w:type="fixed"/>
        <w:tblInd w:w="90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1.2</w:t>
            </w:r>
          </w:p>
        </w:tc>
        <w:tc>
          <w:tcPr>
            <w:tcW w:w="9820" w:type="dxa"/>
            <w:vAlign w:val="bottom"/>
          </w:tcPr>
          <w:p>
            <w:pPr>
              <w:ind w:left="320"/>
              <w:spacing w:after="0"/>
              <w:rPr>
                <w:sz w:val="20"/>
                <w:szCs w:val="20"/>
                <w:color w:val="auto"/>
              </w:rPr>
            </w:pPr>
            <w:r>
              <w:rPr>
                <w:rFonts w:ascii="Arial" w:cs="Arial" w:eastAsia="Arial" w:hAnsi="Arial"/>
                <w:sz w:val="17"/>
                <w:szCs w:val="17"/>
                <w:color w:val="auto"/>
                <w:w w:val="95"/>
              </w:rPr>
              <w:t>Party B and Party B’s Subsidiaries agree to accept the technical consultation and services provided by Party A within the term of this</w:t>
            </w:r>
          </w:p>
        </w:tc>
      </w:tr>
      <w:tr>
        <w:trPr>
          <w:trHeight w:val="199"/>
        </w:trPr>
        <w:tc>
          <w:tcPr>
            <w:tcW w:w="52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Agreement. In consideration of the value of the technical consultation and services provided by Party A and the good cooperative relationship</w:t>
            </w:r>
          </w:p>
        </w:tc>
      </w:tr>
      <w:tr>
        <w:trPr>
          <w:trHeight w:val="199"/>
        </w:trPr>
        <w:tc>
          <w:tcPr>
            <w:tcW w:w="52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among the Parties hereto, Party B and Party B’s Subsidiaries further agree that, unless they obtain the prior</w:t>
            </w:r>
          </w:p>
        </w:tc>
      </w:tr>
      <w:tr>
        <w:trPr>
          <w:trHeight w:val="199"/>
        </w:trPr>
        <w:tc>
          <w:tcPr>
            <w:tcW w:w="52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written consent of Party A, they shall not accept any technical consultation and services provided by any third party in respect of the business</w:t>
            </w:r>
          </w:p>
        </w:tc>
      </w:tr>
      <w:tr>
        <w:trPr>
          <w:trHeight w:val="212"/>
        </w:trPr>
        <w:tc>
          <w:tcPr>
            <w:tcW w:w="52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scope involved herein within the term of this Agreement.</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1.3</w:t>
            </w:r>
          </w:p>
        </w:tc>
        <w:tc>
          <w:tcPr>
            <w:tcW w:w="9820" w:type="dxa"/>
            <w:vAlign w:val="bottom"/>
          </w:tcPr>
          <w:p>
            <w:pPr>
              <w:ind w:left="320"/>
              <w:spacing w:after="0"/>
              <w:rPr>
                <w:sz w:val="20"/>
                <w:szCs w:val="20"/>
                <w:color w:val="auto"/>
              </w:rPr>
            </w:pPr>
            <w:r>
              <w:rPr>
                <w:rFonts w:ascii="Arial" w:cs="Arial" w:eastAsia="Arial" w:hAnsi="Arial"/>
                <w:sz w:val="17"/>
                <w:szCs w:val="17"/>
                <w:color w:val="auto"/>
                <w:w w:val="92"/>
              </w:rPr>
              <w:t>For all rights, titles, interests and intellectual property rights (including but not limited to any copyrights, patents, technical know-how and</w:t>
            </w:r>
          </w:p>
        </w:tc>
      </w:tr>
      <w:tr>
        <w:trPr>
          <w:trHeight w:val="199"/>
        </w:trPr>
        <w:tc>
          <w:tcPr>
            <w:tcW w:w="52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2"/>
              </w:rPr>
              <w:t>business secrets) arising out of the performance of this Agreement, whether developed by Party A or developed by Party B and Party B’s</w:t>
            </w:r>
          </w:p>
        </w:tc>
      </w:tr>
      <w:tr>
        <w:trPr>
          <w:trHeight w:val="199"/>
        </w:trPr>
        <w:tc>
          <w:tcPr>
            <w:tcW w:w="52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0"/>
              </w:rPr>
              <w:t>Subsidiaries based on Party A’s intellectual property rights or developed by Party A based on any intellectual property rights of Party B and</w:t>
            </w:r>
          </w:p>
        </w:tc>
      </w:tr>
      <w:tr>
        <w:trPr>
          <w:trHeight w:val="199"/>
        </w:trPr>
        <w:tc>
          <w:tcPr>
            <w:tcW w:w="52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Party B’s Subsidiaries, Party A shall enjoy any sole and exclusive rights and interests therein, and Party B and Party B’s Subsidiaries shall not</w:t>
            </w:r>
          </w:p>
        </w:tc>
      </w:tr>
      <w:tr>
        <w:trPr>
          <w:trHeight w:val="212"/>
        </w:trPr>
        <w:tc>
          <w:tcPr>
            <w:tcW w:w="52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assert any rights, titles, interests and intellectual property rights to Party A.</w:t>
            </w:r>
          </w:p>
        </w:tc>
      </w:tr>
      <w:tr>
        <w:trPr>
          <w:trHeight w:val="411"/>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1.4</w:t>
            </w:r>
          </w:p>
        </w:tc>
        <w:tc>
          <w:tcPr>
            <w:tcW w:w="9820" w:type="dxa"/>
            <w:vAlign w:val="bottom"/>
          </w:tcPr>
          <w:p>
            <w:pPr>
              <w:ind w:left="320"/>
              <w:spacing w:after="0"/>
              <w:rPr>
                <w:sz w:val="20"/>
                <w:szCs w:val="20"/>
                <w:color w:val="auto"/>
              </w:rPr>
            </w:pPr>
            <w:r>
              <w:rPr>
                <w:rFonts w:ascii="Arial" w:cs="Arial" w:eastAsia="Arial" w:hAnsi="Arial"/>
                <w:sz w:val="17"/>
                <w:szCs w:val="17"/>
                <w:color w:val="auto"/>
                <w:w w:val="90"/>
              </w:rPr>
              <w:t>Provided that, if developed by Party A based on any intellectual property rights of Party B and Party B’s Subsidiaries, Party B and Party B’s</w:t>
            </w:r>
          </w:p>
        </w:tc>
      </w:tr>
      <w:tr>
        <w:trPr>
          <w:trHeight w:val="199"/>
        </w:trPr>
        <w:tc>
          <w:tcPr>
            <w:tcW w:w="52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Subsidiaries shall ensure that such intellectual property rights are free from any defects, otherwise, any losses caused to Party A shall be borne</w:t>
            </w:r>
          </w:p>
        </w:tc>
      </w:tr>
      <w:tr>
        <w:trPr>
          <w:trHeight w:val="199"/>
        </w:trPr>
        <w:tc>
          <w:tcPr>
            <w:tcW w:w="52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2"/>
              </w:rPr>
              <w:t>by Party B and Party B’s Subsidiaries. If Party A bear the compensation liability to any third party therefor, Party A shall have the right to</w:t>
            </w:r>
          </w:p>
        </w:tc>
      </w:tr>
      <w:tr>
        <w:trPr>
          <w:trHeight w:val="212"/>
        </w:trPr>
        <w:tc>
          <w:tcPr>
            <w:tcW w:w="52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recover all its losses from Party B and Party B’s Subsidiaries after Party A makes such compensation.</w:t>
            </w:r>
          </w:p>
        </w:tc>
      </w:tr>
      <w:tr>
        <w:trPr>
          <w:trHeight w:val="386"/>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1.5</w:t>
            </w: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In consideration of the good cooperative relationship among the Parties hereto, Party B and Party B’s Subsidiaries undertake that, if they are</w:t>
            </w:r>
          </w:p>
        </w:tc>
      </w:tr>
      <w:tr>
        <w:trPr>
          <w:trHeight w:val="199"/>
        </w:trPr>
        <w:tc>
          <w:tcPr>
            <w:tcW w:w="52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intended to carry out any business cooperation with any other enterprises, they shall obtain the consent of Party A, and Party A or its affiliates</w:t>
            </w:r>
          </w:p>
        </w:tc>
      </w:tr>
      <w:tr>
        <w:trPr>
          <w:trHeight w:val="212"/>
        </w:trPr>
        <w:tc>
          <w:tcPr>
            <w:tcW w:w="52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shall have the priority of cooperation under the same conditions.</w:t>
            </w:r>
          </w:p>
        </w:tc>
      </w:tr>
    </w:tbl>
    <w:p>
      <w:pPr>
        <w:spacing w:after="0" w:line="208" w:lineRule="exact"/>
        <w:rPr>
          <w:sz w:val="20"/>
          <w:szCs w:val="20"/>
          <w:color w:val="auto"/>
        </w:rPr>
      </w:pPr>
    </w:p>
    <w:p>
      <w:pPr>
        <w:ind w:left="900" w:hanging="851"/>
        <w:spacing w:after="0"/>
        <w:tabs>
          <w:tab w:leader="none" w:pos="900"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 and Payment of Technical Consultation and Service Fees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Service Fees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20" w:type="dxa"/>
            <w:vAlign w:val="bottom"/>
          </w:tcPr>
          <w:p>
            <w:pPr>
              <w:jc w:val="right"/>
              <w:ind w:right="277"/>
              <w:spacing w:after="0"/>
              <w:rPr>
                <w:sz w:val="20"/>
                <w:szCs w:val="20"/>
                <w:color w:val="auto"/>
              </w:rPr>
            </w:pPr>
            <w:r>
              <w:rPr>
                <w:rFonts w:ascii="Arial" w:cs="Arial" w:eastAsia="Arial" w:hAnsi="Arial"/>
                <w:sz w:val="17"/>
                <w:szCs w:val="17"/>
                <w:color w:val="auto"/>
              </w:rPr>
              <w:t>2.1</w:t>
            </w:r>
          </w:p>
        </w:tc>
        <w:tc>
          <w:tcPr>
            <w:tcW w:w="9860" w:type="dxa"/>
            <w:vAlign w:val="bottom"/>
          </w:tcPr>
          <w:p>
            <w:pPr>
              <w:ind w:left="340"/>
              <w:spacing w:after="0"/>
              <w:rPr>
                <w:sz w:val="20"/>
                <w:szCs w:val="20"/>
                <w:color w:val="auto"/>
              </w:rPr>
            </w:pPr>
            <w:r>
              <w:rPr>
                <w:rFonts w:ascii="Arial" w:cs="Arial" w:eastAsia="Arial" w:hAnsi="Arial"/>
                <w:sz w:val="17"/>
                <w:szCs w:val="17"/>
                <w:color w:val="auto"/>
                <w:w w:val="90"/>
              </w:rPr>
              <w:t>The Parties hereto agree that any Service Fees under this Agreement shall be determined and paid in such way as listed in Annex II hereto.</w:t>
            </w:r>
          </w:p>
        </w:tc>
      </w:tr>
      <w:tr>
        <w:trPr>
          <w:trHeight w:val="411"/>
        </w:trPr>
        <w:tc>
          <w:tcPr>
            <w:tcW w:w="1420" w:type="dxa"/>
            <w:vAlign w:val="bottom"/>
          </w:tcPr>
          <w:p>
            <w:pPr>
              <w:jc w:val="right"/>
              <w:ind w:right="277"/>
              <w:spacing w:after="0"/>
              <w:rPr>
                <w:sz w:val="20"/>
                <w:szCs w:val="20"/>
                <w:color w:val="auto"/>
              </w:rPr>
            </w:pPr>
            <w:r>
              <w:rPr>
                <w:rFonts w:ascii="Arial" w:cs="Arial" w:eastAsia="Arial" w:hAnsi="Arial"/>
                <w:sz w:val="17"/>
                <w:szCs w:val="17"/>
                <w:color w:val="auto"/>
              </w:rPr>
              <w:t>2.2</w:t>
            </w:r>
          </w:p>
        </w:tc>
        <w:tc>
          <w:tcPr>
            <w:tcW w:w="9860" w:type="dxa"/>
            <w:vAlign w:val="bottom"/>
          </w:tcPr>
          <w:p>
            <w:pPr>
              <w:ind w:left="340"/>
              <w:spacing w:after="0"/>
              <w:rPr>
                <w:sz w:val="20"/>
                <w:szCs w:val="20"/>
                <w:color w:val="auto"/>
              </w:rPr>
            </w:pPr>
            <w:r>
              <w:rPr>
                <w:rFonts w:ascii="Arial" w:cs="Arial" w:eastAsia="Arial" w:hAnsi="Arial"/>
                <w:sz w:val="17"/>
                <w:szCs w:val="17"/>
                <w:color w:val="auto"/>
                <w:w w:val="90"/>
              </w:rPr>
              <w:t>If Party B and Party B’s Subsidiaries fail to pay any Service Fees and other expenses according to the provisions of this Agreement, Party B</w:t>
            </w:r>
          </w:p>
        </w:tc>
      </w:tr>
      <w:tr>
        <w:trPr>
          <w:trHeight w:val="212"/>
        </w:trPr>
        <w:tc>
          <w:tcPr>
            <w:tcW w:w="14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and Party B’s Subsidiaries shall separately pay to Party A a default fine on the basis of 0.05% of the amount owed per day.</w:t>
            </w:r>
          </w:p>
        </w:tc>
      </w:tr>
      <w:tr>
        <w:trPr>
          <w:trHeight w:val="407"/>
        </w:trPr>
        <w:tc>
          <w:tcPr>
            <w:tcW w:w="1420" w:type="dxa"/>
            <w:vAlign w:val="bottom"/>
          </w:tcPr>
          <w:p>
            <w:pPr>
              <w:jc w:val="right"/>
              <w:ind w:right="277"/>
              <w:spacing w:after="0"/>
              <w:rPr>
                <w:sz w:val="20"/>
                <w:szCs w:val="20"/>
                <w:color w:val="auto"/>
              </w:rPr>
            </w:pPr>
            <w:r>
              <w:rPr>
                <w:rFonts w:ascii="Arial" w:cs="Arial" w:eastAsia="Arial" w:hAnsi="Arial"/>
                <w:sz w:val="17"/>
                <w:szCs w:val="17"/>
                <w:color w:val="auto"/>
              </w:rPr>
              <w:t>2.3</w:t>
            </w:r>
          </w:p>
        </w:tc>
        <w:tc>
          <w:tcPr>
            <w:tcW w:w="9860" w:type="dxa"/>
            <w:vAlign w:val="bottom"/>
          </w:tcPr>
          <w:p>
            <w:pPr>
              <w:ind w:left="340"/>
              <w:spacing w:after="0"/>
              <w:rPr>
                <w:sz w:val="20"/>
                <w:szCs w:val="20"/>
                <w:color w:val="auto"/>
              </w:rPr>
            </w:pPr>
            <w:r>
              <w:rPr>
                <w:rFonts w:ascii="Arial" w:cs="Arial" w:eastAsia="Arial" w:hAnsi="Arial"/>
                <w:sz w:val="17"/>
                <w:szCs w:val="17"/>
                <w:color w:val="auto"/>
                <w:w w:val="93"/>
              </w:rPr>
              <w:t>Party A shall have the right to assign its employees or certified public accountants of China or other countries (hereinafter referred to as</w:t>
            </w:r>
          </w:p>
        </w:tc>
      </w:tr>
      <w:tr>
        <w:trPr>
          <w:trHeight w:val="203"/>
        </w:trPr>
        <w:tc>
          <w:tcPr>
            <w:tcW w:w="14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b w:val="1"/>
                <w:bCs w:val="1"/>
                <w:color w:val="auto"/>
                <w:w w:val="91"/>
              </w:rPr>
              <w:t>Party A’s Authorized Representative</w:t>
            </w:r>
            <w:r>
              <w:rPr>
                <w:rFonts w:ascii="Arial" w:cs="Arial" w:eastAsia="Arial" w:hAnsi="Arial"/>
                <w:sz w:val="17"/>
                <w:szCs w:val="17"/>
                <w:color w:val="auto"/>
                <w:w w:val="91"/>
              </w:rPr>
              <w:t>”) at its own expense to check the accounts of Party B and Party B’s Subsidiaries so as to audit the</w:t>
            </w:r>
          </w:p>
        </w:tc>
      </w:tr>
      <w:tr>
        <w:trPr>
          <w:trHeight w:val="199"/>
        </w:trPr>
        <w:tc>
          <w:tcPr>
            <w:tcW w:w="14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7"/>
              </w:rPr>
              <w:t>calculation method and amount of Service Fees. Therefore, Party B and Party B’s Subsidiaries shall provide Party A’s Authorized</w:t>
            </w:r>
          </w:p>
        </w:tc>
      </w:tr>
      <w:tr>
        <w:trPr>
          <w:trHeight w:val="199"/>
        </w:trPr>
        <w:tc>
          <w:tcPr>
            <w:tcW w:w="14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89"/>
              </w:rPr>
              <w:t>Representative with any documents, accounts, records and data required by Party A’s Authorized Representative so that Party A’s Authorized</w:t>
            </w:r>
          </w:p>
        </w:tc>
      </w:tr>
      <w:tr>
        <w:trPr>
          <w:trHeight w:val="199"/>
        </w:trPr>
        <w:tc>
          <w:tcPr>
            <w:tcW w:w="14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89"/>
              </w:rPr>
              <w:t>Representative can audit the accounts of Party B and Party B’s Subsidiaries and determine the amount of Service Fees. Unless there are any</w:t>
            </w:r>
          </w:p>
        </w:tc>
      </w:tr>
      <w:tr>
        <w:trPr>
          <w:trHeight w:val="212"/>
        </w:trPr>
        <w:tc>
          <w:tcPr>
            <w:tcW w:w="14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gross errors, the amount of Service Fees shall be subject to the amount determined by Party A’s Authorized Representative.</w:t>
            </w:r>
          </w:p>
        </w:tc>
      </w:tr>
      <w:tr>
        <w:trPr>
          <w:trHeight w:val="386"/>
        </w:trPr>
        <w:tc>
          <w:tcPr>
            <w:tcW w:w="1420" w:type="dxa"/>
            <w:vAlign w:val="bottom"/>
          </w:tcPr>
          <w:p>
            <w:pPr>
              <w:jc w:val="right"/>
              <w:ind w:right="277"/>
              <w:spacing w:after="0"/>
              <w:rPr>
                <w:sz w:val="20"/>
                <w:szCs w:val="20"/>
                <w:color w:val="auto"/>
              </w:rPr>
            </w:pPr>
            <w:r>
              <w:rPr>
                <w:rFonts w:ascii="Arial" w:cs="Arial" w:eastAsia="Arial" w:hAnsi="Arial"/>
                <w:sz w:val="17"/>
                <w:szCs w:val="17"/>
                <w:color w:val="auto"/>
              </w:rPr>
              <w:t>2.4</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Unless the Parties hereto reach an agreement through further consultation, any Service Fees paid by Party B and Party B’s Subsidiaries to</w:t>
            </w:r>
          </w:p>
        </w:tc>
      </w:tr>
      <w:tr>
        <w:trPr>
          <w:trHeight w:val="199"/>
        </w:trPr>
        <w:tc>
          <w:tcPr>
            <w:tcW w:w="14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Party A according to this Agreement shall not be deducted or offset. Party B and Party B’s Subsidiaries shall solely be responsible for any</w:t>
            </w:r>
          </w:p>
        </w:tc>
      </w:tr>
      <w:tr>
        <w:trPr>
          <w:trHeight w:val="212"/>
        </w:trPr>
        <w:tc>
          <w:tcPr>
            <w:tcW w:w="14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relevant expenses (such as bank charges) incurred from the payment of Service Fees.</w:t>
            </w:r>
          </w:p>
        </w:tc>
      </w:tr>
      <w:tr>
        <w:trPr>
          <w:trHeight w:val="411"/>
        </w:trPr>
        <w:tc>
          <w:tcPr>
            <w:tcW w:w="1420" w:type="dxa"/>
            <w:vAlign w:val="bottom"/>
          </w:tcPr>
          <w:p>
            <w:pPr>
              <w:jc w:val="right"/>
              <w:ind w:right="277"/>
              <w:spacing w:after="0"/>
              <w:rPr>
                <w:sz w:val="20"/>
                <w:szCs w:val="20"/>
                <w:color w:val="auto"/>
              </w:rPr>
            </w:pPr>
            <w:r>
              <w:rPr>
                <w:rFonts w:ascii="Arial" w:cs="Arial" w:eastAsia="Arial" w:hAnsi="Arial"/>
                <w:sz w:val="17"/>
                <w:szCs w:val="17"/>
                <w:color w:val="auto"/>
              </w:rPr>
              <w:t>2.5</w:t>
            </w:r>
          </w:p>
        </w:tc>
        <w:tc>
          <w:tcPr>
            <w:tcW w:w="9860" w:type="dxa"/>
            <w:vAlign w:val="bottom"/>
          </w:tcPr>
          <w:p>
            <w:pPr>
              <w:ind w:left="340"/>
              <w:spacing w:after="0"/>
              <w:rPr>
                <w:sz w:val="20"/>
                <w:szCs w:val="20"/>
                <w:color w:val="auto"/>
              </w:rPr>
            </w:pPr>
            <w:r>
              <w:rPr>
                <w:rFonts w:ascii="Arial" w:cs="Arial" w:eastAsia="Arial" w:hAnsi="Arial"/>
                <w:sz w:val="17"/>
                <w:szCs w:val="17"/>
                <w:color w:val="auto"/>
                <w:w w:val="89"/>
              </w:rPr>
              <w:t>In addition, Party B and Party B’s Subsidiaries shall pay to Party A any actual expenses incurred from the provision by Party A of its technical</w:t>
            </w:r>
          </w:p>
        </w:tc>
      </w:tr>
      <w:tr>
        <w:trPr>
          <w:trHeight w:val="199"/>
        </w:trPr>
        <w:tc>
          <w:tcPr>
            <w:tcW w:w="14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7"/>
              </w:rPr>
              <w:t>consultation and service under this Agreement while paying the Service Fees, including but not limited to any traveling expenses,</w:t>
            </w:r>
          </w:p>
        </w:tc>
      </w:tr>
      <w:tr>
        <w:trPr>
          <w:trHeight w:val="212"/>
        </w:trPr>
        <w:tc>
          <w:tcPr>
            <w:tcW w:w="14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transportation fees, printing expenses and postage.</w:t>
            </w:r>
          </w:p>
        </w:tc>
      </w:tr>
      <w:tr>
        <w:trPr>
          <w:trHeight w:val="727"/>
        </w:trPr>
        <w:tc>
          <w:tcPr>
            <w:tcW w:w="1420" w:type="dxa"/>
            <w:vAlign w:val="bottom"/>
            <w:tcBorders>
              <w:bottom w:val="single" w:sz="8" w:color="9A9A9A"/>
            </w:tcBorders>
          </w:tcPr>
          <w:p>
            <w:pPr>
              <w:spacing w:after="0"/>
              <w:rPr>
                <w:sz w:val="24"/>
                <w:szCs w:val="24"/>
                <w:color w:val="auto"/>
              </w:rPr>
            </w:pPr>
          </w:p>
        </w:tc>
        <w:tc>
          <w:tcPr>
            <w:tcW w:w="9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281" w:name="page282"/>
    <w:bookmarkEnd w:id="281"/>
    <w:p>
      <w:pPr>
        <w:ind w:left="811"/>
        <w:spacing w:after="0"/>
        <w:tabs>
          <w:tab w:leader="none" w:pos="169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3"/>
          <w:szCs w:val="13"/>
          <w:color w:val="auto"/>
        </w:rPr>
        <w:t>The Parties hereto agree that all economic losses arising out of the performance of this Agreement shall be borne jointly by the Parties hereto.</w:t>
      </w:r>
    </w:p>
    <w:p>
      <w:pPr>
        <w:spacing w:after="0" w:line="224" w:lineRule="exact"/>
        <w:rPr>
          <w:sz w:val="20"/>
          <w:szCs w:val="20"/>
          <w:color w:val="auto"/>
        </w:rPr>
      </w:pPr>
    </w:p>
    <w:p>
      <w:pPr>
        <w:ind w:left="851" w:hanging="851"/>
        <w:spacing w:after="0"/>
        <w:tabs>
          <w:tab w:leader="none" w:pos="851"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32" w:lineRule="exact"/>
        <w:rPr>
          <w:sz w:val="20"/>
          <w:szCs w:val="20"/>
          <w:color w:val="auto"/>
        </w:rPr>
      </w:pPr>
    </w:p>
    <w:p>
      <w:pPr>
        <w:ind w:left="831"/>
        <w:spacing w:after="0"/>
        <w:tabs>
          <w:tab w:leader="none" w:pos="167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3"/>
          <w:szCs w:val="13"/>
          <w:color w:val="auto"/>
        </w:rPr>
        <w:t>Party A hereby represents and warrants as follows:</w:t>
      </w:r>
    </w:p>
    <w:p>
      <w:pPr>
        <w:spacing w:after="0" w:line="228" w:lineRule="exact"/>
        <w:rPr>
          <w:sz w:val="20"/>
          <w:szCs w:val="20"/>
          <w:color w:val="auto"/>
        </w:rPr>
      </w:pPr>
    </w:p>
    <w:p>
      <w:pPr>
        <w:ind w:left="1691"/>
        <w:spacing w:after="0"/>
        <w:tabs>
          <w:tab w:leader="none" w:pos="253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Party A is a company legally incorporated and validly existing under the laws of the PRC;</w:t>
      </w:r>
    </w:p>
    <w:p>
      <w:pPr>
        <w:spacing w:after="0" w:line="228" w:lineRule="exact"/>
        <w:rPr>
          <w:sz w:val="20"/>
          <w:szCs w:val="20"/>
          <w:color w:val="auto"/>
        </w:rPr>
      </w:pPr>
    </w:p>
    <w:p>
      <w:pPr>
        <w:jc w:val="both"/>
        <w:ind w:left="2551" w:hanging="859"/>
        <w:spacing w:after="0" w:line="254" w:lineRule="auto"/>
        <w:tabs>
          <w:tab w:leader="none" w:pos="253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Party A shall perform this Agreement within its corporate power and business scope, has obtained any necessary corporate authorizations and consents and approvals from any third party and government departments and has not breached any legal or contractual restrictions that are binding or influential on it; and</w:t>
      </w:r>
    </w:p>
    <w:p>
      <w:pPr>
        <w:spacing w:after="0" w:line="202" w:lineRule="exact"/>
        <w:rPr>
          <w:sz w:val="20"/>
          <w:szCs w:val="20"/>
          <w:color w:val="auto"/>
        </w:rPr>
      </w:pPr>
    </w:p>
    <w:p>
      <w:pPr>
        <w:ind w:left="1691"/>
        <w:spacing w:after="0"/>
        <w:tabs>
          <w:tab w:leader="none" w:pos="253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This Agreement shall constitute a legal, effective, binding and enforceable legal document for Party A once signed.</w:t>
      </w:r>
    </w:p>
    <w:p>
      <w:pPr>
        <w:spacing w:after="0" w:line="228" w:lineRule="exact"/>
        <w:rPr>
          <w:sz w:val="20"/>
          <w:szCs w:val="20"/>
          <w:color w:val="auto"/>
        </w:rPr>
      </w:pPr>
    </w:p>
    <w:p>
      <w:pPr>
        <w:ind w:left="831"/>
        <w:spacing w:after="0"/>
        <w:tabs>
          <w:tab w:leader="none" w:pos="167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3"/>
          <w:szCs w:val="13"/>
          <w:color w:val="auto"/>
        </w:rPr>
        <w:t>Party B and Party B’s Subsidiaries hereby represent and warrant as follows:</w:t>
      </w:r>
    </w:p>
    <w:p>
      <w:pPr>
        <w:spacing w:after="0" w:line="228" w:lineRule="exact"/>
        <w:rPr>
          <w:sz w:val="20"/>
          <w:szCs w:val="20"/>
          <w:color w:val="auto"/>
        </w:rPr>
      </w:pPr>
    </w:p>
    <w:p>
      <w:pPr>
        <w:ind w:left="1651"/>
        <w:spacing w:after="0"/>
        <w:tabs>
          <w:tab w:leader="none" w:pos="249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Party B and Party B’s Subsidiaries are legal persons legally incorporated and validly existing under the laws of the PRC;</w:t>
      </w:r>
    </w:p>
    <w:p>
      <w:pPr>
        <w:spacing w:after="0" w:line="228" w:lineRule="exact"/>
        <w:rPr>
          <w:sz w:val="20"/>
          <w:szCs w:val="20"/>
          <w:color w:val="auto"/>
        </w:rPr>
      </w:pPr>
    </w:p>
    <w:p>
      <w:pPr>
        <w:jc w:val="both"/>
        <w:ind w:left="2591" w:hanging="884"/>
        <w:spacing w:after="0" w:line="304" w:lineRule="auto"/>
        <w:tabs>
          <w:tab w:leader="none" w:pos="257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Party B and Party B’s Subsidiaries shall sign and perform this Agreement within their corporate power and business scope, have obtained any necessary corporate authorizations and consents and approvals from any third party or government departments and have not breached any legal or contractual restrictions that are binding or influential on it; and</w:t>
      </w:r>
    </w:p>
    <w:p>
      <w:pPr>
        <w:spacing w:after="0" w:line="167" w:lineRule="exact"/>
        <w:rPr>
          <w:sz w:val="20"/>
          <w:szCs w:val="20"/>
          <w:color w:val="auto"/>
        </w:rPr>
      </w:pPr>
    </w:p>
    <w:p>
      <w:pPr>
        <w:ind w:left="2531" w:hanging="858"/>
        <w:spacing w:after="0" w:line="264" w:lineRule="auto"/>
        <w:tabs>
          <w:tab w:leader="none" w:pos="251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This Agreement shall constitute a legal, effective, binding and enforceable legal document for Party B and Party B’s Subsidiaries once signed.</w:t>
      </w:r>
    </w:p>
    <w:p>
      <w:pPr>
        <w:spacing w:after="0" w:line="189" w:lineRule="exact"/>
        <w:rPr>
          <w:sz w:val="20"/>
          <w:szCs w:val="20"/>
          <w:color w:val="auto"/>
        </w:rPr>
      </w:pPr>
    </w:p>
    <w:p>
      <w:pPr>
        <w:ind w:left="851" w:hanging="851"/>
        <w:spacing w:after="0"/>
        <w:tabs>
          <w:tab w:leader="none" w:pos="851"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32" w:lineRule="exact"/>
        <w:rPr>
          <w:sz w:val="20"/>
          <w:szCs w:val="20"/>
          <w:color w:val="auto"/>
        </w:rPr>
      </w:pPr>
    </w:p>
    <w:p>
      <w:pPr>
        <w:jc w:val="both"/>
        <w:ind w:left="1631" w:hanging="859"/>
        <w:spacing w:after="0" w:line="262" w:lineRule="auto"/>
        <w:tabs>
          <w:tab w:leader="none" w:pos="161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The Parties agree that they shall try to take all reasonable security measures to keep in confidence any confidential data and information (hereinafter referred to as “Confidential Information”, the providing party of such data and information shall clearly notify in writing that such data and information shall be the Confidential Information when providing them) known or accessed by them due to the signing and performance of this Agreement. Without the prior written consent of the Confidential Information provider, such Confidential Information shall not be disclosed, provided or transferred to any third party (including any merger of the receiving party of such Confidential Information with or into any third party, and any direct or indirect control thereof by any third party). Once this Agreement is terminated, Party A and Party B and Party B’s Subsidiaries shall return any documents, data or software containing any Confidential Information to the original owner or providing party of such Confidential Information or destroy them with the consent of the original owner or provider, including removing any Confidential Information from any related memory devices and shall not continue to use these Confidential Information. Party A and Party B and Party B’s Subsidiaries shall take any necessary measures to disclose any Confidential Information only to any staff members, agents or professional advisors of Party B and Party B’s Subsidiaries who need to know such Confidential Information and to cause such staff members, agents or professional advisors of Party B and Party B’s Subsidiaries to comply with any confidentiality obligations under this Agreement. Party A, Party B and Party B’s Subsidiaries and such staff members, agents or professional advisors of Party B and Party B’s Subsidiaries shall sign a specific non-disclosure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297815</wp:posOffset>
            </wp:positionV>
            <wp:extent cx="7184390" cy="412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326" w:right="339" w:bottom="1440" w:gutter="0" w:footer="0" w:header="0"/>
        </w:sectPr>
      </w:pPr>
    </w:p>
    <w:bookmarkStart w:id="282" w:name="page283"/>
    <w:bookmarkEnd w:id="282"/>
    <w:p>
      <w:pPr>
        <w:ind w:left="860"/>
        <w:spacing w:after="0"/>
        <w:tabs>
          <w:tab w:leader="none" w:pos="16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No restrictions mentioned above shall apply to:</w:t>
      </w:r>
    </w:p>
    <w:p>
      <w:pPr>
        <w:spacing w:after="0" w:line="228" w:lineRule="exact"/>
        <w:rPr>
          <w:sz w:val="20"/>
          <w:szCs w:val="20"/>
          <w:color w:val="auto"/>
        </w:rPr>
      </w:pPr>
    </w:p>
    <w:p>
      <w:pPr>
        <w:ind w:left="1740"/>
        <w:spacing w:after="0"/>
        <w:tabs>
          <w:tab w:leader="none" w:pos="258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5"/>
          <w:szCs w:val="15"/>
          <w:color w:val="auto"/>
        </w:rPr>
        <w:t>any information that has become generally available to the public at the time of disclosure;</w:t>
      </w:r>
    </w:p>
    <w:p>
      <w:pPr>
        <w:spacing w:after="0" w:line="228" w:lineRule="exact"/>
        <w:rPr>
          <w:sz w:val="20"/>
          <w:szCs w:val="20"/>
          <w:color w:val="auto"/>
        </w:rPr>
      </w:pPr>
    </w:p>
    <w:p>
      <w:pPr>
        <w:ind w:left="2600" w:right="520" w:hanging="871"/>
        <w:spacing w:after="0" w:line="264" w:lineRule="auto"/>
        <w:tabs>
          <w:tab w:leader="none" w:pos="258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any information that has become generally available to the public after disclosure through no fault of the receiving party of Confidential Information;</w:t>
      </w:r>
    </w:p>
    <w:p>
      <w:pPr>
        <w:spacing w:after="0" w:line="193" w:lineRule="exact"/>
        <w:rPr>
          <w:sz w:val="20"/>
          <w:szCs w:val="20"/>
          <w:color w:val="auto"/>
        </w:rPr>
      </w:pPr>
    </w:p>
    <w:p>
      <w:pPr>
        <w:jc w:val="both"/>
        <w:ind w:left="2600" w:right="40" w:hanging="871"/>
        <w:spacing w:after="0" w:line="254" w:lineRule="auto"/>
        <w:tabs>
          <w:tab w:leader="none" w:pos="258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any information that can be proved by the receiving party of Confidential Information to have been in the possession of the receiving party before disclosure and not to be directly or indirectly received from the providing party of Confidential Information; and</w:t>
      </w:r>
    </w:p>
    <w:p>
      <w:pPr>
        <w:spacing w:after="0" w:line="202" w:lineRule="exact"/>
        <w:rPr>
          <w:sz w:val="20"/>
          <w:szCs w:val="20"/>
          <w:color w:val="auto"/>
        </w:rPr>
      </w:pPr>
    </w:p>
    <w:p>
      <w:pPr>
        <w:jc w:val="both"/>
        <w:ind w:left="2600" w:right="40" w:hanging="871"/>
        <w:spacing w:after="0" w:line="304" w:lineRule="auto"/>
        <w:tabs>
          <w:tab w:leader="none" w:pos="258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color w:val="auto"/>
        </w:rPr>
        <w:t>any information required by law to be disclosed by the receiving party of Confidential Information to the relevant government departments, stock exchange and other institutions, or any of the above Confidential Information disclosed by the receiving party of Confidential Information to its direct legal advisors and financial consultants due to its normal business needs.</w:t>
      </w:r>
    </w:p>
    <w:p>
      <w:pPr>
        <w:spacing w:after="0" w:line="167"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3"/>
          <w:szCs w:val="13"/>
          <w:color w:val="auto"/>
        </w:rPr>
        <w:t>The Parties hereto agree that, whether this Agreement is modified, canceled or terminated, these provisions hereof shall remain in force.</w:t>
      </w:r>
    </w:p>
    <w:p>
      <w:pPr>
        <w:spacing w:after="0" w:line="224" w:lineRule="exact"/>
        <w:rPr>
          <w:sz w:val="20"/>
          <w:szCs w:val="20"/>
          <w:color w:val="auto"/>
        </w:rPr>
      </w:pPr>
    </w:p>
    <w:p>
      <w:pPr>
        <w:ind w:left="900" w:hanging="851"/>
        <w:spacing w:after="0"/>
        <w:tabs>
          <w:tab w:leader="none" w:pos="900"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5.1</w:t>
            </w:r>
          </w:p>
        </w:tc>
        <w:tc>
          <w:tcPr>
            <w:tcW w:w="9880" w:type="dxa"/>
            <w:vAlign w:val="bottom"/>
          </w:tcPr>
          <w:p>
            <w:pPr>
              <w:ind w:left="340"/>
              <w:spacing w:after="0"/>
              <w:rPr>
                <w:sz w:val="20"/>
                <w:szCs w:val="20"/>
                <w:color w:val="auto"/>
              </w:rPr>
            </w:pPr>
            <w:r>
              <w:rPr>
                <w:rFonts w:ascii="Arial" w:cs="Arial" w:eastAsia="Arial" w:hAnsi="Arial"/>
                <w:sz w:val="17"/>
                <w:szCs w:val="17"/>
                <w:color w:val="auto"/>
                <w:w w:val="90"/>
              </w:rPr>
              <w:t>Except as otherwise stipulated herein, if any Party fails to fully perform or suspends the performance of its obligations under this Agreement,</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6"/>
              </w:rPr>
              <w:t>and such party fails to correct the above acts within Ten (10) days from receipt of a notice from the other party or makes any untrue</w:t>
            </w:r>
          </w:p>
        </w:tc>
      </w:tr>
      <w:tr>
        <w:trPr>
          <w:trHeight w:val="212"/>
        </w:trPr>
        <w:tc>
          <w:tcPr>
            <w:tcW w:w="14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representations and warranties, such party shall be deemed to have breached this Agreement.</w:t>
            </w:r>
          </w:p>
        </w:tc>
      </w:tr>
      <w:tr>
        <w:trPr>
          <w:trHeight w:val="411"/>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5.2</w:t>
            </w:r>
          </w:p>
        </w:tc>
        <w:tc>
          <w:tcPr>
            <w:tcW w:w="9880" w:type="dxa"/>
            <w:vAlign w:val="bottom"/>
          </w:tcPr>
          <w:p>
            <w:pPr>
              <w:ind w:left="340"/>
              <w:spacing w:after="0"/>
              <w:rPr>
                <w:sz w:val="20"/>
                <w:szCs w:val="20"/>
                <w:color w:val="auto"/>
              </w:rPr>
            </w:pPr>
            <w:r>
              <w:rPr>
                <w:rFonts w:ascii="Arial" w:cs="Arial" w:eastAsia="Arial" w:hAnsi="Arial"/>
                <w:sz w:val="17"/>
                <w:szCs w:val="17"/>
                <w:color w:val="auto"/>
                <w:w w:val="89"/>
              </w:rPr>
              <w:t>If any Party hereto breaches this Agreement or any representations and warranties made by such party in this Agreement, the non-breaching</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3"/>
              </w:rPr>
              <w:t>party may notify in writing the breaching party of correcting such breach within Ten (10) days from receipt of a notice, taking appropriate</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89"/>
              </w:rPr>
              <w:t>measures to effectively and promptly avoid any damage and continuing to perform this Agreement. In case of any damage arising out of such</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1"/>
              </w:rPr>
              <w:t>breach, the breaching party shall make compensation to the non-breaching party to enable the non-breaching party to obtain all rights and</w:t>
            </w:r>
          </w:p>
        </w:tc>
      </w:tr>
      <w:tr>
        <w:trPr>
          <w:trHeight w:val="212"/>
        </w:trPr>
        <w:tc>
          <w:tcPr>
            <w:tcW w:w="14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interests that should have been obtained during the performance of this Agreement.</w:t>
            </w:r>
          </w:p>
        </w:tc>
      </w:tr>
      <w:tr>
        <w:trPr>
          <w:trHeight w:val="411"/>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5.3</w:t>
            </w:r>
          </w:p>
        </w:tc>
        <w:tc>
          <w:tcPr>
            <w:tcW w:w="9880" w:type="dxa"/>
            <w:vAlign w:val="bottom"/>
          </w:tcPr>
          <w:p>
            <w:pPr>
              <w:ind w:left="340"/>
              <w:spacing w:after="0"/>
              <w:rPr>
                <w:sz w:val="20"/>
                <w:szCs w:val="20"/>
                <w:color w:val="auto"/>
              </w:rPr>
            </w:pPr>
            <w:r>
              <w:rPr>
                <w:rFonts w:ascii="Arial" w:cs="Arial" w:eastAsia="Arial" w:hAnsi="Arial"/>
                <w:sz w:val="17"/>
                <w:szCs w:val="17"/>
                <w:color w:val="auto"/>
                <w:w w:val="89"/>
              </w:rPr>
              <w:t>If any breach of this Agreement by any Party hereto renders the other party to bear any costs and liabilities or suffer any losses (including but</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88"/>
              </w:rPr>
              <w:t>not limited to any loss of profits), the breaching party shall make compensation to the non-breaching party in respect of any of the above costs,</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7"/>
              </w:rPr>
              <w:t>liabilities or losses (including but not limited to any interest payment or loss and lawyer’s fees arising out of such breach). The total</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89"/>
              </w:rPr>
              <w:t>compensatory payment paid by the breaching party to the non-breaching party shall be the same as the losses arising out of such breach, and</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89"/>
              </w:rPr>
              <w:t>the above compensatory payment shall include any interests that should have been obtained by the non-breaching party in the event that the</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87"/>
              </w:rPr>
              <w:t>Parties hereto normally perform this Agreement, provided that such compensatory payment shall not exceed any losses reasonably expected by</w:t>
            </w:r>
          </w:p>
        </w:tc>
      </w:tr>
      <w:tr>
        <w:trPr>
          <w:trHeight w:val="212"/>
        </w:trPr>
        <w:tc>
          <w:tcPr>
            <w:tcW w:w="14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the Parties hereto at the time of the conclusion of this Agreement that may be caused by such breach of this Agreement.</w:t>
            </w:r>
          </w:p>
        </w:tc>
      </w:tr>
      <w:tr>
        <w:trPr>
          <w:trHeight w:val="727"/>
        </w:trPr>
        <w:tc>
          <w:tcPr>
            <w:tcW w:w="140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51" w:right="299" w:bottom="1440" w:gutter="0" w:footer="0" w:header="0"/>
        </w:sectPr>
      </w:pPr>
    </w:p>
    <w:bookmarkStart w:id="283" w:name="page284"/>
    <w:bookmarkEnd w:id="283"/>
    <w:tbl>
      <w:tblPr>
        <w:tblLayout w:type="fixed"/>
        <w:tblInd w:w="88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5.4</w:t>
            </w: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Party B and Party B’s Subsidiaries shall bear full responsibility for any claims made by any third party arising out of any failure by Party B</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9"/>
              </w:rPr>
              <w:t>and Party B’s Subsidiaries to carry on their business according to Party A’s instructions or any improper use of Party A’s intellectual property</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rights or any improper technical operation. If Party B and Party B’s Subsidiaries find that any third party uses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any of Party A’s intellectual property rights without the legal authorization, Party B and Party B’s Subsidiaries shall immediately notify Party</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 and cooperate with Party A in taking any actions.</w:t>
            </w:r>
          </w:p>
        </w:tc>
      </w:tr>
      <w:tr>
        <w:trPr>
          <w:trHeight w:val="411"/>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5.5</w:t>
            </w: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If both of the Parties hereto breach this Agreement, the respective amount of compensation payable by the Parties hereto shall be determined</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according to the degree of their respective breach.</w:t>
            </w:r>
          </w:p>
        </w:tc>
      </w:tr>
    </w:tbl>
    <w:p>
      <w:pPr>
        <w:spacing w:after="0" w:line="208" w:lineRule="exact"/>
        <w:rPr>
          <w:sz w:val="20"/>
          <w:szCs w:val="20"/>
          <w:color w:val="auto"/>
        </w:rPr>
      </w:pPr>
    </w:p>
    <w:p>
      <w:pPr>
        <w:ind w:left="900" w:hanging="851"/>
        <w:spacing w:after="0"/>
        <w:tabs>
          <w:tab w:leader="none" w:pos="900"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Performance and Term</w:t>
      </w:r>
    </w:p>
    <w:p>
      <w:pPr>
        <w:spacing w:after="0" w:line="232"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6.1</w:t>
            </w:r>
          </w:p>
        </w:tc>
        <w:tc>
          <w:tcPr>
            <w:tcW w:w="9840" w:type="dxa"/>
            <w:vAlign w:val="bottom"/>
          </w:tcPr>
          <w:p>
            <w:pPr>
              <w:ind w:left="340"/>
              <w:spacing w:after="0"/>
              <w:rPr>
                <w:sz w:val="20"/>
                <w:szCs w:val="20"/>
                <w:color w:val="auto"/>
              </w:rPr>
            </w:pPr>
            <w:r>
              <w:rPr>
                <w:rFonts w:ascii="Arial" w:cs="Arial" w:eastAsia="Arial" w:hAnsi="Arial"/>
                <w:sz w:val="17"/>
                <w:szCs w:val="17"/>
                <w:color w:val="auto"/>
              </w:rPr>
              <w:t>This Agreement shall be signed on the date first above written and become effective at the same time.</w:t>
            </w:r>
          </w:p>
        </w:tc>
      </w:tr>
      <w:tr>
        <w:trPr>
          <w:trHeight w:val="424"/>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6.2</w:t>
            </w:r>
          </w:p>
        </w:tc>
        <w:tc>
          <w:tcPr>
            <w:tcW w:w="9840" w:type="dxa"/>
            <w:vAlign w:val="bottom"/>
          </w:tcPr>
          <w:p>
            <w:pPr>
              <w:ind w:left="340"/>
              <w:spacing w:after="0"/>
              <w:rPr>
                <w:sz w:val="20"/>
                <w:szCs w:val="20"/>
                <w:color w:val="auto"/>
              </w:rPr>
            </w:pPr>
            <w:r>
              <w:rPr>
                <w:rFonts w:ascii="Arial" w:cs="Arial" w:eastAsia="Arial" w:hAnsi="Arial"/>
                <w:sz w:val="17"/>
                <w:szCs w:val="17"/>
                <w:color w:val="auto"/>
              </w:rPr>
              <w:t>This Agreement is written in Chinese and is executed in Four (4) copies.</w:t>
            </w:r>
          </w:p>
        </w:tc>
      </w:tr>
      <w:tr>
        <w:trPr>
          <w:trHeight w:val="411"/>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6.3</w:t>
            </w:r>
          </w:p>
        </w:tc>
        <w:tc>
          <w:tcPr>
            <w:tcW w:w="9840" w:type="dxa"/>
            <w:vAlign w:val="bottom"/>
          </w:tcPr>
          <w:p>
            <w:pPr>
              <w:ind w:left="340"/>
              <w:spacing w:after="0"/>
              <w:rPr>
                <w:sz w:val="20"/>
                <w:szCs w:val="20"/>
                <w:color w:val="auto"/>
              </w:rPr>
            </w:pPr>
            <w:r>
              <w:rPr>
                <w:rFonts w:ascii="Arial" w:cs="Arial" w:eastAsia="Arial" w:hAnsi="Arial"/>
                <w:sz w:val="17"/>
                <w:szCs w:val="17"/>
                <w:color w:val="auto"/>
                <w:w w:val="91"/>
              </w:rPr>
              <w:t>Unless Party A cancels this Agreement in advance, the term of this Agreement shall be terminated upon dissolution of both of Party B and</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0"/>
              </w:rPr>
              <w:t>Party B’s Subsidiaries in accordance with the laws of the PRC. Upon Party A’s request prior to the expiration of this Agreement, the Parties</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2"/>
              </w:rPr>
              <w:t>hereto shall either extend the term of this Agreement at Party A’s request so as to continue to perform this Agreement or sign a separate</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exclusive technical consultation and service agreement at Party A’s request.</w:t>
            </w:r>
          </w:p>
        </w:tc>
      </w:tr>
    </w:tbl>
    <w:p>
      <w:pPr>
        <w:spacing w:after="0" w:line="208" w:lineRule="exact"/>
        <w:rPr>
          <w:sz w:val="20"/>
          <w:szCs w:val="20"/>
          <w:color w:val="auto"/>
        </w:rPr>
      </w:pPr>
    </w:p>
    <w:p>
      <w:pPr>
        <w:ind w:left="900" w:hanging="851"/>
        <w:spacing w:after="0"/>
        <w:tabs>
          <w:tab w:leader="none" w:pos="900"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32" w:lineRule="exact"/>
        <w:rPr>
          <w:sz w:val="20"/>
          <w:szCs w:val="20"/>
          <w:color w:val="auto"/>
        </w:rPr>
      </w:pPr>
    </w:p>
    <w:tbl>
      <w:tblPr>
        <w:tblLayout w:type="fixed"/>
        <w:tblInd w:w="88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7.1</w:t>
            </w:r>
          </w:p>
        </w:tc>
        <w:tc>
          <w:tcPr>
            <w:tcW w:w="9840" w:type="dxa"/>
            <w:vAlign w:val="bottom"/>
          </w:tcPr>
          <w:p>
            <w:pPr>
              <w:ind w:left="340"/>
              <w:spacing w:after="0"/>
              <w:rPr>
                <w:sz w:val="20"/>
                <w:szCs w:val="20"/>
                <w:color w:val="auto"/>
              </w:rPr>
            </w:pPr>
            <w:r>
              <w:rPr>
                <w:rFonts w:ascii="Arial" w:cs="Arial" w:eastAsia="Arial" w:hAnsi="Arial"/>
                <w:sz w:val="17"/>
                <w:szCs w:val="17"/>
                <w:color w:val="auto"/>
                <w:w w:val="95"/>
              </w:rPr>
              <w:t>Unless renewed according to the relevant provisions hereof, this Agreement shall be terminated on the expiry date of the term of this</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Agreement.</w:t>
            </w:r>
          </w:p>
        </w:tc>
      </w:tr>
      <w:tr>
        <w:trPr>
          <w:trHeight w:val="411"/>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7.2</w:t>
            </w: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The Parties hereto may terminate this Agreement upon consensus through consultation. Party B and Party B’s Subsidiaries shall not terminate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5"/>
              </w:rPr>
              <w:t>this Agreement within the term of this Agreement without the written consent of Party A. Party A shall have the right to terminate this</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8"/>
              </w:rPr>
              <w:t>Agreement at any time by giving a written notice to Party B, Party B's Subsidiaries and shareholders Thirty (30) days in advance.</w:t>
            </w:r>
          </w:p>
        </w:tc>
      </w:tr>
      <w:tr>
        <w:trPr>
          <w:trHeight w:val="424"/>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7.3</w:t>
            </w:r>
          </w:p>
        </w:tc>
        <w:tc>
          <w:tcPr>
            <w:tcW w:w="9840" w:type="dxa"/>
            <w:vAlign w:val="bottom"/>
          </w:tcPr>
          <w:p>
            <w:pPr>
              <w:ind w:left="340"/>
              <w:spacing w:after="0"/>
              <w:rPr>
                <w:sz w:val="20"/>
                <w:szCs w:val="20"/>
                <w:color w:val="auto"/>
              </w:rPr>
            </w:pPr>
            <w:r>
              <w:rPr>
                <w:rFonts w:ascii="Arial" w:cs="Arial" w:eastAsia="Arial" w:hAnsi="Arial"/>
                <w:sz w:val="17"/>
                <w:szCs w:val="17"/>
                <w:color w:val="auto"/>
                <w:w w:val="98"/>
              </w:rPr>
              <w:t>Any rights and obligations of the Parties hereto under the Articles 4 and 5 hereof shall survive the termination of this Agreement.</w:t>
            </w:r>
          </w:p>
        </w:tc>
      </w:tr>
    </w:tbl>
    <w:p>
      <w:pPr>
        <w:spacing w:after="0" w:line="208" w:lineRule="exact"/>
        <w:rPr>
          <w:sz w:val="20"/>
          <w:szCs w:val="20"/>
          <w:color w:val="auto"/>
        </w:rPr>
      </w:pPr>
    </w:p>
    <w:p>
      <w:pPr>
        <w:ind w:left="900" w:hanging="851"/>
        <w:spacing w:after="0"/>
        <w:tabs>
          <w:tab w:leader="none" w:pos="900"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8.1</w:t>
            </w:r>
          </w:p>
        </w:tc>
        <w:tc>
          <w:tcPr>
            <w:tcW w:w="9880" w:type="dxa"/>
            <w:vAlign w:val="bottom"/>
          </w:tcPr>
          <w:p>
            <w:pPr>
              <w:ind w:left="34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89"/>
              </w:rPr>
              <w:t>resolve such disputes through consultation in good faith. If such disputes cannot be resolved through consultation, any Party may submit such</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1400" w:type="dxa"/>
            <w:vAlign w:val="bottom"/>
          </w:tcPr>
          <w:p>
            <w:pPr>
              <w:spacing w:after="0"/>
              <w:rPr>
                <w:sz w:val="17"/>
                <w:szCs w:val="17"/>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w w:val="90"/>
              </w:rPr>
              <w:t>proceedings shall be Chinese. Any arbitral award shall be final and binding upon the Parties. No provisions of this Article shall be affected by</w:t>
            </w:r>
          </w:p>
        </w:tc>
      </w:tr>
      <w:tr>
        <w:trPr>
          <w:trHeight w:val="212"/>
        </w:trPr>
        <w:tc>
          <w:tcPr>
            <w:tcW w:w="14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any termination or cancellation of this Agreement.</w:t>
            </w:r>
          </w:p>
        </w:tc>
      </w:tr>
      <w:tr>
        <w:trPr>
          <w:trHeight w:val="411"/>
        </w:trPr>
        <w:tc>
          <w:tcPr>
            <w:tcW w:w="1400" w:type="dxa"/>
            <w:vAlign w:val="bottom"/>
          </w:tcPr>
          <w:p>
            <w:pPr>
              <w:jc w:val="right"/>
              <w:ind w:right="237"/>
              <w:spacing w:after="0"/>
              <w:rPr>
                <w:sz w:val="20"/>
                <w:szCs w:val="20"/>
                <w:color w:val="auto"/>
              </w:rPr>
            </w:pPr>
            <w:r>
              <w:rPr>
                <w:rFonts w:ascii="Arial" w:cs="Arial" w:eastAsia="Arial" w:hAnsi="Arial"/>
                <w:sz w:val="17"/>
                <w:szCs w:val="17"/>
                <w:color w:val="auto"/>
              </w:rPr>
              <w:t>8.2</w:t>
            </w:r>
          </w:p>
        </w:tc>
        <w:tc>
          <w:tcPr>
            <w:tcW w:w="9880" w:type="dxa"/>
            <w:vAlign w:val="bottom"/>
          </w:tcPr>
          <w:p>
            <w:pPr>
              <w:ind w:left="34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14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Agreement based on the principle of good faith.</w:t>
            </w:r>
          </w:p>
        </w:tc>
      </w:tr>
      <w:tr>
        <w:trPr>
          <w:trHeight w:val="503"/>
        </w:trPr>
        <w:tc>
          <w:tcPr>
            <w:tcW w:w="140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284" w:name="page285"/>
    <w:bookmarkEnd w:id="284"/>
    <w:p>
      <w:pPr>
        <w:ind w:left="900" w:hanging="851"/>
        <w:spacing w:after="0"/>
        <w:tabs>
          <w:tab w:leader="none" w:pos="900"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28"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9.1</w:t>
            </w:r>
          </w:p>
        </w:tc>
        <w:tc>
          <w:tcPr>
            <w:tcW w:w="9840" w:type="dxa"/>
            <w:vAlign w:val="bottom"/>
          </w:tcPr>
          <w:p>
            <w:pPr>
              <w:ind w:left="3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Force Majeure Events</w:t>
            </w:r>
            <w:r>
              <w:rPr>
                <w:rFonts w:ascii="Arial" w:cs="Arial" w:eastAsia="Arial" w:hAnsi="Arial"/>
                <w:sz w:val="17"/>
                <w:szCs w:val="17"/>
                <w:color w:val="auto"/>
                <w:w w:val="94"/>
              </w:rPr>
              <w:t>” mean any events beyond the reasonable control of one party that are unavoidable by the affected party with</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reasonable care, including but not limited to any acts of government, natural force, fire,</w:t>
            </w:r>
          </w:p>
        </w:tc>
      </w:tr>
      <w:tr>
        <w:trPr>
          <w:trHeight w:val="195"/>
        </w:trPr>
        <w:tc>
          <w:tcPr>
            <w:tcW w:w="520" w:type="dxa"/>
            <w:vAlign w:val="bottom"/>
          </w:tcPr>
          <w:p>
            <w:pPr>
              <w:spacing w:after="0"/>
              <w:rPr>
                <w:sz w:val="16"/>
                <w:szCs w:val="16"/>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explosion, storm, flood, earthquake, tide, lightning or war, provided that any credit, capital or financing shortage shall not be deemed to be the</w:t>
            </w:r>
          </w:p>
        </w:tc>
      </w:tr>
      <w:tr>
        <w:trPr>
          <w:trHeight w:val="199"/>
        </w:trPr>
        <w:tc>
          <w:tcPr>
            <w:tcW w:w="52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event beyond the reasonable control of one party. The party affected by any Force Majeure Events (hereinafter referred to as “</w:t>
            </w:r>
            <w:r>
              <w:rPr>
                <w:rFonts w:ascii="Arial" w:cs="Arial" w:eastAsia="Arial" w:hAnsi="Arial"/>
                <w:sz w:val="17"/>
                <w:szCs w:val="17"/>
                <w:b w:val="1"/>
                <w:bCs w:val="1"/>
                <w:color w:val="auto"/>
                <w:w w:val="93"/>
              </w:rPr>
              <w:t>Affected</w:t>
            </w:r>
          </w:p>
        </w:tc>
      </w:tr>
      <w:tr>
        <w:trPr>
          <w:trHeight w:val="203"/>
        </w:trPr>
        <w:tc>
          <w:tcPr>
            <w:tcW w:w="52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b w:val="1"/>
                <w:bCs w:val="1"/>
                <w:color w:val="auto"/>
                <w:w w:val="89"/>
              </w:rPr>
              <w:t>Party</w:t>
            </w:r>
            <w:r>
              <w:rPr>
                <w:rFonts w:ascii="Arial" w:cs="Arial" w:eastAsia="Arial" w:hAnsi="Arial"/>
                <w:sz w:val="17"/>
                <w:szCs w:val="17"/>
                <w:color w:val="auto"/>
                <w:w w:val="89"/>
              </w:rPr>
              <w:t>”) shall be exempted from its responsibility in whole or in part according to the effects of such Force Majeure Events on this Agreement,</w:t>
            </w:r>
          </w:p>
        </w:tc>
      </w:tr>
      <w:tr>
        <w:trPr>
          <w:trHeight w:val="199"/>
        </w:trPr>
        <w:tc>
          <w:tcPr>
            <w:tcW w:w="52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and the Affected Party who seeks exemption from its responsibility for the performance of this Agreement due to such Force Majeure Events</w:t>
            </w:r>
          </w:p>
        </w:tc>
      </w:tr>
      <w:tr>
        <w:trPr>
          <w:trHeight w:val="199"/>
        </w:trPr>
        <w:tc>
          <w:tcPr>
            <w:tcW w:w="52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shall notify the other party of such Force Majeure Events not later than Ten (10) days after occurrence of such Force Majeure Events so that</w:t>
            </w:r>
          </w:p>
        </w:tc>
      </w:tr>
      <w:tr>
        <w:trPr>
          <w:trHeight w:val="199"/>
        </w:trPr>
        <w:tc>
          <w:tcPr>
            <w:tcW w:w="52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the Parties hereto negotiate about the amendment to this Agreement according to the effects of such Force Majeure Events and exempt in</w:t>
            </w:r>
          </w:p>
        </w:tc>
      </w:tr>
      <w:tr>
        <w:trPr>
          <w:trHeight w:val="212"/>
        </w:trPr>
        <w:tc>
          <w:tcPr>
            <w:tcW w:w="52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whole or in part the Affected Party from its obligations under this Agreement.</w:t>
            </w:r>
          </w:p>
        </w:tc>
      </w:tr>
      <w:tr>
        <w:trPr>
          <w:trHeight w:val="411"/>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9.2</w:t>
            </w: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20" w:type="dxa"/>
            <w:vAlign w:val="bottom"/>
          </w:tcPr>
          <w:p>
            <w:pPr>
              <w:spacing w:after="0"/>
              <w:rPr>
                <w:sz w:val="17"/>
                <w:szCs w:val="17"/>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performance of its obligations delayed or hindered by such Force Majeure Events. Once such Force Majeure Events are eliminated, the Parties</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w w:val="98"/>
              </w:rPr>
              <w:t>hereto agree that they shall use their best efforts to restore the performance of their rights and obligations under this Agreement.</w:t>
            </w:r>
          </w:p>
        </w:tc>
      </w:tr>
    </w:tbl>
    <w:p>
      <w:pPr>
        <w:spacing w:after="0" w:line="208" w:lineRule="exact"/>
        <w:rPr>
          <w:sz w:val="20"/>
          <w:szCs w:val="20"/>
          <w:color w:val="auto"/>
        </w:rPr>
      </w:pPr>
    </w:p>
    <w:p>
      <w:pPr>
        <w:ind w:left="900" w:hanging="851"/>
        <w:spacing w:after="0"/>
        <w:tabs>
          <w:tab w:leader="none" w:pos="900"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3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32" w:lineRule="exact"/>
        <w:rPr>
          <w:sz w:val="20"/>
          <w:szCs w:val="20"/>
          <w:color w:val="auto"/>
        </w:rPr>
      </w:pPr>
    </w:p>
    <w:p>
      <w:pPr>
        <w:ind w:right="3660"/>
        <w:spacing w:after="0" w:line="252"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LIU Tongbo</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and Party B's Subsidiaries</w:t>
      </w:r>
    </w:p>
    <w:p>
      <w:pPr>
        <w:spacing w:after="0" w:line="232" w:lineRule="exact"/>
        <w:rPr>
          <w:sz w:val="20"/>
          <w:szCs w:val="20"/>
          <w:color w:val="auto"/>
        </w:rPr>
      </w:pPr>
    </w:p>
    <w:p>
      <w:pPr>
        <w:ind w:right="4400"/>
        <w:spacing w:after="0" w:line="252" w:lineRule="auto"/>
        <w:rPr>
          <w:sz w:val="20"/>
          <w:szCs w:val="20"/>
          <w:color w:val="auto"/>
        </w:rPr>
      </w:pPr>
      <w:r>
        <w:rPr>
          <w:rFonts w:ascii="Arial" w:cs="Arial" w:eastAsia="Arial" w:hAnsi="Arial"/>
          <w:sz w:val="17"/>
          <w:szCs w:val="17"/>
          <w:color w:val="auto"/>
        </w:rPr>
        <w:t>Address: Room No. 104 (even), No. 90-96, Kexue grand avenue, Huangpu District, Guangzhou,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JIAN Rongshan</w:t>
      </w:r>
    </w:p>
    <w:p>
      <w:pPr>
        <w:spacing w:after="0" w:line="211" w:lineRule="exact"/>
        <w:rPr>
          <w:sz w:val="20"/>
          <w:szCs w:val="20"/>
          <w:color w:val="auto"/>
        </w:rPr>
      </w:pPr>
    </w:p>
    <w:p>
      <w:pPr>
        <w:ind w:left="900" w:hanging="851"/>
        <w:spacing w:after="0"/>
        <w:tabs>
          <w:tab w:leader="none" w:pos="900"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Unless any Party hereto obtains the prior written consent of the other party, such party shall not assign to any third party its rights or obligations under this Agreement except that Party A assigns its obligations under this Agreement to its affiliates. For the purpose as set forth in this Agreement, the aforesaid “affiliates” mean any enterprises controlled by Party A, controlling Party A or under common control of any third party with Party A. For the purpose as set forth in this Article, “control” means any possession by an enterprise of its influence power to directly or indirectly decide on and/or control the operating management of another enterprise, whether such influence power is formed by holding any shares of the controlled enterprise or formed by any contractual arrangement with the controlled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422910</wp:posOffset>
            </wp:positionV>
            <wp:extent cx="7184390" cy="412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285" w:name="page286"/>
    <w:bookmarkEnd w:id="285"/>
    <w:p>
      <w:pPr>
        <w:ind w:left="900" w:hanging="851"/>
        <w:spacing w:after="0"/>
        <w:tabs>
          <w:tab w:leader="none" w:pos="900"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Newly Added Party B’s Subsidiaries</w:t>
      </w:r>
    </w:p>
    <w:p>
      <w:pPr>
        <w:spacing w:after="0" w:line="23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case of any newly added Party B’s Subsidiary at any time after the effective date of this Agreement, Party B shall urge such newly added Party B’s Subsidiary to sign a letter of acceptance of rights and obligations in such form and substance as shown in Annex III hereto and 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Subsidiaries shall be deemed to be a signatory to this Agreement. Any other Parties hereto hereby agree to and fully accept the foregoing arrangement.</w:t>
      </w:r>
    </w:p>
    <w:p>
      <w:pPr>
        <w:spacing w:after="0" w:line="188" w:lineRule="exact"/>
        <w:rPr>
          <w:sz w:val="20"/>
          <w:szCs w:val="20"/>
          <w:color w:val="auto"/>
        </w:rPr>
      </w:pPr>
    </w:p>
    <w:p>
      <w:pPr>
        <w:ind w:left="900" w:hanging="851"/>
        <w:spacing w:after="0"/>
        <w:tabs>
          <w:tab w:leader="none" w:pos="900"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3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Parties hereby acknowledge that this Agreement shall be a fair and reasonable agreement reached by the Parties hereto on the basis of equality and mutual benefit. If any provisions of this Agreement are invalid or unenforceable due to any inconsistencies between such provisions and the relevant laws, such provisions shall be invalid or unenforceable only to the extent of jurisdiction of the relevant laws and shall not affect the legal effect of any other provisions of this Agreement.</w:t>
      </w:r>
    </w:p>
    <w:p>
      <w:pPr>
        <w:spacing w:after="0" w:line="163" w:lineRule="exact"/>
        <w:rPr>
          <w:sz w:val="20"/>
          <w:szCs w:val="20"/>
          <w:color w:val="auto"/>
        </w:rPr>
      </w:pPr>
    </w:p>
    <w:p>
      <w:pPr>
        <w:ind w:left="900" w:hanging="851"/>
        <w:spacing w:after="0"/>
        <w:tabs>
          <w:tab w:leader="none" w:pos="900"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Supplements</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Parties hereto shall make in writing any amendments and supplements to this Agreement. Any amendment and supplementary agreements duly signed by the Parties in relation to this Agreement shall form an integral part of this Agreement and be equally authentic as this Agreement.</w:t>
      </w:r>
    </w:p>
    <w:p>
      <w:pPr>
        <w:spacing w:after="0" w:line="189" w:lineRule="exact"/>
        <w:rPr>
          <w:sz w:val="20"/>
          <w:szCs w:val="20"/>
          <w:color w:val="auto"/>
        </w:rPr>
      </w:pPr>
    </w:p>
    <w:p>
      <w:pPr>
        <w:ind w:left="900" w:hanging="851"/>
        <w:spacing w:after="0"/>
        <w:tabs>
          <w:tab w:leader="none" w:pos="900"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224" w:lineRule="exact"/>
        <w:rPr>
          <w:sz w:val="20"/>
          <w:szCs w:val="20"/>
          <w:color w:val="auto"/>
        </w:rPr>
      </w:pPr>
    </w:p>
    <w:p>
      <w:pPr>
        <w:ind w:left="900" w:hanging="851"/>
        <w:spacing w:after="0"/>
        <w:tabs>
          <w:tab w:leader="none" w:pos="900"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Except for any written amendments, supplements or modifications to this Agreement after the signing of this Agreement, this Agreement shall constitute an entire agreement among the Parties hereto in respect of the subject matter of this Agreement and supersede all prior oral and written negotiations, representations and agreements among the Parties in respect of the subject matter of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authorized representative as of the date first above written.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Exclusive Technical Consultation and Service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JIAN Rongshan</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448310</wp:posOffset>
            </wp:positionV>
            <wp:extent cx="7184390" cy="412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86" w:name="page287"/>
    <w:bookmarkEnd w:id="286"/>
    <w:p>
      <w:pPr>
        <w:jc w:val="center"/>
        <w:ind w:right="40"/>
        <w:spacing w:after="0"/>
        <w:rPr>
          <w:sz w:val="20"/>
          <w:szCs w:val="20"/>
          <w:color w:val="auto"/>
        </w:rPr>
      </w:pPr>
      <w:r>
        <w:rPr>
          <w:rFonts w:ascii="Arial" w:cs="Arial" w:eastAsia="Arial" w:hAnsi="Arial"/>
          <w:sz w:val="20"/>
          <w:szCs w:val="20"/>
          <w:b w:val="1"/>
          <w:bCs w:val="1"/>
          <w:color w:val="auto"/>
        </w:rPr>
        <w:t>Annex I List of Technical Consultation and Services</w:t>
      </w:r>
    </w:p>
    <w:p>
      <w:pPr>
        <w:spacing w:after="0" w:line="206" w:lineRule="exact"/>
        <w:rPr>
          <w:sz w:val="20"/>
          <w:szCs w:val="20"/>
          <w:color w:val="auto"/>
        </w:rPr>
      </w:pPr>
    </w:p>
    <w:p>
      <w:pPr>
        <w:ind w:left="500" w:hanging="478"/>
        <w:spacing w:after="0"/>
        <w:tabs>
          <w:tab w:leader="none" w:pos="50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Provide the development and research services.</w:t>
      </w:r>
    </w:p>
    <w:p>
      <w:pPr>
        <w:spacing w:after="0" w:line="302" w:lineRule="exact"/>
        <w:rPr>
          <w:rFonts w:ascii="Arial" w:cs="Arial" w:eastAsia="Arial" w:hAnsi="Arial"/>
          <w:sz w:val="17"/>
          <w:szCs w:val="17"/>
          <w:color w:val="auto"/>
        </w:rPr>
      </w:pPr>
    </w:p>
    <w:p>
      <w:pPr>
        <w:ind w:left="500" w:hanging="491"/>
        <w:spacing w:after="0"/>
        <w:tabs>
          <w:tab w:leader="none" w:pos="5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Provide website design and design, installation, commissioning and maintenance services of computer network systems.</w:t>
      </w:r>
    </w:p>
    <w:p>
      <w:pPr>
        <w:spacing w:after="0" w:line="228" w:lineRule="exact"/>
        <w:rPr>
          <w:rFonts w:ascii="Arial" w:cs="Arial" w:eastAsia="Arial" w:hAnsi="Arial"/>
          <w:sz w:val="17"/>
          <w:szCs w:val="17"/>
          <w:color w:val="auto"/>
        </w:rPr>
      </w:pPr>
    </w:p>
    <w:p>
      <w:pPr>
        <w:ind w:left="500" w:hanging="491"/>
        <w:spacing w:after="0"/>
        <w:tabs>
          <w:tab w:leader="none" w:pos="5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Provide database support and software services.</w:t>
      </w:r>
    </w:p>
    <w:p>
      <w:pPr>
        <w:spacing w:after="0" w:line="228" w:lineRule="exact"/>
        <w:rPr>
          <w:rFonts w:ascii="Arial" w:cs="Arial" w:eastAsia="Arial" w:hAnsi="Arial"/>
          <w:sz w:val="17"/>
          <w:szCs w:val="17"/>
          <w:color w:val="auto"/>
        </w:rPr>
      </w:pPr>
    </w:p>
    <w:p>
      <w:pPr>
        <w:ind w:left="500" w:hanging="491"/>
        <w:spacing w:after="0" w:line="264" w:lineRule="auto"/>
        <w:tabs>
          <w:tab w:leader="none" w:pos="5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Provide economic information consultation, project investment consultation, scientific and technological information consultation, enterprise management consultation and other consultation services.</w:t>
      </w:r>
    </w:p>
    <w:p>
      <w:pPr>
        <w:spacing w:after="0" w:line="192" w:lineRule="exact"/>
        <w:rPr>
          <w:rFonts w:ascii="Arial" w:cs="Arial" w:eastAsia="Arial" w:hAnsi="Arial"/>
          <w:sz w:val="17"/>
          <w:szCs w:val="17"/>
          <w:color w:val="auto"/>
        </w:rPr>
      </w:pPr>
    </w:p>
    <w:p>
      <w:pPr>
        <w:ind w:left="500" w:hanging="491"/>
        <w:spacing w:after="0"/>
        <w:tabs>
          <w:tab w:leader="none" w:pos="5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Provide pre-job training and in-service training services.</w:t>
      </w:r>
    </w:p>
    <w:p>
      <w:pPr>
        <w:spacing w:after="0" w:line="228" w:lineRule="exact"/>
        <w:rPr>
          <w:rFonts w:ascii="Arial" w:cs="Arial" w:eastAsia="Arial" w:hAnsi="Arial"/>
          <w:sz w:val="17"/>
          <w:szCs w:val="17"/>
          <w:color w:val="auto"/>
        </w:rPr>
      </w:pPr>
    </w:p>
    <w:p>
      <w:pPr>
        <w:ind w:left="500" w:hanging="491"/>
        <w:spacing w:after="0"/>
        <w:tabs>
          <w:tab w:leader="none" w:pos="5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Provide technical development, consultation and technology transfer services.</w:t>
      </w:r>
    </w:p>
    <w:p>
      <w:pPr>
        <w:spacing w:after="0" w:line="228" w:lineRule="exact"/>
        <w:rPr>
          <w:rFonts w:ascii="Arial" w:cs="Arial" w:eastAsia="Arial" w:hAnsi="Arial"/>
          <w:sz w:val="17"/>
          <w:szCs w:val="17"/>
          <w:color w:val="auto"/>
        </w:rPr>
      </w:pPr>
    </w:p>
    <w:p>
      <w:pPr>
        <w:ind w:left="500" w:hanging="491"/>
        <w:spacing w:after="0"/>
        <w:tabs>
          <w:tab w:leader="none" w:pos="5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Provide public relations services.</w:t>
      </w:r>
    </w:p>
    <w:p>
      <w:pPr>
        <w:spacing w:after="0" w:line="228" w:lineRule="exact"/>
        <w:rPr>
          <w:rFonts w:ascii="Arial" w:cs="Arial" w:eastAsia="Arial" w:hAnsi="Arial"/>
          <w:sz w:val="17"/>
          <w:szCs w:val="17"/>
          <w:color w:val="auto"/>
        </w:rPr>
      </w:pPr>
    </w:p>
    <w:p>
      <w:pPr>
        <w:ind w:left="500" w:hanging="491"/>
        <w:spacing w:after="0"/>
        <w:tabs>
          <w:tab w:leader="none" w:pos="5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Provide market survey and research services.</w:t>
      </w:r>
    </w:p>
    <w:p>
      <w:pPr>
        <w:spacing w:after="0" w:line="228" w:lineRule="exact"/>
        <w:rPr>
          <w:rFonts w:ascii="Arial" w:cs="Arial" w:eastAsia="Arial" w:hAnsi="Arial"/>
          <w:sz w:val="17"/>
          <w:szCs w:val="17"/>
          <w:color w:val="auto"/>
        </w:rPr>
      </w:pPr>
    </w:p>
    <w:p>
      <w:pPr>
        <w:ind w:left="500" w:hanging="491"/>
        <w:spacing w:after="0"/>
        <w:tabs>
          <w:tab w:leader="none" w:pos="5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Provide the services of developing medium and short term market development plans and market planning service.</w:t>
      </w:r>
    </w:p>
    <w:p>
      <w:pPr>
        <w:spacing w:after="0" w:line="228" w:lineRule="exact"/>
        <w:rPr>
          <w:rFonts w:ascii="Arial" w:cs="Arial" w:eastAsia="Arial" w:hAnsi="Arial"/>
          <w:sz w:val="17"/>
          <w:szCs w:val="17"/>
          <w:color w:val="auto"/>
        </w:rPr>
      </w:pPr>
    </w:p>
    <w:p>
      <w:pPr>
        <w:ind w:left="500" w:hanging="491"/>
        <w:spacing w:after="0"/>
        <w:tabs>
          <w:tab w:leader="none" w:pos="5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Provide technical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456565</wp:posOffset>
            </wp:positionV>
            <wp:extent cx="7184390" cy="412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00"/>
          </w:cols>
          <w:pgMar w:left="360" w:top="313" w:right="339" w:bottom="1440" w:gutter="0" w:footer="0" w:header="0"/>
        </w:sectPr>
      </w:pPr>
    </w:p>
    <w:bookmarkStart w:id="287" w:name="page288"/>
    <w:bookmarkEnd w:id="287"/>
    <w:p>
      <w:pPr>
        <w:jc w:val="center"/>
        <w:ind w:right="40"/>
        <w:spacing w:after="0"/>
        <w:rPr>
          <w:sz w:val="20"/>
          <w:szCs w:val="20"/>
          <w:color w:val="auto"/>
        </w:rPr>
      </w:pPr>
      <w:r>
        <w:rPr>
          <w:rFonts w:ascii="Arial" w:cs="Arial" w:eastAsia="Arial" w:hAnsi="Arial"/>
          <w:sz w:val="20"/>
          <w:szCs w:val="20"/>
          <w:b w:val="1"/>
          <w:bCs w:val="1"/>
          <w:color w:val="auto"/>
        </w:rPr>
        <w:t>Annex II Calculation and Payment Methods of Service Fees</w:t>
      </w:r>
    </w:p>
    <w:p>
      <w:pPr>
        <w:spacing w:after="0" w:line="206" w:lineRule="exact"/>
        <w:rPr>
          <w:sz w:val="20"/>
          <w:szCs w:val="20"/>
          <w:color w:val="auto"/>
        </w:rPr>
      </w:pPr>
    </w:p>
    <w:p>
      <w:pPr>
        <w:jc w:val="both"/>
        <w:ind w:left="540" w:right="40" w:hanging="478"/>
        <w:spacing w:after="0" w:line="251" w:lineRule="auto"/>
        <w:tabs>
          <w:tab w:leader="none" w:pos="54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Service Fees under this Agreement shall be calculated on the basis of 10% to 100% of the monthly total business income of Party B and/or Party B’s Subsidiaries, and the specific proportion of the above Service Fees (limited to 10% to 100%) shall be determined and notified in writing by Party A to Party B and/or Party B’s Subsidiaries according to the actual technical support service provided by Party A as required by Party B and/or Party B’s Subsidiaries and based on the number of persons and number of days invested by Party A.</w:t>
      </w:r>
    </w:p>
    <w:p>
      <w:pPr>
        <w:spacing w:after="0" w:line="204" w:lineRule="exact"/>
        <w:rPr>
          <w:sz w:val="20"/>
          <w:szCs w:val="20"/>
          <w:color w:val="auto"/>
        </w:rPr>
      </w:pPr>
    </w:p>
    <w:p>
      <w:pPr>
        <w:ind w:left="540" w:hanging="491"/>
        <w:spacing w:after="0"/>
        <w:tabs>
          <w:tab w:leader="none" w:pos="54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Party B shall determine the amount of Service Fees according to the following factors:</w:t>
      </w:r>
    </w:p>
    <w:p>
      <w:pPr>
        <w:spacing w:after="0" w:line="228" w:lineRule="exact"/>
        <w:rPr>
          <w:rFonts w:ascii="Arial" w:cs="Arial" w:eastAsia="Arial" w:hAnsi="Arial"/>
          <w:sz w:val="17"/>
          <w:szCs w:val="17"/>
          <w:color w:val="auto"/>
        </w:rPr>
      </w:pPr>
    </w:p>
    <w:p>
      <w:pPr>
        <w:ind w:left="940" w:hanging="430"/>
        <w:spacing w:after="0"/>
        <w:tabs>
          <w:tab w:leader="none" w:pos="94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Technical difficulty and complexity of the technical consultation and services;</w:t>
      </w:r>
    </w:p>
    <w:p>
      <w:pPr>
        <w:spacing w:after="0" w:line="228" w:lineRule="exact"/>
        <w:rPr>
          <w:rFonts w:ascii="Arial" w:cs="Arial" w:eastAsia="Arial" w:hAnsi="Arial"/>
          <w:sz w:val="17"/>
          <w:szCs w:val="17"/>
          <w:color w:val="auto"/>
        </w:rPr>
      </w:pPr>
    </w:p>
    <w:p>
      <w:pPr>
        <w:ind w:left="940" w:hanging="430"/>
        <w:spacing w:after="0"/>
        <w:tabs>
          <w:tab w:leader="none" w:pos="94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Time spent by Party A’s employees in the technical consultation and services;</w:t>
      </w:r>
    </w:p>
    <w:p>
      <w:pPr>
        <w:spacing w:after="0" w:line="228" w:lineRule="exact"/>
        <w:rPr>
          <w:rFonts w:ascii="Arial" w:cs="Arial" w:eastAsia="Arial" w:hAnsi="Arial"/>
          <w:sz w:val="17"/>
          <w:szCs w:val="17"/>
          <w:color w:val="auto"/>
        </w:rPr>
      </w:pPr>
    </w:p>
    <w:p>
      <w:pPr>
        <w:ind w:left="940" w:hanging="430"/>
        <w:spacing w:after="0"/>
        <w:tabs>
          <w:tab w:leader="none" w:pos="94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Specific content and commercial value of the technical consultation and services;</w:t>
      </w:r>
    </w:p>
    <w:p>
      <w:pPr>
        <w:spacing w:after="0" w:line="228" w:lineRule="exact"/>
        <w:rPr>
          <w:rFonts w:ascii="Arial" w:cs="Arial" w:eastAsia="Arial" w:hAnsi="Arial"/>
          <w:sz w:val="17"/>
          <w:szCs w:val="17"/>
          <w:color w:val="auto"/>
        </w:rPr>
      </w:pPr>
    </w:p>
    <w:p>
      <w:pPr>
        <w:ind w:left="940" w:hanging="430"/>
        <w:spacing w:after="0"/>
        <w:tabs>
          <w:tab w:leader="none" w:pos="94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Market reference price of similar technical consultation and services.</w:t>
      </w:r>
    </w:p>
    <w:p>
      <w:pPr>
        <w:spacing w:after="0" w:line="228" w:lineRule="exact"/>
        <w:rPr>
          <w:sz w:val="20"/>
          <w:szCs w:val="20"/>
          <w:color w:val="auto"/>
        </w:rPr>
      </w:pPr>
    </w:p>
    <w:p>
      <w:pPr>
        <w:jc w:val="both"/>
        <w:ind w:left="540" w:right="40" w:hanging="491"/>
        <w:spacing w:after="0" w:line="295" w:lineRule="auto"/>
        <w:tabs>
          <w:tab w:leader="none" w:pos="54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Party A shall summarize and calculate the Service Fees on a quarterly basis and shall, within Thirty (30) days from the start date of any quarter, send a bill of technical Service Fees for the last quarter to Party B and/or Party B’s Subsidiaries so as to give a notice to Party B and/or Party B’s Subsidiaries. Within Ten (10) working days after receipt of such notice, Party B and/or Party B’s Subsidiaries shall pay such Service Fees to the bank account designated by Party A. Party B and/or Party B’s Subsidiaries shall send by fax or by mail a copy of the remittance voucher to Party A within Ten (10) working days after remittance.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0" w:type="dxa"/>
            <w:vAlign w:val="bottom"/>
          </w:tcPr>
          <w:p>
            <w:pPr>
              <w:ind w:left="40"/>
              <w:spacing w:after="0"/>
              <w:rPr>
                <w:sz w:val="20"/>
                <w:szCs w:val="20"/>
                <w:color w:val="auto"/>
              </w:rPr>
            </w:pPr>
            <w:r>
              <w:rPr>
                <w:rFonts w:ascii="Arial" w:cs="Arial" w:eastAsia="Arial" w:hAnsi="Arial"/>
                <w:sz w:val="17"/>
                <w:szCs w:val="17"/>
                <w:color w:val="auto"/>
              </w:rPr>
              <w:t>IV.</w:t>
            </w:r>
          </w:p>
        </w:tc>
        <w:tc>
          <w:tcPr>
            <w:tcW w:w="10880" w:type="dxa"/>
            <w:vAlign w:val="bottom"/>
          </w:tcPr>
          <w:p>
            <w:pPr>
              <w:ind w:left="140"/>
              <w:spacing w:after="0"/>
              <w:rPr>
                <w:sz w:val="20"/>
                <w:szCs w:val="20"/>
                <w:color w:val="auto"/>
              </w:rPr>
            </w:pPr>
            <w:r>
              <w:rPr>
                <w:rFonts w:ascii="Arial" w:cs="Arial" w:eastAsia="Arial" w:hAnsi="Arial"/>
                <w:sz w:val="17"/>
                <w:szCs w:val="17"/>
                <w:color w:val="auto"/>
                <w:w w:val="89"/>
              </w:rPr>
              <w:t>If Party A considers that it is necessary to adjust the service pricing mechanism as stipulated herein that is not continuously applicable for some reason, Party A</w:t>
            </w:r>
          </w:p>
        </w:tc>
      </w:tr>
      <w:tr>
        <w:trPr>
          <w:trHeight w:val="199"/>
        </w:trPr>
        <w:tc>
          <w:tcPr>
            <w:tcW w:w="400" w:type="dxa"/>
            <w:vAlign w:val="bottom"/>
          </w:tcPr>
          <w:p>
            <w:pPr>
              <w:spacing w:after="0"/>
              <w:rPr>
                <w:sz w:val="17"/>
                <w:szCs w:val="17"/>
                <w:color w:val="auto"/>
              </w:rPr>
            </w:pPr>
          </w:p>
        </w:tc>
        <w:tc>
          <w:tcPr>
            <w:tcW w:w="10880" w:type="dxa"/>
            <w:vAlign w:val="bottom"/>
          </w:tcPr>
          <w:p>
            <w:pPr>
              <w:ind w:left="140"/>
              <w:spacing w:after="0"/>
              <w:rPr>
                <w:sz w:val="20"/>
                <w:szCs w:val="20"/>
                <w:color w:val="auto"/>
              </w:rPr>
            </w:pPr>
            <w:r>
              <w:rPr>
                <w:rFonts w:ascii="Arial" w:cs="Arial" w:eastAsia="Arial" w:hAnsi="Arial"/>
                <w:sz w:val="17"/>
                <w:szCs w:val="17"/>
                <w:color w:val="auto"/>
                <w:w w:val="89"/>
              </w:rPr>
              <w:t>shall give a prompt written notice to Party B and/or Party B’s Subsidiaries, and such written notice shall take effect when it is served to Party B and/or Party B’s</w:t>
            </w:r>
          </w:p>
        </w:tc>
      </w:tr>
      <w:tr>
        <w:trPr>
          <w:trHeight w:val="212"/>
        </w:trPr>
        <w:tc>
          <w:tcPr>
            <w:tcW w:w="40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7"/>
                <w:szCs w:val="17"/>
                <w:color w:val="auto"/>
              </w:rPr>
              <w:t>Subsidiaries.</w:t>
            </w:r>
          </w:p>
        </w:tc>
      </w:tr>
      <w:tr>
        <w:trPr>
          <w:trHeight w:val="727"/>
        </w:trPr>
        <w:tc>
          <w:tcPr>
            <w:tcW w:w="400" w:type="dxa"/>
            <w:vAlign w:val="bottom"/>
            <w:tcBorders>
              <w:bottom w:val="single" w:sz="8" w:color="9A9A9A"/>
            </w:tcBorders>
          </w:tcPr>
          <w:p>
            <w:pPr>
              <w:spacing w:after="0"/>
              <w:rPr>
                <w:sz w:val="24"/>
                <w:szCs w:val="24"/>
                <w:color w:val="auto"/>
              </w:rPr>
            </w:pPr>
          </w:p>
        </w:tc>
        <w:tc>
          <w:tcPr>
            <w:tcW w:w="10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288" w:name="page289"/>
    <w:bookmarkEnd w:id="288"/>
    <w:p>
      <w:pPr>
        <w:jc w:val="center"/>
        <w:spacing w:after="0"/>
        <w:rPr>
          <w:sz w:val="20"/>
          <w:szCs w:val="20"/>
          <w:color w:val="auto"/>
        </w:rPr>
      </w:pPr>
      <w:r>
        <w:rPr>
          <w:rFonts w:ascii="Arial" w:cs="Arial" w:eastAsia="Arial" w:hAnsi="Arial"/>
          <w:sz w:val="20"/>
          <w:szCs w:val="20"/>
          <w:b w:val="1"/>
          <w:bCs w:val="1"/>
          <w:color w:val="auto"/>
        </w:rPr>
        <w:t>Annex III Letter of Acceptance of Rights and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Our company</w:t>
      </w:r>
      <w:r>
        <w:rPr>
          <w:rFonts w:ascii="Arial" w:cs="Arial" w:eastAsia="Arial" w:hAnsi="Arial"/>
          <w:sz w:val="15"/>
          <w:szCs w:val="15"/>
          <w:b w:val="1"/>
          <w:bCs w:val="1"/>
          <w:color w:val="auto"/>
        </w:rPr>
        <w:t>, ______, is a subsidiary of ______ Co., Ltd. (hereinafter referred to as “______”) incorporated with ______on the ______day of , and Tianjin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Shangde holds % of ______ the shares/equity of our company.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accordance with the Exclusive Technical Consultation and Service Agreement (hereinafter referred to as “Agreement”) entered into by ______________Co.,</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Limited and other parties on the day of ______, our company as a newly added “Party B’s Subsidiary” under the Agreement shall join the Agreement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Article 12 of the Agreement</w:t>
      </w:r>
    </w:p>
    <w:p>
      <w:pPr>
        <w:spacing w:after="0" w:line="211"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138"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677926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6779260" cy="762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89" w:name="page290"/>
    <w:bookmarkEnd w:id="289"/>
    <w:p>
      <w:pPr>
        <w:jc w:val="right"/>
        <w:ind w:right="40"/>
        <w:spacing w:after="0"/>
        <w:rPr>
          <w:sz w:val="20"/>
          <w:szCs w:val="20"/>
          <w:color w:val="auto"/>
        </w:rPr>
      </w:pPr>
      <w:r>
        <w:rPr>
          <w:rFonts w:ascii="Arial" w:cs="Arial" w:eastAsia="Arial" w:hAnsi="Arial"/>
          <w:sz w:val="17"/>
          <w:szCs w:val="17"/>
          <w:b w:val="1"/>
          <w:bCs w:val="1"/>
          <w:color w:val="auto"/>
        </w:rPr>
        <w:t>Exhibit 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311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Business Operation Agreement</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Business Operation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14</w:t>
      </w:r>
      <w:r>
        <w:rPr>
          <w:rFonts w:ascii="Arial" w:cs="Arial" w:eastAsia="Arial" w:hAnsi="Arial"/>
          <w:sz w:val="14"/>
          <w:szCs w:val="14"/>
          <w:color w:val="auto"/>
        </w:rPr>
        <w:t>th</w:t>
      </w:r>
      <w:r>
        <w:rPr>
          <w:rFonts w:ascii="Arial" w:cs="Arial" w:eastAsia="Arial" w:hAnsi="Arial"/>
          <w:sz w:val="17"/>
          <w:szCs w:val="17"/>
          <w:color w:val="auto"/>
        </w:rPr>
        <w:t xml:space="preserve"> day of September,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Guangzhou Tianyong Online Education Technology Co., Ltd.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No. 104 (even), No. 90-96, Kexue grand avenue, Huangpu District, Guangzhou, China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JIAN Rongshan</w:t>
      </w:r>
    </w:p>
    <w:p>
      <w:pPr>
        <w:spacing w:after="0" w:line="1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or more of the shares or investment interests are held by Party B.</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As shown in Annex I hereto.</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170" w:lineRule="exact"/>
        <w:rPr>
          <w:sz w:val="20"/>
          <w:szCs w:val="20"/>
          <w:color w:val="auto"/>
        </w:rPr>
      </w:pPr>
    </w:p>
    <w:p>
      <w:pPr>
        <w:ind w:left="860" w:hanging="860"/>
        <w:spacing w:after="0"/>
        <w:tabs>
          <w:tab w:leader="none" w:pos="8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165" w:lineRule="exact"/>
        <w:rPr>
          <w:rFonts w:ascii="Arial" w:cs="Arial" w:eastAsia="Arial" w:hAnsi="Arial"/>
          <w:sz w:val="17"/>
          <w:szCs w:val="17"/>
          <w:color w:val="auto"/>
        </w:rPr>
      </w:pPr>
    </w:p>
    <w:p>
      <w:pPr>
        <w:jc w:val="both"/>
        <w:ind w:left="860" w:right="40" w:hanging="860"/>
        <w:spacing w:after="0" w:line="304" w:lineRule="auto"/>
        <w:tabs>
          <w:tab w:leader="none" w:pos="86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Party A has established the business relationship with Party B and Party B’s Subsidiaries by signing the Exclusive Technical Consultation and Service Agreement and other agreements; Party B and Party B’s Subsidiaries shall pay various amounts to Party A under such agreements, and therefore any daily operating activities of Party B and Party B’s Subsidiaries will have a substantial impact on their ability to pay the corresponding amounts to Party A.</w:t>
      </w:r>
    </w:p>
    <w:p>
      <w:pPr>
        <w:spacing w:after="0" w:line="104" w:lineRule="exact"/>
        <w:rPr>
          <w:rFonts w:ascii="Arial" w:cs="Arial" w:eastAsia="Arial" w:hAnsi="Arial"/>
          <w:sz w:val="15"/>
          <w:szCs w:val="15"/>
          <w:color w:val="auto"/>
        </w:rPr>
      </w:pPr>
    </w:p>
    <w:p>
      <w:pPr>
        <w:ind w:left="860" w:hanging="860"/>
        <w:spacing w:after="0"/>
        <w:tabs>
          <w:tab w:leader="none" w:pos="8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Any interests held by Party C in Party B and the shareholding structure are shown in Annex II hereto.</w:t>
      </w:r>
    </w:p>
    <w:p>
      <w:pPr>
        <w:spacing w:after="0" w:line="1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22" w:lineRule="exact"/>
        <w:rPr>
          <w:sz w:val="20"/>
          <w:szCs w:val="20"/>
          <w:color w:val="auto"/>
        </w:rPr>
      </w:pPr>
    </w:p>
    <w:p>
      <w:pPr>
        <w:ind w:left="860" w:hanging="860"/>
        <w:spacing w:after="0"/>
        <w:tabs>
          <w:tab w:leader="none" w:pos="860" w:val="left"/>
        </w:tabs>
        <w:numPr>
          <w:ilvl w:val="0"/>
          <w:numId w:val="310"/>
        </w:numPr>
        <w:rPr>
          <w:rFonts w:ascii="Arial" w:cs="Arial" w:eastAsia="Arial" w:hAnsi="Arial"/>
          <w:sz w:val="17"/>
          <w:szCs w:val="17"/>
          <w:color w:val="auto"/>
        </w:rPr>
      </w:pPr>
      <w:r>
        <w:rPr>
          <w:rFonts w:ascii="Arial" w:cs="Arial" w:eastAsia="Arial" w:hAnsi="Arial"/>
          <w:sz w:val="17"/>
          <w:szCs w:val="17"/>
          <w:b w:val="1"/>
          <w:bCs w:val="1"/>
          <w:color w:val="auto"/>
        </w:rPr>
        <w:t>Obligation of omission</w:t>
      </w:r>
    </w:p>
    <w:p>
      <w:pPr>
        <w:spacing w:after="0" w:line="169" w:lineRule="exact"/>
        <w:rPr>
          <w:rFonts w:ascii="Arial" w:cs="Arial" w:eastAsia="Arial" w:hAnsi="Arial"/>
          <w:sz w:val="17"/>
          <w:szCs w:val="17"/>
          <w:color w:val="auto"/>
        </w:rPr>
      </w:pPr>
    </w:p>
    <w:p>
      <w:pPr>
        <w:jc w:val="both"/>
        <w:ind w:left="860" w:right="40"/>
        <w:spacing w:after="0" w:line="251" w:lineRule="auto"/>
        <w:rPr>
          <w:rFonts w:ascii="Arial" w:cs="Arial" w:eastAsia="Arial" w:hAnsi="Arial"/>
          <w:sz w:val="17"/>
          <w:szCs w:val="17"/>
          <w:color w:val="auto"/>
        </w:rPr>
      </w:pPr>
      <w:r>
        <w:rPr>
          <w:rFonts w:ascii="Arial" w:cs="Arial" w:eastAsia="Arial" w:hAnsi="Arial"/>
          <w:sz w:val="17"/>
          <w:szCs w:val="17"/>
          <w:color w:val="auto"/>
        </w:rPr>
        <w:t>In order to ensure that Party B and Party B’s Subsidiaries perform any agreements signed with Party A and their obligations to Party A, Party B, Party B’s Subsidiaries and Party C hereby acknowledge and agree that, unless they obtain the prior written consent of Party A or any other parties designated by Party A, Party B and Party B’s Subsidiaries shall not conduct any transactions and actions that may have substantial adverse effects on their assets, business, personnel, obligations, rights or company operations, including but not limited to: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Carrying out any activities beyond the normal business scope of the company or failure to operate company business in any way as consistent</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usual as those in the past;</w:t>
            </w:r>
          </w:p>
        </w:tc>
      </w:tr>
      <w:tr>
        <w:trPr>
          <w:trHeight w:val="36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color w:val="auto"/>
              </w:rPr>
              <w:t>Borrowing money from any third party or assuming any debts;</w:t>
            </w:r>
          </w:p>
        </w:tc>
      </w:tr>
      <w:tr>
        <w:trPr>
          <w:trHeight w:val="411"/>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1</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290" w:name="page291"/>
    <w:bookmarkEnd w:id="290"/>
    <w:tbl>
      <w:tblPr>
        <w:tblLayout w:type="fixed"/>
        <w:tblInd w:w="860" w:type="dxa"/>
        <w:tblCellMar>
          <w:top w:w="0" w:type="dxa"/>
          <w:left w:w="0" w:type="dxa"/>
          <w:bottom w:w="0" w:type="dxa"/>
          <w:right w:w="0" w:type="dxa"/>
        </w:tblCellMar>
      </w:tblPr>
      <w:tr>
        <w:trPr>
          <w:trHeight w:val="212"/>
        </w:trPr>
        <w:tc>
          <w:tcPr>
            <w:tcW w:w="580" w:type="dxa"/>
            <w:vAlign w:val="bottom"/>
          </w:tcPr>
          <w:p>
            <w:pPr>
              <w:spacing w:after="0"/>
              <w:rPr>
                <w:sz w:val="20"/>
                <w:szCs w:val="20"/>
                <w:color w:val="auto"/>
              </w:rPr>
            </w:pPr>
            <w:r>
              <w:rPr>
                <w:rFonts w:ascii="Arial" w:cs="Arial" w:eastAsia="Arial" w:hAnsi="Arial"/>
                <w:sz w:val="17"/>
                <w:szCs w:val="17"/>
                <w:color w:val="auto"/>
              </w:rPr>
              <w:t>1.3</w:t>
            </w:r>
          </w:p>
        </w:tc>
        <w:tc>
          <w:tcPr>
            <w:tcW w:w="9800" w:type="dxa"/>
            <w:vAlign w:val="bottom"/>
          </w:tcPr>
          <w:p>
            <w:pPr>
              <w:ind w:left="280"/>
              <w:spacing w:after="0"/>
              <w:rPr>
                <w:sz w:val="20"/>
                <w:szCs w:val="20"/>
                <w:color w:val="auto"/>
              </w:rPr>
            </w:pPr>
            <w:r>
              <w:rPr>
                <w:rFonts w:ascii="Arial" w:cs="Arial" w:eastAsia="Arial" w:hAnsi="Arial"/>
                <w:sz w:val="17"/>
                <w:szCs w:val="17"/>
                <w:color w:val="auto"/>
              </w:rPr>
              <w:t>Changing or removing any directors of the company or dismissing and replacing any senior managers of the company;</w:t>
            </w:r>
          </w:p>
        </w:tc>
      </w:tr>
      <w:tr>
        <w:trPr>
          <w:trHeight w:val="374"/>
        </w:trPr>
        <w:tc>
          <w:tcPr>
            <w:tcW w:w="580" w:type="dxa"/>
            <w:vAlign w:val="bottom"/>
          </w:tcPr>
          <w:p>
            <w:pPr>
              <w:spacing w:after="0"/>
              <w:rPr>
                <w:sz w:val="20"/>
                <w:szCs w:val="20"/>
                <w:color w:val="auto"/>
              </w:rPr>
            </w:pPr>
            <w:r>
              <w:rPr>
                <w:rFonts w:ascii="Arial" w:cs="Arial" w:eastAsia="Arial" w:hAnsi="Arial"/>
                <w:sz w:val="17"/>
                <w:szCs w:val="17"/>
                <w:color w:val="auto"/>
              </w:rPr>
              <w:t>1.4</w:t>
            </w:r>
          </w:p>
        </w:tc>
        <w:tc>
          <w:tcPr>
            <w:tcW w:w="9800" w:type="dxa"/>
            <w:vAlign w:val="bottom"/>
          </w:tcPr>
          <w:p>
            <w:pPr>
              <w:ind w:left="280"/>
              <w:spacing w:after="0"/>
              <w:rPr>
                <w:sz w:val="20"/>
                <w:szCs w:val="20"/>
                <w:color w:val="auto"/>
              </w:rPr>
            </w:pPr>
            <w:r>
              <w:rPr>
                <w:rFonts w:ascii="Arial" w:cs="Arial" w:eastAsia="Arial" w:hAnsi="Arial"/>
                <w:sz w:val="17"/>
                <w:szCs w:val="17"/>
                <w:color w:val="auto"/>
                <w:w w:val="90"/>
              </w:rPr>
              <w:t>Selling to or acquiring from any third party or otherwise disposing of any assets or rights (including but not limited to any intellectual property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rights) with the total value of RMB 0.05 million or more;</w:t>
            </w:r>
          </w:p>
        </w:tc>
      </w:tr>
      <w:tr>
        <w:trPr>
          <w:trHeight w:val="349"/>
        </w:trPr>
        <w:tc>
          <w:tcPr>
            <w:tcW w:w="580" w:type="dxa"/>
            <w:vAlign w:val="bottom"/>
          </w:tcPr>
          <w:p>
            <w:pPr>
              <w:spacing w:after="0"/>
              <w:rPr>
                <w:sz w:val="20"/>
                <w:szCs w:val="20"/>
                <w:color w:val="auto"/>
              </w:rPr>
            </w:pPr>
            <w:r>
              <w:rPr>
                <w:rFonts w:ascii="Arial" w:cs="Arial" w:eastAsia="Arial" w:hAnsi="Arial"/>
                <w:sz w:val="17"/>
                <w:szCs w:val="17"/>
                <w:color w:val="auto"/>
              </w:rPr>
              <w:t>1.5</w:t>
            </w:r>
          </w:p>
        </w:tc>
        <w:tc>
          <w:tcPr>
            <w:tcW w:w="9800" w:type="dxa"/>
            <w:vAlign w:val="bottom"/>
          </w:tcPr>
          <w:p>
            <w:pPr>
              <w:ind w:left="280"/>
              <w:spacing w:after="0"/>
              <w:rPr>
                <w:sz w:val="20"/>
                <w:szCs w:val="20"/>
                <w:color w:val="auto"/>
              </w:rPr>
            </w:pPr>
            <w:r>
              <w:rPr>
                <w:rFonts w:ascii="Arial" w:cs="Arial" w:eastAsia="Arial" w:hAnsi="Arial"/>
                <w:sz w:val="17"/>
                <w:szCs w:val="17"/>
                <w:color w:val="auto"/>
                <w:w w:val="92"/>
              </w:rPr>
              <w:t>Providing any third party with any form of guarantees or creating any form of encumbrances on any assets of the company (including any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intellectual property rights);</w:t>
            </w:r>
          </w:p>
        </w:tc>
      </w:tr>
      <w:tr>
        <w:trPr>
          <w:trHeight w:val="361"/>
        </w:trPr>
        <w:tc>
          <w:tcPr>
            <w:tcW w:w="580" w:type="dxa"/>
            <w:vAlign w:val="bottom"/>
          </w:tcPr>
          <w:p>
            <w:pPr>
              <w:spacing w:after="0"/>
              <w:rPr>
                <w:sz w:val="20"/>
                <w:szCs w:val="20"/>
                <w:color w:val="auto"/>
              </w:rPr>
            </w:pPr>
            <w:r>
              <w:rPr>
                <w:rFonts w:ascii="Arial" w:cs="Arial" w:eastAsia="Arial" w:hAnsi="Arial"/>
                <w:sz w:val="17"/>
                <w:szCs w:val="17"/>
                <w:color w:val="auto"/>
              </w:rPr>
              <w:t>1.6</w:t>
            </w:r>
          </w:p>
        </w:tc>
        <w:tc>
          <w:tcPr>
            <w:tcW w:w="9800" w:type="dxa"/>
            <w:vAlign w:val="bottom"/>
          </w:tcPr>
          <w:p>
            <w:pPr>
              <w:ind w:left="280"/>
              <w:spacing w:after="0"/>
              <w:rPr>
                <w:sz w:val="20"/>
                <w:szCs w:val="20"/>
                <w:color w:val="auto"/>
              </w:rPr>
            </w:pPr>
            <w:r>
              <w:rPr>
                <w:rFonts w:ascii="Arial" w:cs="Arial" w:eastAsia="Arial" w:hAnsi="Arial"/>
                <w:sz w:val="17"/>
                <w:szCs w:val="17"/>
                <w:color w:val="auto"/>
              </w:rPr>
              <w:t>Amending the articles of association or changing the business scope of the company;</w:t>
            </w:r>
          </w:p>
        </w:tc>
      </w:tr>
      <w:tr>
        <w:trPr>
          <w:trHeight w:val="386"/>
        </w:trPr>
        <w:tc>
          <w:tcPr>
            <w:tcW w:w="580" w:type="dxa"/>
            <w:vAlign w:val="bottom"/>
          </w:tcPr>
          <w:p>
            <w:pPr>
              <w:spacing w:after="0"/>
              <w:rPr>
                <w:sz w:val="20"/>
                <w:szCs w:val="20"/>
                <w:color w:val="auto"/>
              </w:rPr>
            </w:pPr>
            <w:r>
              <w:rPr>
                <w:rFonts w:ascii="Arial" w:cs="Arial" w:eastAsia="Arial" w:hAnsi="Arial"/>
                <w:sz w:val="17"/>
                <w:szCs w:val="17"/>
                <w:color w:val="auto"/>
              </w:rPr>
              <w:t>1.7</w:t>
            </w:r>
          </w:p>
        </w:tc>
        <w:tc>
          <w:tcPr>
            <w:tcW w:w="9800" w:type="dxa"/>
            <w:vAlign w:val="bottom"/>
          </w:tcPr>
          <w:p>
            <w:pPr>
              <w:ind w:left="280"/>
              <w:spacing w:after="0"/>
              <w:rPr>
                <w:sz w:val="20"/>
                <w:szCs w:val="20"/>
                <w:color w:val="auto"/>
              </w:rPr>
            </w:pPr>
            <w:r>
              <w:rPr>
                <w:rFonts w:ascii="Arial" w:cs="Arial" w:eastAsia="Arial" w:hAnsi="Arial"/>
                <w:sz w:val="17"/>
                <w:szCs w:val="17"/>
                <w:color w:val="auto"/>
                <w:w w:val="98"/>
              </w:rPr>
              <w:t>Changing the normal business procedures of the company or modifying any major internal rules and regulations of the company;</w:t>
            </w:r>
          </w:p>
        </w:tc>
      </w:tr>
      <w:tr>
        <w:trPr>
          <w:trHeight w:val="386"/>
        </w:trPr>
        <w:tc>
          <w:tcPr>
            <w:tcW w:w="580" w:type="dxa"/>
            <w:vAlign w:val="bottom"/>
          </w:tcPr>
          <w:p>
            <w:pPr>
              <w:spacing w:after="0"/>
              <w:rPr>
                <w:sz w:val="20"/>
                <w:szCs w:val="20"/>
                <w:color w:val="auto"/>
              </w:rPr>
            </w:pPr>
            <w:r>
              <w:rPr>
                <w:rFonts w:ascii="Arial" w:cs="Arial" w:eastAsia="Arial" w:hAnsi="Arial"/>
                <w:sz w:val="17"/>
                <w:szCs w:val="17"/>
                <w:color w:val="auto"/>
              </w:rPr>
              <w:t>1.8</w:t>
            </w:r>
          </w:p>
        </w:tc>
        <w:tc>
          <w:tcPr>
            <w:tcW w:w="9800" w:type="dxa"/>
            <w:vAlign w:val="bottom"/>
          </w:tcPr>
          <w:p>
            <w:pPr>
              <w:ind w:left="280"/>
              <w:spacing w:after="0"/>
              <w:rPr>
                <w:sz w:val="20"/>
                <w:szCs w:val="20"/>
                <w:color w:val="auto"/>
              </w:rPr>
            </w:pPr>
            <w:r>
              <w:rPr>
                <w:rFonts w:ascii="Arial" w:cs="Arial" w:eastAsia="Arial" w:hAnsi="Arial"/>
                <w:sz w:val="17"/>
                <w:szCs w:val="17"/>
                <w:color w:val="auto"/>
              </w:rPr>
              <w:t>Transferring their rights and obligations under this Agreement to any third party;</w:t>
            </w:r>
          </w:p>
        </w:tc>
      </w:tr>
      <w:tr>
        <w:trPr>
          <w:trHeight w:val="386"/>
        </w:trPr>
        <w:tc>
          <w:tcPr>
            <w:tcW w:w="580" w:type="dxa"/>
            <w:vAlign w:val="bottom"/>
          </w:tcPr>
          <w:p>
            <w:pPr>
              <w:spacing w:after="0"/>
              <w:rPr>
                <w:sz w:val="20"/>
                <w:szCs w:val="20"/>
                <w:color w:val="auto"/>
              </w:rPr>
            </w:pPr>
            <w:r>
              <w:rPr>
                <w:rFonts w:ascii="Arial" w:cs="Arial" w:eastAsia="Arial" w:hAnsi="Arial"/>
                <w:sz w:val="17"/>
                <w:szCs w:val="17"/>
                <w:color w:val="auto"/>
              </w:rPr>
              <w:t>1.9</w:t>
            </w:r>
          </w:p>
        </w:tc>
        <w:tc>
          <w:tcPr>
            <w:tcW w:w="9800" w:type="dxa"/>
            <w:vAlign w:val="bottom"/>
          </w:tcPr>
          <w:p>
            <w:pPr>
              <w:ind w:left="280"/>
              <w:spacing w:after="0"/>
              <w:rPr>
                <w:sz w:val="20"/>
                <w:szCs w:val="20"/>
                <w:color w:val="auto"/>
              </w:rPr>
            </w:pPr>
            <w:r>
              <w:rPr>
                <w:rFonts w:ascii="Arial" w:cs="Arial" w:eastAsia="Arial" w:hAnsi="Arial"/>
                <w:sz w:val="17"/>
                <w:szCs w:val="17"/>
                <w:color w:val="auto"/>
                <w:w w:val="95"/>
              </w:rPr>
              <w:t>Making any major adjustments to their business operation model, marketing strategy, management policy or customer relations; and</w:t>
            </w:r>
          </w:p>
        </w:tc>
      </w:tr>
      <w:tr>
        <w:trPr>
          <w:trHeight w:val="386"/>
        </w:trPr>
        <w:tc>
          <w:tcPr>
            <w:tcW w:w="580" w:type="dxa"/>
            <w:vAlign w:val="bottom"/>
          </w:tcPr>
          <w:p>
            <w:pPr>
              <w:spacing w:after="0"/>
              <w:rPr>
                <w:sz w:val="20"/>
                <w:szCs w:val="20"/>
                <w:color w:val="auto"/>
              </w:rPr>
            </w:pPr>
            <w:r>
              <w:rPr>
                <w:rFonts w:ascii="Arial" w:cs="Arial" w:eastAsia="Arial" w:hAnsi="Arial"/>
                <w:sz w:val="17"/>
                <w:szCs w:val="17"/>
                <w:color w:val="auto"/>
              </w:rPr>
              <w:t>1.10</w:t>
            </w:r>
          </w:p>
        </w:tc>
        <w:tc>
          <w:tcPr>
            <w:tcW w:w="9800" w:type="dxa"/>
            <w:vAlign w:val="bottom"/>
          </w:tcPr>
          <w:p>
            <w:pPr>
              <w:ind w:left="280"/>
              <w:spacing w:after="0"/>
              <w:rPr>
                <w:sz w:val="20"/>
                <w:szCs w:val="20"/>
                <w:color w:val="auto"/>
              </w:rPr>
            </w:pPr>
            <w:r>
              <w:rPr>
                <w:rFonts w:ascii="Arial" w:cs="Arial" w:eastAsia="Arial" w:hAnsi="Arial"/>
                <w:sz w:val="17"/>
                <w:szCs w:val="17"/>
                <w:color w:val="auto"/>
              </w:rPr>
              <w:t>Distributing any bonus and dividend in any form.</w:t>
            </w:r>
          </w:p>
        </w:tc>
      </w:tr>
    </w:tbl>
    <w:p>
      <w:pPr>
        <w:spacing w:after="0" w:line="170" w:lineRule="exact"/>
        <w:rPr>
          <w:sz w:val="20"/>
          <w:szCs w:val="20"/>
          <w:color w:val="auto"/>
        </w:rPr>
      </w:pPr>
    </w:p>
    <w:p>
      <w:pPr>
        <w:ind w:left="860" w:hanging="860"/>
        <w:spacing w:after="0"/>
        <w:tabs>
          <w:tab w:leader="none" w:pos="860"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Management and Personnel Arrangement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Party B’s Subsidiaries and Party C hereby agree to accept any appointment and dismissal of employees of the company provided by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A from time to time and any opinions and instructions on the daily operating management, financial management system, etc., of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company and strictly implement them.</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B, Party B’s Subsidiaries and Party C hereby agree that Party C shall, in accordance with the laws and regulations and the articles of</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association, elect or appoint any persons designated by Party A as director (or executive director) or supervisor of Party B and Party B’s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Subsidiaries and cause such persons elected as director to elect the chairman of the company (if the company has a board of directors)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according to Party A’s recommendation of candidate and shall appoint any persons designated by Party A as general manager, chief financial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officer and other senior managers of Party B and Party B’s Subsidiaries.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When the aforesaid directors or senior managers designated by Party A leave Party A for any reasons whatsoever (including but not limited to</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any voluntary resignation and dismissal by Party A), they will be disqualified from holding a post in Party B and Party B’s Subsidiaries. In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such a case, Party B, Party B’s Subsidiaries and Party C shall immediately dismiss the aforesaid persons from any post in Party B and Party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B’s Subsidiaries and immediately elect or employ any other persons otherwise designated by Party A to hold such post.</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2.4</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For the purpose of the Section 2.3 above, Party B, Party B’s Subsidiaries and Party C shall, in accordance with the laws, articles of association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and this Agreement, take all necessary internal and external procedures of the company to complete the above dismissal and appointment</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procedures.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2.5</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Party C hereby agrees that, when signing this Agreement, it shall sign a power of attorney in such form and substance as shown in Annex III</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hereto and shall, according to such power of attorney, irrevocably authorize any persons designated by Party A to exercise its shareholder</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rights on its behalf and exercise all shareholders’ voting rights in the name of shareholders at any meeting of shareholders held by Party B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B’s Subsidiaries. Party C further agrees that it shall replace at any time the designated authorized persons in the forgoing power of</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attorney according to Party A’s requirements.</w:t>
            </w:r>
          </w:p>
        </w:tc>
      </w:tr>
      <w:tr>
        <w:trPr>
          <w:trHeight w:val="399"/>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291" w:name="page292"/>
    <w:bookmarkEnd w:id="291"/>
    <w:p>
      <w:pPr>
        <w:ind w:left="860" w:hanging="860"/>
        <w:spacing w:after="0"/>
        <w:tabs>
          <w:tab w:leader="none" w:pos="860"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of the agreements among Party A and Party B and Party B’s Subsidiaries is terminated or expires, Party A shall have the right to decide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whether to terminate all agreements among Party A and Party B and Party B’s Subsidiaries, including but not limited to any Exclusive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Technical Consultation and Service 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Considering that Party A has established the business relationship with Party B and Party B’s Subsidiaries by signing an Exclusive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Consultation and Service Agreement and other agreements, any daily operating activities of Party B and Party B’s Subsidiaries will have a</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substantial impact on their ability to pay the corresponding amounts to Party A. Party C agrees that, subject to the provisions of Article 1</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hereof, any incomes or interests shall be immediately paid or transferred without compensation to Party A when they are realized, under no</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conditions, out of any bonuses, dividend distributions or any other similar incomes or interests (regardless of their specific form) that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received by Party C from Party B and Party B’s Subsidiaries in the capacity of a shareholder of Party B and Party B’s Subsidiaries and that it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shall, according to Party A’s requirements, provide all necessary documents or take all necessary actions to realize such payment or transfer.</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3.3</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added Party B’s Subsidiary at any time after the effective date of this Agreement, Party B and Party C shall cause such newly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added Party B’s Subsidiary to sign a letter of acceptance of rights and obligations in such form and substance as shown in Annex IV hereto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any other legal documents permitted or required by the laws of the PRC so as to enable such newly added Party B’s Subsidiary to join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 and fully accept any obligations and rights to be assumed and enjoyed by Party B’s Subsidiaries under this Agreement. From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execution date of such letter of acceptance of rights and obligations and any other legal documents permitted or required by the laws of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PRC, such newly added Party B’s Subsidiary shall be deemed to be a signatory to this Agreement. Any other Parties hereto hereby agree to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fully accept the foregoing arrangement.</w:t>
            </w:r>
          </w:p>
        </w:tc>
      </w:tr>
    </w:tbl>
    <w:p>
      <w:pPr>
        <w:spacing w:after="0" w:line="145" w:lineRule="exact"/>
        <w:rPr>
          <w:sz w:val="20"/>
          <w:szCs w:val="20"/>
          <w:color w:val="auto"/>
        </w:rPr>
      </w:pPr>
    </w:p>
    <w:p>
      <w:pPr>
        <w:ind w:left="860" w:hanging="860"/>
        <w:spacing w:after="0"/>
        <w:tabs>
          <w:tab w:leader="none" w:pos="860"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and Amendment</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This Agreement and all agreements and/or documents referred to or expressly contained herein shall constitute an entire agreement among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Parties in respect of the subject matter of this Agreement and supersede all prior oral and written agreements, contracts, understandings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communications among the Parties in relation to the subject matter of this 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No amendments to this Agreement shall be valid unless a written agreement is signed by the Parties. Any amendment and supplementary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agreements duly signed by the Parties in relation to this Agreement shall form an integral part of this Agreement and be equally authentic as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w:t>
            </w:r>
          </w:p>
        </w:tc>
      </w:tr>
    </w:tbl>
    <w:p>
      <w:pPr>
        <w:spacing w:after="0" w:line="145" w:lineRule="exact"/>
        <w:rPr>
          <w:sz w:val="20"/>
          <w:szCs w:val="20"/>
          <w:color w:val="auto"/>
        </w:rPr>
      </w:pPr>
    </w:p>
    <w:p>
      <w:pPr>
        <w:ind w:left="860" w:hanging="860"/>
        <w:spacing w:after="0"/>
        <w:tabs>
          <w:tab w:leader="none" w:pos="860" w:val="left"/>
        </w:tabs>
        <w:numPr>
          <w:ilvl w:val="0"/>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16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This Agreement shall be governed by and construed in accordance with the laws of the PRC.</w:t>
      </w:r>
    </w:p>
    <w:p>
      <w:pPr>
        <w:spacing w:after="0" w:line="174" w:lineRule="exact"/>
        <w:rPr>
          <w:rFonts w:ascii="Arial" w:cs="Arial" w:eastAsia="Arial" w:hAnsi="Arial"/>
          <w:sz w:val="17"/>
          <w:szCs w:val="17"/>
          <w:b w:val="1"/>
          <w:bCs w:val="1"/>
          <w:color w:val="auto"/>
        </w:rPr>
      </w:pPr>
    </w:p>
    <w:p>
      <w:pPr>
        <w:ind w:left="860" w:hanging="860"/>
        <w:spacing w:after="0"/>
        <w:tabs>
          <w:tab w:leader="none" w:pos="860" w:val="left"/>
        </w:tabs>
        <w:numPr>
          <w:ilvl w:val="0"/>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resolve such disputes through consultation in good faith. If such disputes can not be resolved through consultation, any Party may submit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disputes to China International Economic and Trade Arbitration Commission for resolution by arbitration in accordance with the existing</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proceedings shall be Chinese. Any arbitral award shall be final and binding upon the Parties. No provisions of this Article shall be affected by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3</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4" w:right="299" w:bottom="1440" w:gutter="0" w:footer="0" w:header="0"/>
        </w:sectPr>
      </w:pPr>
    </w:p>
    <w:bookmarkStart w:id="292" w:name="page293"/>
    <w:bookmarkEnd w:id="292"/>
    <w:p>
      <w:pPr>
        <w:ind w:left="1720" w:hanging="859"/>
        <w:spacing w:after="0" w:line="264" w:lineRule="auto"/>
        <w:tabs>
          <w:tab w:leader="none" w:pos="170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27" w:lineRule="exact"/>
        <w:rPr>
          <w:sz w:val="20"/>
          <w:szCs w:val="20"/>
          <w:color w:val="auto"/>
        </w:rPr>
      </w:pPr>
    </w:p>
    <w:p>
      <w:pPr>
        <w:ind w:left="860" w:hanging="860"/>
        <w:spacing w:after="0"/>
        <w:tabs>
          <w:tab w:leader="none" w:pos="860"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69" w:lineRule="exact"/>
        <w:rPr>
          <w:rFonts w:ascii="Arial" w:cs="Arial" w:eastAsia="Arial" w:hAnsi="Arial"/>
          <w:sz w:val="17"/>
          <w:szCs w:val="17"/>
          <w:b w:val="1"/>
          <w:bCs w:val="1"/>
          <w:color w:val="auto"/>
        </w:rPr>
      </w:pPr>
    </w:p>
    <w:p>
      <w:pPr>
        <w:jc w:val="both"/>
        <w:ind w:left="8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4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A,</w:t>
      </w:r>
    </w:p>
    <w:p>
      <w:pPr>
        <w:spacing w:after="0" w:line="169" w:lineRule="exact"/>
        <w:rPr>
          <w:rFonts w:ascii="Arial" w:cs="Arial" w:eastAsia="Arial" w:hAnsi="Arial"/>
          <w:sz w:val="17"/>
          <w:szCs w:val="17"/>
          <w:b w:val="1"/>
          <w:bCs w:val="1"/>
          <w:color w:val="auto"/>
        </w:rPr>
      </w:pPr>
    </w:p>
    <w:p>
      <w:pPr>
        <w:ind w:left="860" w:right="2800"/>
        <w:spacing w:after="0" w:line="451" w:lineRule="auto"/>
        <w:rPr>
          <w:rFonts w:ascii="Arial" w:cs="Arial" w:eastAsia="Arial" w:hAnsi="Arial"/>
          <w:sz w:val="17"/>
          <w:szCs w:val="17"/>
          <w:b w:val="1"/>
          <w:bCs w:val="1"/>
          <w:color w:val="auto"/>
        </w:rPr>
      </w:pPr>
      <w:r>
        <w:rPr>
          <w:rFonts w:ascii="Arial" w:cs="Arial" w:eastAsia="Arial" w:hAnsi="Arial"/>
          <w:sz w:val="17"/>
          <w:szCs w:val="17"/>
          <w:color w:val="auto"/>
        </w:rPr>
        <w:t>Address: Building No. 6, Chaolai Science and Technology Park, Laiguangying, Chaoyang District, Beijing, China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LIU Tongbo</w:t>
      </w:r>
    </w:p>
    <w:p>
      <w:pPr>
        <w:spacing w:after="0" w:line="161"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B and Party B’s Subsidiaries</w:t>
      </w:r>
    </w:p>
    <w:p>
      <w:pPr>
        <w:spacing w:after="0" w:line="169" w:lineRule="exact"/>
        <w:rPr>
          <w:rFonts w:ascii="Arial" w:cs="Arial" w:eastAsia="Arial" w:hAnsi="Arial"/>
          <w:sz w:val="17"/>
          <w:szCs w:val="17"/>
          <w:b w:val="1"/>
          <w:bCs w:val="1"/>
          <w:color w:val="auto"/>
        </w:rPr>
      </w:pPr>
    </w:p>
    <w:p>
      <w:pPr>
        <w:ind w:left="860" w:right="3540"/>
        <w:spacing w:after="0" w:line="451" w:lineRule="auto"/>
        <w:rPr>
          <w:rFonts w:ascii="Arial" w:cs="Arial" w:eastAsia="Arial" w:hAnsi="Arial"/>
          <w:sz w:val="17"/>
          <w:szCs w:val="17"/>
          <w:b w:val="1"/>
          <w:bCs w:val="1"/>
          <w:color w:val="auto"/>
        </w:rPr>
      </w:pPr>
      <w:r>
        <w:rPr>
          <w:rFonts w:ascii="Arial" w:cs="Arial" w:eastAsia="Arial" w:hAnsi="Arial"/>
          <w:sz w:val="17"/>
          <w:szCs w:val="17"/>
          <w:color w:val="auto"/>
        </w:rPr>
        <w:t>Address: Room No. 104 (even), No. 90-96, Kexue grand avenue, Huangpu District, Guangzhou, China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JIAN Rongshan</w:t>
      </w:r>
    </w:p>
    <w:p>
      <w:pPr>
        <w:spacing w:after="0" w:line="161" w:lineRule="exact"/>
        <w:rPr>
          <w:rFonts w:ascii="Arial" w:cs="Arial" w:eastAsia="Arial" w:hAnsi="Arial"/>
          <w:sz w:val="17"/>
          <w:szCs w:val="17"/>
          <w:b w:val="1"/>
          <w:bCs w:val="1"/>
          <w:color w:val="auto"/>
        </w:rPr>
      </w:pPr>
    </w:p>
    <w:p>
      <w:pPr>
        <w:ind w:left="860" w:hanging="860"/>
        <w:spacing w:after="0"/>
        <w:tabs>
          <w:tab w:leader="none" w:pos="860"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Term and Miscellaneous Provisions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Any written consents, suggestions and designations of Party A involved herein and any other decisions that have a substantial impact on the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daily operation of Party B and Party B’s Subsidiaries shall be made by Party A’s board of directors and/or executive director.</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This Agreement is executed by the parties hereto and take effect as of the date first written above herein. Unless Party A cancels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Agreement in advance, the term of this Agreement shall be terminated upon dissolution of both of Party B and Party B’s Subsidiaries in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accordance with the laws of the PRC. Upon Party A’s request prior to the expiration of this Agreement, the Parties shall extend the term of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 at Party A’s request and shall sign a separate business operation agreement or continue to perform this Agreement according to</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Party A’s requirements.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Notwithstanding the above, the Parties acknowledge that, in case of any change of Party B’s shareholding structure or any increase or decrease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of shareholders and other circumstances, Party A, Party B, Party B’s Subsidiaries and all existing shareholders of Party B shall re-sign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Agreement, and this Agreement shall automatically be terminated and become invalid from the effective date of the business operation</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 re-signed by the foregoing Parties.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Within the term of this Agreement, Party B, Party B’s Subsidiaries and Party C shall not terminate this Agreement in advance. Party A shall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have the right to terminate this Agreement at any time by giving a written notice to Party B, Party B’s Subsidiaries and shareholders Thirty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(30) days in advance.</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Parties hereby acknowledge that this Agreement shall be a fair and reasonable agreement reached by the Parties hereto on the basis of</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equality and mutual benefit. If any provisions of this Agreement are deemed to be illegal or unenforceable by any applicable law, such</w:t>
            </w:r>
          </w:p>
        </w:tc>
      </w:tr>
    </w:tbl>
    <w:p>
      <w:pPr>
        <w:jc w:val="both"/>
        <w:ind w:left="1720"/>
        <w:spacing w:after="0" w:line="246" w:lineRule="auto"/>
        <w:rPr>
          <w:sz w:val="20"/>
          <w:szCs w:val="20"/>
          <w:color w:val="auto"/>
        </w:rPr>
      </w:pPr>
      <w:r>
        <w:rPr>
          <w:rFonts w:ascii="Arial" w:cs="Arial" w:eastAsia="Arial" w:hAnsi="Arial"/>
          <w:sz w:val="17"/>
          <w:szCs w:val="17"/>
          <w:color w:val="auto"/>
        </w:rPr>
        <w:t>provisions shall be deemed to have been deleted from this Agreement and become invalid, provided that any other provisions of this Agreement shall remain in force, and this Agreement shall be deemed to have not contained such provisions from the beginning. The Parties hereto shall mutually negotiate about the replacement of such provisions that are deemed to have been deleted with any legal and valid provisions acceptable to the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293" w:name="page294"/>
    <w:bookmarkEnd w:id="293"/>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8.6</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No failure by any Party to exercise its rights, powers or privileges under this Agreement shall be treated as a waiver of such rights, powers or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privileges by such Party. No single or partial exercise by any Party of its rights, powers or privileges under this Agreement shall exclude any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exercise by such Party of its other rights, powers or privileges under this Agreement.</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8.7</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8.8</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Party B, Party B’s Subsidiaries and Party C shall not transfer to any third party their rights and obligations under this Agreement unless they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obtain the prior written consent of Party A.</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duly authorized representative as of the date first above written.</w:t>
      </w:r>
    </w:p>
    <w:p>
      <w:pPr>
        <w:spacing w:after="0" w:line="190"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[The remainder of this page is intentionally left blank]</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294" w:name="page295"/>
    <w:bookmarkEnd w:id="294"/>
    <w:p>
      <w:pPr>
        <w:jc w:val="right"/>
        <w:ind w:right="2159"/>
        <w:spacing w:after="0"/>
        <w:rPr>
          <w:sz w:val="20"/>
          <w:szCs w:val="20"/>
          <w:color w:val="auto"/>
        </w:rPr>
      </w:pPr>
      <w:r>
        <w:rPr>
          <w:rFonts w:ascii="Arial" w:cs="Arial" w:eastAsia="Arial" w:hAnsi="Arial"/>
          <w:sz w:val="17"/>
          <w:szCs w:val="17"/>
          <w:color w:val="auto"/>
        </w:rPr>
        <w:t>[This page is the signature page to the Business Operation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-10160</wp:posOffset>
            </wp:positionV>
            <wp:extent cx="2603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JIAN Rongshan</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6" w:right="1440" w:bottom="1440" w:gutter="0" w:footer="0" w:header="0"/>
        </w:sectPr>
      </w:pPr>
    </w:p>
    <w:bookmarkStart w:id="295" w:name="page296"/>
    <w:bookmarkEnd w:id="295"/>
    <w:p>
      <w:pPr>
        <w:jc w:val="center"/>
        <w:spacing w:after="0"/>
        <w:rPr>
          <w:sz w:val="20"/>
          <w:szCs w:val="20"/>
          <w:color w:val="auto"/>
        </w:rPr>
      </w:pPr>
      <w:r>
        <w:rPr>
          <w:rFonts w:ascii="Arial" w:cs="Arial" w:eastAsia="Arial" w:hAnsi="Arial"/>
          <w:sz w:val="20"/>
          <w:szCs w:val="20"/>
          <w:b w:val="1"/>
          <w:bCs w:val="1"/>
          <w:color w:val="auto"/>
        </w:rPr>
        <w:t>Annex Letter of Acceptance of Rights and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company , </w:t>
      </w:r>
      <w:r>
        <w:rPr>
          <w:rFonts w:ascii="Arial" w:cs="Arial" w:eastAsia="Arial" w:hAnsi="Arial"/>
          <w:sz w:val="15"/>
          <w:szCs w:val="15"/>
          <w:b w:val="1"/>
          <w:bCs w:val="1"/>
          <w:color w:val="auto"/>
        </w:rPr>
        <w:t>______, is a subsidiary of (hereinafter referred to as “______ ”) incorporated with on the____ day of_______ , and Guangzhou Tianyong holds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 of the shares/equity of _____% of the shares/equity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accordance with the Exclusive Technical Consultation and Service Agreement (hereinafter referred to as “Agreement”) entered into by ______ Co., Limited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 other parties on the ______ day of______ , our company as a newly added “Party B’s Subsidiary” under the Agreement shall join the Agreement pursuant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Section 3.3 of the Agreement.</w:t>
      </w:r>
    </w:p>
    <w:p>
      <w:pPr>
        <w:spacing w:after="0" w:line="149"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314" w:right="3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7"/>
          <w:szCs w:val="17"/>
          <w:b w:val="1"/>
          <w:bCs w:val="1"/>
          <w:color w:val="auto"/>
        </w:rPr>
        <w:t>Exhibit 4.37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Equity Interest Pledge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This Equity Interest Pledge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14</w:t>
      </w:r>
      <w:r>
        <w:rPr>
          <w:rFonts w:ascii="Arial" w:cs="Arial" w:eastAsia="Arial" w:hAnsi="Arial"/>
          <w:sz w:val="12"/>
          <w:szCs w:val="12"/>
          <w:color w:val="auto"/>
        </w:rPr>
        <w:t>th</w:t>
      </w:r>
      <w:r>
        <w:rPr>
          <w:rFonts w:ascii="Arial" w:cs="Arial" w:eastAsia="Arial" w:hAnsi="Arial"/>
          <w:sz w:val="15"/>
          <w:szCs w:val="15"/>
          <w:color w:val="auto"/>
        </w:rPr>
        <w:t xml:space="preserve"> day of September, 2020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 (hereinafter referred to as the “</w:t>
      </w:r>
      <w:r>
        <w:rPr>
          <w:rFonts w:ascii="Arial" w:cs="Arial" w:eastAsia="Arial" w:hAnsi="Arial"/>
          <w:sz w:val="17"/>
          <w:szCs w:val="17"/>
          <w:b w:val="1"/>
          <w:bCs w:val="1"/>
          <w:color w:val="auto"/>
        </w:rPr>
        <w:t>Pledgors</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Guangzhou Tianyong Online Education Technology Co., Ltd.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No. 104 (even), No. 90-96, Kexue grand avenue, Huangpu District, Guangzhou, China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JIAN Rongshan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182" w:lineRule="exact"/>
        <w:rPr>
          <w:sz w:val="20"/>
          <w:szCs w:val="20"/>
          <w:color w:val="auto"/>
        </w:rPr>
      </w:pPr>
    </w:p>
    <w:p>
      <w:pPr>
        <w:ind w:left="860" w:hanging="860"/>
        <w:spacing w:after="0"/>
        <w:tabs>
          <w:tab w:leader="none" w:pos="8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Party C is a limited liability company legally incorporated and existing under the law of the PRC.</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Pledgors as a whole holds one hundred (100) percent of the equity of Party C, with the shareholding structure be listed in Annex II hereto.</w:t>
      </w:r>
    </w:p>
    <w:p>
      <w:pPr>
        <w:spacing w:after="0" w:line="176" w:lineRule="exact"/>
        <w:rPr>
          <w:rFonts w:ascii="Arial" w:cs="Arial" w:eastAsia="Arial" w:hAnsi="Arial"/>
          <w:sz w:val="16"/>
          <w:szCs w:val="16"/>
          <w:color w:val="auto"/>
        </w:rPr>
      </w:pPr>
    </w:p>
    <w:p>
      <w:pPr>
        <w:ind w:left="860" w:right="80" w:hanging="860"/>
        <w:spacing w:after="0" w:line="265" w:lineRule="auto"/>
        <w:tabs>
          <w:tab w:leader="none" w:pos="8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Exclusive Technical Consultation and Service Agreement, the Business Operation Agreement and the Option Agreement were made as of the 14</w:t>
      </w:r>
      <w:r>
        <w:rPr>
          <w:rFonts w:ascii="Arial" w:cs="Arial" w:eastAsia="Arial" w:hAnsi="Arial"/>
          <w:sz w:val="14"/>
          <w:szCs w:val="14"/>
          <w:color w:val="auto"/>
        </w:rPr>
        <w:t>th</w:t>
      </w:r>
      <w:r>
        <w:rPr>
          <w:rFonts w:ascii="Arial" w:cs="Arial" w:eastAsia="Arial" w:hAnsi="Arial"/>
          <w:sz w:val="17"/>
          <w:szCs w:val="17"/>
          <w:color w:val="auto"/>
        </w:rPr>
        <w:t xml:space="preserve"> day of September, 2020 by and among the Pledgee, the Pledgors and Party C.</w:t>
      </w:r>
    </w:p>
    <w:p>
      <w:pPr>
        <w:spacing w:after="0" w:line="129" w:lineRule="exact"/>
        <w:rPr>
          <w:rFonts w:ascii="Arial" w:cs="Arial" w:eastAsia="Arial" w:hAnsi="Arial"/>
          <w:sz w:val="17"/>
          <w:szCs w:val="17"/>
          <w:color w:val="auto"/>
        </w:rPr>
      </w:pPr>
    </w:p>
    <w:p>
      <w:pPr>
        <w:ind w:left="860" w:hanging="860"/>
        <w:spacing w:after="0" w:line="254" w:lineRule="auto"/>
        <w:tabs>
          <w:tab w:leader="none" w:pos="8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For the purpose of guaranteeing the collection by the Pledgee from Party C the service costs under the Exclusive Technical Consultation and Service Agreement and guaranteeing the performance of Individual Agreements (defined below), the Pledgors jointly and severally use all of the equity they hold in Party C as the pledge security for such Agreement, and the Pledgee shall be Party A.</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7"/>
          <w:szCs w:val="17"/>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97" w:name="page298"/>
    <w:bookmarkEnd w:id="297"/>
    <w:p>
      <w:pPr>
        <w:ind w:left="860" w:hanging="860"/>
        <w:spacing w:after="0"/>
        <w:tabs>
          <w:tab w:leader="none" w:pos="860"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shall be interpreted as defined below unless otherwise provided herein:</w:t>
      </w:r>
    </w:p>
    <w:p>
      <w:pPr>
        <w:spacing w:after="0" w:line="17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1.1</w:t>
            </w:r>
          </w:p>
        </w:tc>
        <w:tc>
          <w:tcPr>
            <w:tcW w:w="9760" w:type="dxa"/>
            <w:vAlign w:val="bottom"/>
          </w:tcPr>
          <w:p>
            <w:pPr>
              <w:ind w:left="320"/>
              <w:spacing w:after="0"/>
              <w:rPr>
                <w:sz w:val="20"/>
                <w:szCs w:val="20"/>
                <w:color w:val="auto"/>
              </w:rPr>
            </w:pPr>
            <w:r>
              <w:rPr>
                <w:rFonts w:ascii="Arial" w:cs="Arial" w:eastAsia="Arial" w:hAnsi="Arial"/>
                <w:sz w:val="17"/>
                <w:szCs w:val="17"/>
                <w:b w:val="1"/>
                <w:bCs w:val="1"/>
                <w:color w:val="auto"/>
              </w:rPr>
              <w:t xml:space="preserve">Pledge Right </w:t>
            </w:r>
            <w:r>
              <w:rPr>
                <w:rFonts w:ascii="Arial" w:cs="Arial" w:eastAsia="Arial" w:hAnsi="Arial"/>
                <w:sz w:val="17"/>
                <w:szCs w:val="17"/>
                <w:color w:val="auto"/>
              </w:rPr>
              <w:t>shall refer to all the contents as described in Section 2 below.</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1.2</w:t>
            </w:r>
          </w:p>
        </w:tc>
        <w:tc>
          <w:tcPr>
            <w:tcW w:w="9760" w:type="dxa"/>
            <w:vAlign w:val="bottom"/>
          </w:tcPr>
          <w:p>
            <w:pPr>
              <w:ind w:left="320"/>
              <w:spacing w:after="0"/>
              <w:rPr>
                <w:sz w:val="20"/>
                <w:szCs w:val="20"/>
                <w:color w:val="auto"/>
              </w:rPr>
            </w:pPr>
            <w:r>
              <w:rPr>
                <w:rFonts w:ascii="Arial" w:cs="Arial" w:eastAsia="Arial" w:hAnsi="Arial"/>
                <w:sz w:val="17"/>
                <w:szCs w:val="17"/>
                <w:b w:val="1"/>
                <w:bCs w:val="1"/>
                <w:color w:val="auto"/>
                <w:w w:val="88"/>
              </w:rPr>
              <w:t xml:space="preserve">Equity </w:t>
            </w:r>
            <w:r>
              <w:rPr>
                <w:rFonts w:ascii="Arial" w:cs="Arial" w:eastAsia="Arial" w:hAnsi="Arial"/>
                <w:sz w:val="17"/>
                <w:szCs w:val="17"/>
                <w:color w:val="auto"/>
                <w:w w:val="88"/>
              </w:rPr>
              <w:t>shall refer to the one hundred (100) percent of the equity legally held by the Pledgors as a whole and any and all the current and future</w:t>
            </w:r>
          </w:p>
        </w:tc>
      </w:tr>
      <w:tr>
        <w:trPr>
          <w:trHeight w:val="212"/>
        </w:trPr>
        <w:tc>
          <w:tcPr>
            <w:tcW w:w="54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rPr>
              <w:t>rights and benefits arising out of the foregoing.</w:t>
            </w:r>
          </w:p>
        </w:tc>
      </w:tr>
      <w:tr>
        <w:trPr>
          <w:trHeight w:val="348"/>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760" w:type="dxa"/>
            <w:vAlign w:val="bottom"/>
          </w:tcPr>
          <w:p>
            <w:pPr>
              <w:ind w:left="320"/>
              <w:spacing w:after="0"/>
              <w:rPr>
                <w:sz w:val="20"/>
                <w:szCs w:val="20"/>
                <w:color w:val="auto"/>
              </w:rPr>
            </w:pPr>
            <w:r>
              <w:rPr>
                <w:rFonts w:ascii="Arial" w:cs="Arial" w:eastAsia="Arial" w:hAnsi="Arial"/>
                <w:sz w:val="17"/>
                <w:szCs w:val="17"/>
                <w:b w:val="1"/>
                <w:bCs w:val="1"/>
                <w:color w:val="auto"/>
                <w:w w:val="89"/>
              </w:rPr>
              <w:t xml:space="preserve">Individual Agreements </w:t>
            </w:r>
            <w:r>
              <w:rPr>
                <w:rFonts w:ascii="Arial" w:cs="Arial" w:eastAsia="Arial" w:hAnsi="Arial"/>
                <w:sz w:val="17"/>
                <w:szCs w:val="17"/>
                <w:color w:val="auto"/>
                <w:w w:val="89"/>
              </w:rPr>
              <w:t>shall refer to the Exclusive Technical Consultation and Service Agreement, the Business Operation Agreement and</w:t>
            </w:r>
          </w:p>
        </w:tc>
      </w:tr>
      <w:tr>
        <w:trPr>
          <w:trHeight w:val="213"/>
        </w:trPr>
        <w:tc>
          <w:tcPr>
            <w:tcW w:w="54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rPr>
              <w:t>the Option Agreement made as of the 14</w:t>
            </w:r>
            <w:r>
              <w:rPr>
                <w:rFonts w:ascii="Arial" w:cs="Arial" w:eastAsia="Arial" w:hAnsi="Arial"/>
                <w:sz w:val="14"/>
                <w:szCs w:val="14"/>
                <w:color w:val="auto"/>
              </w:rPr>
              <w:t>th</w:t>
            </w:r>
            <w:r>
              <w:rPr>
                <w:rFonts w:ascii="Arial" w:cs="Arial" w:eastAsia="Arial" w:hAnsi="Arial"/>
                <w:sz w:val="17"/>
                <w:szCs w:val="17"/>
                <w:color w:val="auto"/>
              </w:rPr>
              <w:t xml:space="preserve"> day of September, 2020 by and among the Pledgee, Party C and other parties.</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760" w:type="dxa"/>
            <w:vAlign w:val="bottom"/>
          </w:tcPr>
          <w:p>
            <w:pPr>
              <w:ind w:left="320"/>
              <w:spacing w:after="0"/>
              <w:rPr>
                <w:sz w:val="20"/>
                <w:szCs w:val="20"/>
                <w:color w:val="auto"/>
              </w:rPr>
            </w:pPr>
            <w:r>
              <w:rPr>
                <w:rFonts w:ascii="Arial" w:cs="Arial" w:eastAsia="Arial" w:hAnsi="Arial"/>
                <w:sz w:val="17"/>
                <w:szCs w:val="17"/>
                <w:b w:val="1"/>
                <w:bCs w:val="1"/>
                <w:color w:val="auto"/>
              </w:rPr>
              <w:t xml:space="preserve">A Default Event </w:t>
            </w:r>
            <w:r>
              <w:rPr>
                <w:rFonts w:ascii="Arial" w:cs="Arial" w:eastAsia="Arial" w:hAnsi="Arial"/>
                <w:sz w:val="17"/>
                <w:szCs w:val="17"/>
                <w:color w:val="auto"/>
              </w:rPr>
              <w:t>shall refer to any of the circumstances described in Section 7 below.</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760" w:type="dxa"/>
            <w:vAlign w:val="bottom"/>
          </w:tcPr>
          <w:p>
            <w:pPr>
              <w:ind w:left="320"/>
              <w:spacing w:after="0"/>
              <w:rPr>
                <w:sz w:val="20"/>
                <w:szCs w:val="20"/>
                <w:color w:val="auto"/>
              </w:rPr>
            </w:pPr>
            <w:r>
              <w:rPr>
                <w:rFonts w:ascii="Arial" w:cs="Arial" w:eastAsia="Arial" w:hAnsi="Arial"/>
                <w:sz w:val="17"/>
                <w:szCs w:val="17"/>
                <w:b w:val="1"/>
                <w:bCs w:val="1"/>
                <w:color w:val="auto"/>
              </w:rPr>
              <w:t xml:space="preserve">Default Notice </w:t>
            </w:r>
            <w:r>
              <w:rPr>
                <w:rFonts w:ascii="Arial" w:cs="Arial" w:eastAsia="Arial" w:hAnsi="Arial"/>
                <w:sz w:val="17"/>
                <w:szCs w:val="17"/>
                <w:color w:val="auto"/>
              </w:rPr>
              <w:t>shall refer to a notice declaring a Default Event which is issued by a Pledgor pursuant to this Agreement.</w:t>
            </w:r>
          </w:p>
        </w:tc>
      </w:tr>
    </w:tbl>
    <w:p>
      <w:pPr>
        <w:spacing w:after="0" w:line="170" w:lineRule="exact"/>
        <w:rPr>
          <w:sz w:val="20"/>
          <w:szCs w:val="20"/>
          <w:color w:val="auto"/>
        </w:rPr>
      </w:pPr>
    </w:p>
    <w:p>
      <w:pPr>
        <w:ind w:left="860" w:hanging="860"/>
        <w:spacing w:after="0"/>
        <w:tabs>
          <w:tab w:leader="none" w:pos="860" w:val="left"/>
        </w:tabs>
        <w:numPr>
          <w:ilvl w:val="0"/>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t>Pledge</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9760" w:type="dxa"/>
            <w:vAlign w:val="bottom"/>
          </w:tcPr>
          <w:p>
            <w:pPr>
              <w:ind w:left="320"/>
              <w:spacing w:after="0"/>
              <w:rPr>
                <w:sz w:val="20"/>
                <w:szCs w:val="20"/>
                <w:color w:val="auto"/>
              </w:rPr>
            </w:pPr>
            <w:r>
              <w:rPr>
                <w:rFonts w:ascii="Arial" w:cs="Arial" w:eastAsia="Arial" w:hAnsi="Arial"/>
                <w:sz w:val="17"/>
                <w:szCs w:val="17"/>
                <w:color w:val="auto"/>
                <w:w w:val="88"/>
              </w:rPr>
              <w:t>The Pledgors pledge to the Pledgee as the security of the Pledgee’s rights and benefits under the Individual Agreements all the Equity owned</w:t>
            </w:r>
          </w:p>
        </w:tc>
      </w:tr>
      <w:tr>
        <w:trPr>
          <w:trHeight w:val="212"/>
        </w:trPr>
        <w:tc>
          <w:tcPr>
            <w:tcW w:w="54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rPr>
              <w:t>by the Pledgors and the dividends which arise from the Equity during the effective term of this 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9760" w:type="dxa"/>
            <w:vAlign w:val="bottom"/>
          </w:tcPr>
          <w:p>
            <w:pPr>
              <w:ind w:left="320"/>
              <w:spacing w:after="0"/>
              <w:rPr>
                <w:sz w:val="20"/>
                <w:szCs w:val="20"/>
                <w:color w:val="auto"/>
              </w:rPr>
            </w:pPr>
            <w:r>
              <w:rPr>
                <w:rFonts w:ascii="Arial" w:cs="Arial" w:eastAsia="Arial" w:hAnsi="Arial"/>
                <w:sz w:val="17"/>
                <w:szCs w:val="17"/>
                <w:color w:val="auto"/>
                <w:w w:val="89"/>
              </w:rPr>
              <w:t>The scope guaranteed by the pledge of the Equity hereunder shall be all fees, costs and expenses (including legal costs) payable by Party C</w:t>
            </w:r>
          </w:p>
        </w:tc>
      </w:tr>
      <w:tr>
        <w:trPr>
          <w:trHeight w:val="199"/>
        </w:trPr>
        <w:tc>
          <w:tcPr>
            <w:tcW w:w="54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w w:val="87"/>
              </w:rPr>
              <w:t>and/or the Pledgors, and the losses, interest, liquidated damages, compensation, the costs for realizing the claims, and the liability that Party C</w:t>
            </w:r>
          </w:p>
        </w:tc>
      </w:tr>
      <w:tr>
        <w:trPr>
          <w:trHeight w:val="212"/>
        </w:trPr>
        <w:tc>
          <w:tcPr>
            <w:tcW w:w="54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rPr>
              <w:t>and/or the Pledgors shall bear in case of entire or partial invalidation of any of Individual Agreements for any reason.</w:t>
            </w:r>
          </w:p>
        </w:tc>
      </w:tr>
    </w:tbl>
    <w:p>
      <w:pPr>
        <w:spacing w:after="0" w:line="149" w:lineRule="exact"/>
        <w:rPr>
          <w:sz w:val="20"/>
          <w:szCs w:val="20"/>
          <w:color w:val="auto"/>
        </w:rPr>
      </w:pPr>
    </w:p>
    <w:p>
      <w:pPr>
        <w:jc w:val="both"/>
        <w:ind w:left="860" w:right="40"/>
        <w:spacing w:after="0" w:line="269" w:lineRule="auto"/>
        <w:rPr>
          <w:sz w:val="20"/>
          <w:szCs w:val="20"/>
          <w:color w:val="auto"/>
        </w:rPr>
      </w:pPr>
      <w:r>
        <w:rPr>
          <w:rFonts w:ascii="Arial" w:cs="Arial" w:eastAsia="Arial" w:hAnsi="Arial"/>
          <w:sz w:val="16"/>
          <w:szCs w:val="16"/>
          <w:color w:val="auto"/>
        </w:rPr>
        <w:t>In case the competent industrial and commercial administration expressly requires a definite amount of the guaranteed claims during the handling of the Equity pledge registration process, the parties hereto agree, for the sole purpose of handling the Equity pledge registration, to register as the amount of the claims under the Individual Agreements CNY 5,000,000 and any and all breach-of-contract liability and damages under the related agreements. The parties further acknowledge that for the purpose of handling the Equity pledge registration, the foregoing amount shall not diminish or limit any rights or interest that Party A has under the Individual Agreements and this Equity Pledge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The Pledge Rights hereunder shall refer to the rights for the Pledgee to be paid from in priority the money gained from the conversion into</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money, auction or sale of the Equity pledged by the Pledgors to the Pledgee.</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2.4</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After this Agreement takes effect, unless expressly agreed by the Pledgee in writing, the pledge hereunder may be relieved only after Party C</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and the Pledgors have properly and fully performed all of their obligations under the Individual Agreements and the performance thereof has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been recognized by the Pledgee in writing. In case Party C or any of the Pledgors fails to fully perform any of its obligations under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Individual Agreements upon expiration of the period described thereunder, the Pledgors shall still has the Pledge Rights herein; and the pledge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will be relieved until the foregoing obligations and liability have been fully performed to the Pledgee’s satisfaction.</w:t>
            </w:r>
          </w:p>
        </w:tc>
      </w:tr>
      <w:tr>
        <w:trPr>
          <w:trHeight w:val="797"/>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298" w:name="page299"/>
    <w:bookmarkEnd w:id="298"/>
    <w:p>
      <w:pPr>
        <w:ind w:left="860" w:hanging="860"/>
        <w:spacing w:after="0"/>
        <w:tabs>
          <w:tab w:leader="none" w:pos="860" w:val="left"/>
        </w:tabs>
        <w:numPr>
          <w:ilvl w:val="0"/>
          <w:numId w:val="319"/>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00" w:type="dxa"/>
            <w:vAlign w:val="bottom"/>
          </w:tcPr>
          <w:p>
            <w:pPr>
              <w:ind w:left="320"/>
              <w:spacing w:after="0"/>
              <w:rPr>
                <w:sz w:val="20"/>
                <w:szCs w:val="20"/>
                <w:color w:val="auto"/>
              </w:rPr>
            </w:pPr>
            <w:r>
              <w:rPr>
                <w:rFonts w:ascii="Arial" w:cs="Arial" w:eastAsia="Arial" w:hAnsi="Arial"/>
                <w:sz w:val="17"/>
                <w:szCs w:val="17"/>
                <w:color w:val="auto"/>
                <w:w w:val="87"/>
              </w:rPr>
              <w:t>This Agreement shall be formed and take effect as of the date of being signed and/or sealed by the parties hereto. The Pledge Rights hereunder</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0"/>
              </w:rPr>
              <w:t>shall be set up and take effect as of the date when the registration formalities regarding the Equity pledge have been completed at Party C’s</w:t>
            </w:r>
          </w:p>
        </w:tc>
      </w:tr>
      <w:tr>
        <w:trPr>
          <w:trHeight w:val="212"/>
        </w:trPr>
        <w:tc>
          <w:tcPr>
            <w:tcW w:w="540" w:type="dxa"/>
            <w:vAlign w:val="bottom"/>
          </w:tcPr>
          <w:p>
            <w:pPr>
              <w:spacing w:after="0"/>
              <w:rPr>
                <w:sz w:val="18"/>
                <w:szCs w:val="18"/>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rPr>
              <w:t>competent industrial and commercial administration.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00" w:type="dxa"/>
            <w:vAlign w:val="bottom"/>
          </w:tcPr>
          <w:p>
            <w:pPr>
              <w:ind w:left="320"/>
              <w:spacing w:after="0"/>
              <w:rPr>
                <w:sz w:val="20"/>
                <w:szCs w:val="20"/>
                <w:color w:val="auto"/>
              </w:rPr>
            </w:pPr>
            <w:r>
              <w:rPr>
                <w:rFonts w:ascii="Arial" w:cs="Arial" w:eastAsia="Arial" w:hAnsi="Arial"/>
                <w:sz w:val="17"/>
                <w:szCs w:val="17"/>
                <w:color w:val="auto"/>
                <w:w w:val="89"/>
              </w:rPr>
              <w:t>During the effective term of this Agreement, in case Party C fails to pay the service costs subject to the Exclusive Technical Consultation and</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88"/>
              </w:rPr>
              <w:t>Service Agreement or perform any other obligations thereunder, the Pledgee shall have the right to exercise the Pledge Rights hereunder after</w:t>
            </w:r>
          </w:p>
        </w:tc>
      </w:tr>
      <w:tr>
        <w:trPr>
          <w:trHeight w:val="212"/>
        </w:trPr>
        <w:tc>
          <w:tcPr>
            <w:tcW w:w="540" w:type="dxa"/>
            <w:vAlign w:val="bottom"/>
          </w:tcPr>
          <w:p>
            <w:pPr>
              <w:spacing w:after="0"/>
              <w:rPr>
                <w:sz w:val="18"/>
                <w:szCs w:val="18"/>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rPr>
              <w:t>issuing a reasonable notice.</w:t>
            </w:r>
          </w:p>
        </w:tc>
      </w:tr>
    </w:tbl>
    <w:p>
      <w:pPr>
        <w:spacing w:after="0" w:line="145" w:lineRule="exact"/>
        <w:rPr>
          <w:sz w:val="20"/>
          <w:szCs w:val="20"/>
          <w:color w:val="auto"/>
        </w:rPr>
      </w:pPr>
    </w:p>
    <w:p>
      <w:pPr>
        <w:ind w:left="860" w:hanging="860"/>
        <w:spacing w:after="0"/>
        <w:tabs>
          <w:tab w:leader="none" w:pos="860"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and Custody of the Pledge Rights Receipts; Registration of Pledge Rights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4.1</w:t>
            </w: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The Pledgors shall, within Ten (10) business days after the execution of this Agreement or any other date mutually negotiated and fixed by the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Parties hereto, deliver to the Pledgee the Equity Contribution Certificate (Original) for the pledge’s custody, submit to the Pledgee the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certification that the pledge hereunder has been properly registered in Party C’s Shareholders’ Register, and handle any and all examinations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and approvals and registration and filing formalities (including but not limited to, handling the Equity pledge registration formalities at Party</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5"/>
              </w:rPr>
              <w:t>C’s competent industrial and commercial administration subject to the laws of China) required by the laws and regulations of China.</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In case of any change of particulars and the registration needs to be legally changed accordingly, the Pledgee and the Pledgors shall, within</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Five (5) business days as of the date of change of particulars, carry out the change of registration accordingly, submit the applicable change of</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6"/>
              </w:rPr>
              <w:t>registration documents and handle the applicable change registration formalities at Party C’s competent industrial and commercial</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administration.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4.3</w:t>
            </w: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During the Equity pledge period, the Pledgors shall instruct Party C not to distribute any dividend or bonus or approve any profit distribution</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program; or in case the Pledgors shall obtain any economic interest of any nature from the pledged Equity other than dividend or bonus or any</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other profit distribution program, the Pledgors shall remit, as required and instructed by the Pledgee, to the banking account specified by the</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9"/>
              </w:rPr>
              <w:t>Pledgee the applicable (realized) amount, which shall not be used by the Pledgors without the Pledgee’s prior written consent.</w:t>
            </w:r>
          </w:p>
        </w:tc>
      </w:tr>
      <w:tr>
        <w:trPr>
          <w:trHeight w:val="345"/>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4.4</w:t>
            </w: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During the Equity pledge period, in case the any of the Pledgors subscribe for or purchase any of Party C’s new registered capital or any of</w:t>
            </w:r>
          </w:p>
        </w:tc>
      </w:tr>
      <w:tr>
        <w:trPr>
          <w:trHeight w:val="203"/>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Party C’s Equity held by any other Pledgor (the “</w:t>
            </w:r>
            <w:r>
              <w:rPr>
                <w:rFonts w:ascii="Arial" w:cs="Arial" w:eastAsia="Arial" w:hAnsi="Arial"/>
                <w:sz w:val="17"/>
                <w:szCs w:val="17"/>
                <w:b w:val="1"/>
                <w:bCs w:val="1"/>
                <w:color w:val="auto"/>
                <w:w w:val="94"/>
              </w:rPr>
              <w:t>New Equity</w:t>
            </w:r>
            <w:r>
              <w:rPr>
                <w:rFonts w:ascii="Arial" w:cs="Arial" w:eastAsia="Arial" w:hAnsi="Arial"/>
                <w:sz w:val="17"/>
                <w:szCs w:val="17"/>
                <w:color w:val="auto"/>
                <w:w w:val="94"/>
              </w:rPr>
              <w:t>”), the New Equity will then automatically form part of the pledged Equity</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hereunder, and such Pledgor shall complete any and all formalities regarding the pledge of the New Equity within Ten (10) business days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following its acquisition of the New Equity. In case the Pledgor fails to complete the applicable formalities as required in the preceding</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sentence, the Pledgee may promptly have the Pledge Rights realized pursuant to Section 8 below.</w:t>
            </w:r>
          </w:p>
        </w:tc>
      </w:tr>
    </w:tbl>
    <w:p>
      <w:pPr>
        <w:spacing w:after="0" w:line="145" w:lineRule="exact"/>
        <w:rPr>
          <w:sz w:val="20"/>
          <w:szCs w:val="20"/>
          <w:color w:val="auto"/>
        </w:rPr>
      </w:pPr>
    </w:p>
    <w:p>
      <w:pPr>
        <w:ind w:left="860" w:hanging="860"/>
        <w:spacing w:after="0"/>
        <w:tabs>
          <w:tab w:leader="none" w:pos="860" w:val="left"/>
        </w:tabs>
        <w:numPr>
          <w:ilvl w:val="0"/>
          <w:numId w:val="321"/>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Pledgors</w:t>
      </w:r>
    </w:p>
    <w:p>
      <w:pPr>
        <w:spacing w:after="0" w:line="169" w:lineRule="exact"/>
        <w:rPr>
          <w:rFonts w:ascii="Arial" w:cs="Arial" w:eastAsia="Arial" w:hAnsi="Arial"/>
          <w:sz w:val="17"/>
          <w:szCs w:val="17"/>
          <w:b w:val="1"/>
          <w:bCs w:val="1"/>
          <w:color w:val="auto"/>
        </w:rPr>
      </w:pPr>
    </w:p>
    <w:p>
      <w:pPr>
        <w:ind w:left="860" w:right="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Upon the execution of this Agreement, the Pledgors make to the Pledgee the following representations and warranties and confirm that this Agreement is signed and performed by the Pledgee by them in reliance of such representations and warranties: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9"/>
              </w:rPr>
              <w:t>The Pledgors lawfully hold the Equity hereunder and have the right to use such Equity to provide pledge security to the Pledgee.</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After this Agreement is executed, during the period when the Pledgee has the Pledge Rights subject to Section 2.4 above, when the Pledgee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exercises, at any time, its rights or has the Pledge Rights realized pursuant to this Agreement, there shall be no lawful claim or proper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intervention from or by any third party.</w:t>
            </w:r>
          </w:p>
        </w:tc>
      </w:tr>
      <w:tr>
        <w:trPr>
          <w:trHeight w:val="673"/>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3</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299" w:name="page300"/>
    <w:bookmarkEnd w:id="299"/>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5.3</w:t>
            </w:r>
          </w:p>
        </w:tc>
        <w:tc>
          <w:tcPr>
            <w:tcW w:w="9820" w:type="dxa"/>
            <w:vAlign w:val="bottom"/>
          </w:tcPr>
          <w:p>
            <w:pPr>
              <w:ind w:left="320"/>
              <w:spacing w:after="0"/>
              <w:rPr>
                <w:sz w:val="20"/>
                <w:szCs w:val="20"/>
                <w:color w:val="auto"/>
              </w:rPr>
            </w:pPr>
            <w:r>
              <w:rPr>
                <w:rFonts w:ascii="Arial" w:cs="Arial" w:eastAsia="Arial" w:hAnsi="Arial"/>
                <w:sz w:val="17"/>
                <w:szCs w:val="17"/>
                <w:color w:val="auto"/>
                <w:w w:val="91"/>
              </w:rPr>
              <w:t>The Pledgee shall have the right to exercise the Pledge Rights as per the method described herein or otherwise permitted by the laws and</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regulations.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5.4</w:t>
            </w:r>
          </w:p>
        </w:tc>
        <w:tc>
          <w:tcPr>
            <w:tcW w:w="9820" w:type="dxa"/>
            <w:vAlign w:val="bottom"/>
          </w:tcPr>
          <w:p>
            <w:pPr>
              <w:ind w:left="320"/>
              <w:spacing w:after="0"/>
              <w:rPr>
                <w:sz w:val="20"/>
                <w:szCs w:val="20"/>
                <w:color w:val="auto"/>
              </w:rPr>
            </w:pPr>
            <w:r>
              <w:rPr>
                <w:rFonts w:ascii="Arial" w:cs="Arial" w:eastAsia="Arial" w:hAnsi="Arial"/>
                <w:sz w:val="17"/>
                <w:szCs w:val="17"/>
                <w:color w:val="auto"/>
                <w:w w:val="87"/>
              </w:rPr>
              <w:t>The Pledgors have obtained all necessary corporate authorization to sign this Agreement and perform its obligations hereunder, which does not</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violate any provisions of any applicable laws and regulations. The authorized representative signatories of this Agreement have obtained legal</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and effective authorization.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5.5</w:t>
            </w:r>
          </w:p>
        </w:tc>
        <w:tc>
          <w:tcPr>
            <w:tcW w:w="9820" w:type="dxa"/>
            <w:vAlign w:val="bottom"/>
          </w:tcPr>
          <w:p>
            <w:pPr>
              <w:ind w:left="320"/>
              <w:spacing w:after="0"/>
              <w:rPr>
                <w:sz w:val="20"/>
                <w:szCs w:val="20"/>
                <w:color w:val="auto"/>
              </w:rPr>
            </w:pPr>
            <w:r>
              <w:rPr>
                <w:rFonts w:ascii="Arial" w:cs="Arial" w:eastAsia="Arial" w:hAnsi="Arial"/>
                <w:sz w:val="17"/>
                <w:szCs w:val="17"/>
                <w:color w:val="auto"/>
                <w:w w:val="92"/>
              </w:rPr>
              <w:t>There is no encumbrance or security interest of any nature for any third person (including but not limited to pledge) except for the pledge</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hereunder in connection with the Equity held by the Pledgors.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5.6</w:t>
            </w:r>
          </w:p>
        </w:tc>
        <w:tc>
          <w:tcPr>
            <w:tcW w:w="9820" w:type="dxa"/>
            <w:vAlign w:val="bottom"/>
          </w:tcPr>
          <w:p>
            <w:pPr>
              <w:ind w:left="320"/>
              <w:spacing w:after="0"/>
              <w:rPr>
                <w:sz w:val="20"/>
                <w:szCs w:val="20"/>
                <w:color w:val="auto"/>
              </w:rPr>
            </w:pPr>
            <w:r>
              <w:rPr>
                <w:rFonts w:ascii="Arial" w:cs="Arial" w:eastAsia="Arial" w:hAnsi="Arial"/>
                <w:sz w:val="17"/>
                <w:szCs w:val="17"/>
                <w:color w:val="auto"/>
                <w:w w:val="90"/>
              </w:rPr>
              <w:t>There are no pending or threatened civil, administrative or criminal proceedings, administrative punishment or arbitration in connection with</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the Equity.</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5.7</w:t>
            </w:r>
          </w:p>
        </w:tc>
        <w:tc>
          <w:tcPr>
            <w:tcW w:w="9820" w:type="dxa"/>
            <w:vAlign w:val="bottom"/>
          </w:tcPr>
          <w:p>
            <w:pPr>
              <w:ind w:left="320"/>
              <w:spacing w:after="0"/>
              <w:rPr>
                <w:sz w:val="20"/>
                <w:szCs w:val="20"/>
                <w:color w:val="auto"/>
              </w:rPr>
            </w:pPr>
            <w:r>
              <w:rPr>
                <w:rFonts w:ascii="Arial" w:cs="Arial" w:eastAsia="Arial" w:hAnsi="Arial"/>
                <w:sz w:val="17"/>
                <w:szCs w:val="17"/>
                <w:color w:val="auto"/>
                <w:w w:val="90"/>
              </w:rPr>
              <w:t>There are no tax or fee due but unpaid, or legal procedures or formalities that should have been completed but have not been completed, in</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connection with the Equity.</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5.8</w:t>
            </w:r>
          </w:p>
        </w:tc>
        <w:tc>
          <w:tcPr>
            <w:tcW w:w="9820" w:type="dxa"/>
            <w:vAlign w:val="bottom"/>
          </w:tcPr>
          <w:p>
            <w:pPr>
              <w:ind w:left="320"/>
              <w:spacing w:after="0"/>
              <w:rPr>
                <w:sz w:val="20"/>
                <w:szCs w:val="20"/>
                <w:color w:val="auto"/>
              </w:rPr>
            </w:pPr>
            <w:r>
              <w:rPr>
                <w:rFonts w:ascii="Arial" w:cs="Arial" w:eastAsia="Arial" w:hAnsi="Arial"/>
                <w:sz w:val="17"/>
                <w:szCs w:val="17"/>
                <w:color w:val="auto"/>
              </w:rPr>
              <w:t>Any and all provisions hereof are the expression of the Pledgors’ true intention and are binding upon the Pledgors.</w:t>
            </w:r>
          </w:p>
        </w:tc>
      </w:tr>
    </w:tbl>
    <w:p>
      <w:pPr>
        <w:spacing w:after="0" w:line="170" w:lineRule="exact"/>
        <w:rPr>
          <w:sz w:val="20"/>
          <w:szCs w:val="20"/>
          <w:color w:val="auto"/>
        </w:rPr>
      </w:pPr>
    </w:p>
    <w:p>
      <w:pPr>
        <w:ind w:left="860" w:hanging="860"/>
        <w:spacing w:after="0"/>
        <w:tabs>
          <w:tab w:leader="none" w:pos="860" w:val="left"/>
        </w:tabs>
        <w:numPr>
          <w:ilvl w:val="0"/>
          <w:numId w:val="322"/>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 of the Pledgors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6.1</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During the effective term of this Agreement, the Pledgors undertake to the Pledgee that the Pledgors:</w:t>
            </w:r>
          </w:p>
        </w:tc>
      </w:tr>
      <w:tr>
        <w:trPr>
          <w:trHeight w:val="374"/>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6.1.1</w:t>
            </w:r>
          </w:p>
        </w:tc>
        <w:tc>
          <w:tcPr>
            <w:tcW w:w="8960" w:type="dxa"/>
            <w:vAlign w:val="bottom"/>
          </w:tcPr>
          <w:p>
            <w:pPr>
              <w:ind w:left="260"/>
              <w:spacing w:after="0"/>
              <w:rPr>
                <w:sz w:val="20"/>
                <w:szCs w:val="20"/>
                <w:color w:val="auto"/>
              </w:rPr>
            </w:pPr>
            <w:r>
              <w:rPr>
                <w:rFonts w:ascii="Arial" w:cs="Arial" w:eastAsia="Arial" w:hAnsi="Arial"/>
                <w:sz w:val="17"/>
                <w:szCs w:val="17"/>
                <w:color w:val="auto"/>
                <w:w w:val="89"/>
              </w:rPr>
              <w:t>Except for the transfer of the Equity to the Pledgee or any other person specified by the Pledgee as required by the Pledgee, prior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to the full performance of their obligations thereunder, without the Pledgee’s prior written consent, will not transfer the Equity 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88"/>
              </w:rPr>
              <w:t>create, or permit, any pledge or any other encumbrance that may affect the Pledgee’s rights or interest or any third-person security</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interest of any form. Without the Pledgee’s prior written consent, the Pledgors shall not take any action which will or may result</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in change to the Equity or any rights incidental to the Equity, which will or may then result in substantially adverse effects upon</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the Pledgee’s rights.</w:t>
            </w:r>
          </w:p>
        </w:tc>
      </w:tr>
      <w:tr>
        <w:trPr>
          <w:trHeight w:val="349"/>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6.1.2</w:t>
            </w:r>
          </w:p>
        </w:tc>
        <w:tc>
          <w:tcPr>
            <w:tcW w:w="8960" w:type="dxa"/>
            <w:vAlign w:val="bottom"/>
          </w:tcPr>
          <w:p>
            <w:pPr>
              <w:ind w:left="260"/>
              <w:spacing w:after="0"/>
              <w:rPr>
                <w:sz w:val="20"/>
                <w:szCs w:val="20"/>
                <w:color w:val="auto"/>
              </w:rPr>
            </w:pPr>
            <w:r>
              <w:rPr>
                <w:rFonts w:ascii="Arial" w:cs="Arial" w:eastAsia="Arial" w:hAnsi="Arial"/>
                <w:sz w:val="17"/>
                <w:szCs w:val="17"/>
                <w:color w:val="auto"/>
                <w:w w:val="90"/>
              </w:rPr>
              <w:t>Comply with and implement the provisions of all applicable laws and regulations, and within Five (5) business days upon receipt</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of any notice, order or suggestion issued or prepared by the relevant competent authority in connection with the Pledge Rights,</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produce to the Pledgee such notice, order or suggestion and take action as reasonably instructed by the Pledgee.</w:t>
            </w:r>
          </w:p>
        </w:tc>
      </w:tr>
      <w:tr>
        <w:trPr>
          <w:trHeight w:val="349"/>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6.1.3</w:t>
            </w:r>
          </w:p>
        </w:tc>
        <w:tc>
          <w:tcPr>
            <w:tcW w:w="8960" w:type="dxa"/>
            <w:vAlign w:val="bottom"/>
          </w:tcPr>
          <w:p>
            <w:pPr>
              <w:ind w:left="260"/>
              <w:spacing w:after="0"/>
              <w:rPr>
                <w:sz w:val="20"/>
                <w:szCs w:val="20"/>
                <w:color w:val="auto"/>
              </w:rPr>
            </w:pPr>
            <w:r>
              <w:rPr>
                <w:rFonts w:ascii="Arial" w:cs="Arial" w:eastAsia="Arial" w:hAnsi="Arial"/>
                <w:sz w:val="17"/>
                <w:szCs w:val="17"/>
                <w:color w:val="auto"/>
                <w:w w:val="89"/>
              </w:rPr>
              <w:t>Timely notify the Pledgee any event or notice received that may affect the Pledgors’ Equity or other rights hereunder, any event 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3"/>
              </w:rPr>
              <w:t>notice received that may affect any of the Pledgors’ obligations hereunder or affect the Pledgors’ performance of any of their</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obligations hereunder, and take action as reasonably instructed by the Pledgee.</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6.2</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agree that they will procure that the exercise by the Pledgee of any of its rights pursuant to the provisions of this Agreement will</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not be interrupted or prevented by the Pledgors or their successors or assignees or any other persons.</w:t>
            </w:r>
          </w:p>
        </w:tc>
      </w:tr>
      <w:tr>
        <w:trPr>
          <w:trHeight w:val="797"/>
        </w:trPr>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60" w:type="dxa"/>
            <w:vAlign w:val="bottom"/>
          </w:tcPr>
          <w:p>
            <w:pPr>
              <w:ind w:left="3260"/>
              <w:spacing w:after="0"/>
              <w:rPr>
                <w:sz w:val="20"/>
                <w:szCs w:val="20"/>
                <w:color w:val="auto"/>
              </w:rPr>
            </w:pPr>
            <w:r>
              <w:rPr>
                <w:rFonts w:ascii="Arial" w:cs="Arial" w:eastAsia="Arial" w:hAnsi="Arial"/>
                <w:sz w:val="17"/>
                <w:szCs w:val="17"/>
                <w:color w:val="auto"/>
              </w:rPr>
              <w:t>4</w:t>
            </w:r>
          </w:p>
        </w:tc>
      </w:tr>
      <w:tr>
        <w:trPr>
          <w:trHeight w:val="104"/>
        </w:trPr>
        <w:tc>
          <w:tcPr>
            <w:tcW w:w="1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300" w:name="page301"/>
    <w:bookmarkEnd w:id="300"/>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6.3</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The Pledgors warrant to the Pledgee that for the purpose of protecting or perfecting the security of the Pledgors and/or Party C’s obligations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under the Individual Agreements, the Pledgors will make all necessary amendments to Party C’s Articles of Association (if applicable),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honestly sign, and procure any other persons who has interest in Pledge Rights to sign all title or right certificates and deeds as requested by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the Pledgee, and/or perform, and procure any other persons who has interest therein to perform, the acts as reasonably requested by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Pledgee, facilitate the exercise by the Pledgee of the Pledge Rights, sign all documents related to the Equity certificate change with the Pledgee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or any third party appointed by the Pledgee, and provide to the Pledgee within a reasonable period all the documents related to the Pledge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Rights as needed by the Pledgee.</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6.4</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Pledgors warrant to the Pledgee that for the protection of the Pledgee’s interest, the Pledgors will comply with and perform all warranties,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undertaking, covenants and representations. In case the Pledgors fail to perform, or partially perform, their warranties, undertaking, covenants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or representations, the Pledgors shall indemnify all the loss suffered by the Pledgee arising out thereof or in connection therewith.</w:t>
            </w:r>
          </w:p>
        </w:tc>
      </w:tr>
    </w:tbl>
    <w:p>
      <w:pPr>
        <w:spacing w:after="0" w:line="145" w:lineRule="exact"/>
        <w:rPr>
          <w:sz w:val="20"/>
          <w:szCs w:val="20"/>
          <w:color w:val="auto"/>
        </w:rPr>
      </w:pPr>
    </w:p>
    <w:p>
      <w:pPr>
        <w:ind w:left="860" w:hanging="860"/>
        <w:spacing w:after="0"/>
        <w:tabs>
          <w:tab w:leader="none" w:pos="860" w:val="left"/>
        </w:tabs>
        <w:numPr>
          <w:ilvl w:val="0"/>
          <w:numId w:val="323"/>
        </w:numPr>
        <w:rPr>
          <w:rFonts w:ascii="Arial" w:cs="Arial" w:eastAsia="Arial" w:hAnsi="Arial"/>
          <w:sz w:val="17"/>
          <w:szCs w:val="17"/>
          <w:b w:val="1"/>
          <w:bCs w:val="1"/>
          <w:color w:val="auto"/>
        </w:rPr>
      </w:pPr>
      <w:r>
        <w:rPr>
          <w:rFonts w:ascii="Arial" w:cs="Arial" w:eastAsia="Arial" w:hAnsi="Arial"/>
          <w:sz w:val="17"/>
          <w:szCs w:val="17"/>
          <w:b w:val="1"/>
          <w:bCs w:val="1"/>
          <w:color w:val="auto"/>
        </w:rPr>
        <w:t>Default Event</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Any of the following events will be deemed to be a Default Event:</w:t>
      </w:r>
    </w:p>
    <w:p>
      <w:pPr>
        <w:spacing w:after="0" w:line="191" w:lineRule="exact"/>
        <w:rPr>
          <w:sz w:val="20"/>
          <w:szCs w:val="20"/>
          <w:color w:val="auto"/>
        </w:rPr>
      </w:pPr>
    </w:p>
    <w:p>
      <w:pPr>
        <w:ind w:left="2580" w:right="40" w:hanging="858"/>
        <w:spacing w:after="0" w:line="420" w:lineRule="auto"/>
        <w:tabs>
          <w:tab w:leader="none" w:pos="256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3"/>
          <w:szCs w:val="13"/>
          <w:color w:val="auto"/>
        </w:rPr>
        <w:t>Party C or any of its successors or assignees fails to fully pay on schedule any amounts payable under the Individual Agreements, or the Pledgors or their successors or assignees fail to perform any of their obligations under the Individual Agreements.</w:t>
      </w:r>
    </w:p>
    <w:p>
      <w:pPr>
        <w:spacing w:after="0" w:line="37" w:lineRule="exact"/>
        <w:rPr>
          <w:sz w:val="20"/>
          <w:szCs w:val="20"/>
          <w:color w:val="auto"/>
        </w:rPr>
      </w:pPr>
    </w:p>
    <w:p>
      <w:pPr>
        <w:ind w:left="2580" w:right="320" w:hanging="858"/>
        <w:spacing w:after="0" w:line="254" w:lineRule="auto"/>
        <w:tabs>
          <w:tab w:leader="none" w:pos="256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7"/>
          <w:szCs w:val="17"/>
          <w:color w:val="auto"/>
        </w:rPr>
        <w:t>Any representation, warranty or undertaking made by the Pledgors under Section 5 or 6 above is substantially misleading or incorrect, and/or the Pledgors violates any representation, warranty or undertaking made by the Pledgors under Section 5 or 6 above.</w:t>
      </w:r>
    </w:p>
    <w:p>
      <w:pPr>
        <w:spacing w:after="0" w:line="139"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5"/>
          <w:szCs w:val="15"/>
          <w:color w:val="auto"/>
        </w:rPr>
        <w:t>The Pledgors or Party C violates any provision of this Agreement.</w:t>
      </w:r>
    </w:p>
    <w:p>
      <w:pPr>
        <w:spacing w:after="0" w:line="191" w:lineRule="exact"/>
        <w:rPr>
          <w:sz w:val="20"/>
          <w:szCs w:val="20"/>
          <w:color w:val="auto"/>
        </w:rPr>
      </w:pPr>
    </w:p>
    <w:p>
      <w:pPr>
        <w:ind w:left="2580" w:right="380" w:hanging="858"/>
        <w:spacing w:after="0" w:line="264" w:lineRule="auto"/>
        <w:tabs>
          <w:tab w:leader="none" w:pos="2560" w:val="left"/>
        </w:tabs>
        <w:rPr>
          <w:sz w:val="20"/>
          <w:szCs w:val="20"/>
          <w:color w:val="auto"/>
        </w:rPr>
      </w:pPr>
      <w:r>
        <w:rPr>
          <w:rFonts w:ascii="Arial" w:cs="Arial" w:eastAsia="Arial" w:hAnsi="Arial"/>
          <w:sz w:val="17"/>
          <w:szCs w:val="17"/>
          <w:color w:val="auto"/>
        </w:rPr>
        <w:t>7.1.4</w:t>
      </w:r>
      <w:r>
        <w:rPr>
          <w:sz w:val="20"/>
          <w:szCs w:val="20"/>
          <w:color w:val="auto"/>
        </w:rPr>
        <w:tab/>
      </w:r>
      <w:r>
        <w:rPr>
          <w:rFonts w:ascii="Arial" w:cs="Arial" w:eastAsia="Arial" w:hAnsi="Arial"/>
          <w:sz w:val="17"/>
          <w:szCs w:val="17"/>
          <w:color w:val="auto"/>
        </w:rPr>
        <w:t>Except as otherwise agreed in Section 6.1.1 above, the Pledgors transfer or otherwise dispose the pledged Equity without the Pledgee’s written consent.</w:t>
      </w:r>
    </w:p>
    <w:p>
      <w:pPr>
        <w:spacing w:after="0" w:line="131" w:lineRule="exact"/>
        <w:rPr>
          <w:sz w:val="20"/>
          <w:szCs w:val="20"/>
          <w:color w:val="auto"/>
        </w:rPr>
      </w:pPr>
    </w:p>
    <w:p>
      <w:pPr>
        <w:ind w:left="2580" w:right="120" w:hanging="858"/>
        <w:spacing w:after="0" w:line="278" w:lineRule="auto"/>
        <w:tabs>
          <w:tab w:leader="none" w:pos="2560" w:val="left"/>
        </w:tabs>
        <w:rPr>
          <w:sz w:val="20"/>
          <w:szCs w:val="20"/>
          <w:color w:val="auto"/>
        </w:rPr>
      </w:pPr>
      <w:r>
        <w:rPr>
          <w:rFonts w:ascii="Arial" w:cs="Arial" w:eastAsia="Arial" w:hAnsi="Arial"/>
          <w:sz w:val="17"/>
          <w:szCs w:val="17"/>
          <w:color w:val="auto"/>
        </w:rPr>
        <w:t>7.1.5</w:t>
      </w:r>
      <w:r>
        <w:rPr>
          <w:sz w:val="20"/>
          <w:szCs w:val="20"/>
          <w:color w:val="auto"/>
        </w:rPr>
        <w:tab/>
      </w:r>
      <w:r>
        <w:rPr>
          <w:rFonts w:ascii="Arial" w:cs="Arial" w:eastAsia="Arial" w:hAnsi="Arial"/>
          <w:sz w:val="16"/>
          <w:szCs w:val="16"/>
          <w:color w:val="auto"/>
        </w:rPr>
        <w:t>Any of the Pledgors’ external borrowings, security, compensation, undertaking or other debt or liability shall be repaid or performed in advance or is due but cannot be repaid or performed on schedule, which makes the Pledgee reasonably believe that the Pledgors’ ability to perform any of their obligations is affected, which further affect the Pledgee’s interest.</w:t>
      </w:r>
    </w:p>
    <w:p>
      <w:pPr>
        <w:spacing w:after="0" w:line="121"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7.1.6</w:t>
      </w:r>
      <w:r>
        <w:rPr>
          <w:sz w:val="20"/>
          <w:szCs w:val="20"/>
          <w:color w:val="auto"/>
        </w:rPr>
        <w:tab/>
      </w:r>
      <w:r>
        <w:rPr>
          <w:rFonts w:ascii="Arial" w:cs="Arial" w:eastAsia="Arial" w:hAnsi="Arial"/>
          <w:sz w:val="15"/>
          <w:szCs w:val="15"/>
          <w:color w:val="auto"/>
        </w:rPr>
        <w:t>The Pledgors cannot perform any of their general debt or other debt, which further affects the Pledgee’s interest.</w:t>
      </w:r>
    </w:p>
    <w:p>
      <w:pPr>
        <w:spacing w:after="0" w:line="191" w:lineRule="exact"/>
        <w:rPr>
          <w:sz w:val="20"/>
          <w:szCs w:val="20"/>
          <w:color w:val="auto"/>
        </w:rPr>
      </w:pPr>
    </w:p>
    <w:p>
      <w:pPr>
        <w:ind w:left="2580" w:right="80" w:hanging="858"/>
        <w:spacing w:after="0" w:line="264" w:lineRule="auto"/>
        <w:tabs>
          <w:tab w:leader="none" w:pos="2560" w:val="left"/>
        </w:tabs>
        <w:rPr>
          <w:sz w:val="20"/>
          <w:szCs w:val="20"/>
          <w:color w:val="auto"/>
        </w:rPr>
      </w:pPr>
      <w:r>
        <w:rPr>
          <w:rFonts w:ascii="Arial" w:cs="Arial" w:eastAsia="Arial" w:hAnsi="Arial"/>
          <w:sz w:val="17"/>
          <w:szCs w:val="17"/>
          <w:color w:val="auto"/>
        </w:rPr>
        <w:t>7.1.7</w:t>
      </w:r>
      <w:r>
        <w:rPr>
          <w:sz w:val="20"/>
          <w:szCs w:val="20"/>
          <w:color w:val="auto"/>
        </w:rPr>
        <w:tab/>
      </w:r>
      <w:r>
        <w:rPr>
          <w:rFonts w:ascii="Arial" w:cs="Arial" w:eastAsia="Arial" w:hAnsi="Arial"/>
          <w:sz w:val="17"/>
          <w:szCs w:val="17"/>
          <w:color w:val="auto"/>
        </w:rPr>
        <w:t>The promulgation of any law results in invalidation of this Agreement or inability of the Pledgors to continuously perform any of their obligations hereunder.</w:t>
      </w:r>
    </w:p>
    <w:p>
      <w:pPr>
        <w:spacing w:after="0" w:line="131" w:lineRule="exact"/>
        <w:rPr>
          <w:sz w:val="20"/>
          <w:szCs w:val="20"/>
          <w:color w:val="auto"/>
        </w:rPr>
      </w:pPr>
    </w:p>
    <w:p>
      <w:pPr>
        <w:ind w:left="2580" w:right="340" w:hanging="858"/>
        <w:spacing w:after="0" w:line="264" w:lineRule="auto"/>
        <w:tabs>
          <w:tab w:leader="none" w:pos="2560" w:val="left"/>
        </w:tabs>
        <w:rPr>
          <w:sz w:val="20"/>
          <w:szCs w:val="20"/>
          <w:color w:val="auto"/>
        </w:rPr>
      </w:pPr>
      <w:r>
        <w:rPr>
          <w:rFonts w:ascii="Arial" w:cs="Arial" w:eastAsia="Arial" w:hAnsi="Arial"/>
          <w:sz w:val="17"/>
          <w:szCs w:val="17"/>
          <w:color w:val="auto"/>
        </w:rPr>
        <w:t>7.1.8</w:t>
      </w:r>
      <w:r>
        <w:rPr>
          <w:sz w:val="20"/>
          <w:szCs w:val="20"/>
          <w:color w:val="auto"/>
        </w:rPr>
        <w:tab/>
      </w:r>
      <w:r>
        <w:rPr>
          <w:rFonts w:ascii="Arial" w:cs="Arial" w:eastAsia="Arial" w:hAnsi="Arial"/>
          <w:sz w:val="17"/>
          <w:szCs w:val="17"/>
          <w:color w:val="auto"/>
        </w:rPr>
        <w:t>The consent, permit, approval or authorization of any governmental department necessary to legalize, validate or enforce this Agreement is withdrawn, suspended, invalidated or substantially amended.</w:t>
      </w:r>
    </w:p>
    <w:p>
      <w:pPr>
        <w:spacing w:after="0" w:line="131" w:lineRule="exact"/>
        <w:rPr>
          <w:sz w:val="20"/>
          <w:szCs w:val="20"/>
          <w:color w:val="auto"/>
        </w:rPr>
      </w:pPr>
    </w:p>
    <w:p>
      <w:pPr>
        <w:ind w:left="2580" w:right="100" w:hanging="858"/>
        <w:spacing w:after="0" w:line="264" w:lineRule="auto"/>
        <w:tabs>
          <w:tab w:leader="none" w:pos="2560" w:val="left"/>
        </w:tabs>
        <w:rPr>
          <w:sz w:val="20"/>
          <w:szCs w:val="20"/>
          <w:color w:val="auto"/>
        </w:rPr>
      </w:pPr>
      <w:r>
        <w:rPr>
          <w:rFonts w:ascii="Arial" w:cs="Arial" w:eastAsia="Arial" w:hAnsi="Arial"/>
          <w:sz w:val="17"/>
          <w:szCs w:val="17"/>
          <w:color w:val="auto"/>
        </w:rPr>
        <w:t>7.1.9</w:t>
      </w:r>
      <w:r>
        <w:rPr>
          <w:sz w:val="20"/>
          <w:szCs w:val="20"/>
          <w:color w:val="auto"/>
        </w:rPr>
        <w:tab/>
      </w:r>
      <w:r>
        <w:rPr>
          <w:rFonts w:ascii="Arial" w:cs="Arial" w:eastAsia="Arial" w:hAnsi="Arial"/>
          <w:sz w:val="17"/>
          <w:szCs w:val="17"/>
          <w:color w:val="auto"/>
        </w:rPr>
        <w:t>There occurs any adverse change to any of the assets owned by the Pledgors, which makes the Pledgee believe that the Pledgors’ ability to perform any of their obligations is affected.</w:t>
      </w:r>
    </w:p>
    <w:p>
      <w:pPr>
        <w:spacing w:after="0" w:line="131"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7.1.10</w:t>
      </w:r>
      <w:r>
        <w:rPr>
          <w:sz w:val="20"/>
          <w:szCs w:val="20"/>
          <w:color w:val="auto"/>
        </w:rPr>
        <w:tab/>
      </w:r>
      <w:r>
        <w:rPr>
          <w:rFonts w:ascii="Arial" w:cs="Arial" w:eastAsia="Arial" w:hAnsi="Arial"/>
          <w:sz w:val="13"/>
          <w:szCs w:val="13"/>
          <w:color w:val="auto"/>
        </w:rPr>
        <w:t>Any other event that the Pledgee cannot exercise or otherwise dispose of the Pledge Rights under the applicable laws.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01" w:name="page302"/>
    <w:bookmarkEnd w:id="301"/>
    <w:tbl>
      <w:tblPr>
        <w:tblLayout w:type="fixed"/>
        <w:tblInd w:w="860" w:type="dxa"/>
        <w:tblCellMar>
          <w:top w:w="0" w:type="dxa"/>
          <w:left w:w="0" w:type="dxa"/>
          <w:bottom w:w="0" w:type="dxa"/>
          <w:right w:w="0" w:type="dxa"/>
        </w:tblCellMar>
      </w:tblPr>
      <w:tr>
        <w:trPr>
          <w:trHeight w:val="199"/>
        </w:trPr>
        <w:tc>
          <w:tcPr>
            <w:tcW w:w="520" w:type="dxa"/>
            <w:vAlign w:val="bottom"/>
          </w:tcPr>
          <w:p>
            <w:pPr>
              <w:jc w:val="right"/>
              <w:ind w:right="237"/>
              <w:spacing w:after="0"/>
              <w:rPr>
                <w:sz w:val="20"/>
                <w:szCs w:val="20"/>
                <w:color w:val="auto"/>
              </w:rPr>
            </w:pPr>
            <w:r>
              <w:rPr>
                <w:rFonts w:ascii="Arial" w:cs="Arial" w:eastAsia="Arial" w:hAnsi="Arial"/>
                <w:sz w:val="17"/>
                <w:szCs w:val="17"/>
                <w:color w:val="auto"/>
                <w:w w:val="75"/>
              </w:rPr>
              <w:t>7.2</w:t>
            </w:r>
          </w:p>
        </w:tc>
        <w:tc>
          <w:tcPr>
            <w:tcW w:w="9840" w:type="dxa"/>
            <w:vAlign w:val="bottom"/>
          </w:tcPr>
          <w:p>
            <w:pPr>
              <w:ind w:left="340"/>
              <w:spacing w:after="0"/>
              <w:rPr>
                <w:sz w:val="20"/>
                <w:szCs w:val="20"/>
                <w:color w:val="auto"/>
              </w:rPr>
            </w:pPr>
            <w:r>
              <w:rPr>
                <w:rFonts w:ascii="Arial" w:cs="Arial" w:eastAsia="Arial" w:hAnsi="Arial"/>
                <w:sz w:val="17"/>
                <w:szCs w:val="17"/>
                <w:color w:val="auto"/>
                <w:w w:val="88"/>
              </w:rPr>
              <w:t>The Pledgors and/or Party C shall immediately notify the Pledgee in writing any of the events described in Section 7.1 above or the occurrence</w:t>
            </w:r>
          </w:p>
        </w:tc>
      </w:tr>
      <w:tr>
        <w:trPr>
          <w:trHeight w:val="212"/>
        </w:trPr>
        <w:tc>
          <w:tcPr>
            <w:tcW w:w="5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7"/>
                <w:szCs w:val="17"/>
                <w:color w:val="auto"/>
              </w:rPr>
              <w:t>or potential occurrence thereof the Pledgors and/or Party C becomes aware of or discovers.</w:t>
            </w:r>
          </w:p>
        </w:tc>
      </w:tr>
      <w:tr>
        <w:trPr>
          <w:trHeight w:val="361"/>
        </w:trPr>
        <w:tc>
          <w:tcPr>
            <w:tcW w:w="520" w:type="dxa"/>
            <w:vAlign w:val="bottom"/>
          </w:tcPr>
          <w:p>
            <w:pPr>
              <w:jc w:val="right"/>
              <w:ind w:right="217"/>
              <w:spacing w:after="0"/>
              <w:rPr>
                <w:sz w:val="20"/>
                <w:szCs w:val="20"/>
                <w:color w:val="auto"/>
              </w:rPr>
            </w:pPr>
            <w:r>
              <w:rPr>
                <w:rFonts w:ascii="Arial" w:cs="Arial" w:eastAsia="Arial" w:hAnsi="Arial"/>
                <w:sz w:val="17"/>
                <w:szCs w:val="17"/>
                <w:color w:val="auto"/>
                <w:w w:val="84"/>
              </w:rPr>
              <w:t>7.3</w:t>
            </w:r>
          </w:p>
        </w:tc>
        <w:tc>
          <w:tcPr>
            <w:tcW w:w="9840" w:type="dxa"/>
            <w:vAlign w:val="bottom"/>
          </w:tcPr>
          <w:p>
            <w:pPr>
              <w:ind w:left="300"/>
              <w:spacing w:after="0"/>
              <w:rPr>
                <w:sz w:val="20"/>
                <w:szCs w:val="20"/>
                <w:color w:val="auto"/>
              </w:rPr>
            </w:pPr>
            <w:r>
              <w:rPr>
                <w:rFonts w:ascii="Arial" w:cs="Arial" w:eastAsia="Arial" w:hAnsi="Arial"/>
                <w:sz w:val="17"/>
                <w:szCs w:val="17"/>
                <w:color w:val="auto"/>
                <w:w w:val="92"/>
              </w:rPr>
              <w:t>Unless the default events listed in Section 7.1 above have been perfectly settled to the Pledgee’s satisfaction, the Pledgee may, upon the</w:t>
            </w:r>
          </w:p>
        </w:tc>
      </w:tr>
    </w:tbl>
    <w:p>
      <w:pPr>
        <w:ind w:left="860" w:right="140"/>
        <w:spacing w:after="0" w:line="245" w:lineRule="auto"/>
        <w:rPr>
          <w:sz w:val="20"/>
          <w:szCs w:val="20"/>
          <w:color w:val="auto"/>
        </w:rPr>
      </w:pPr>
      <w:r>
        <w:rPr>
          <w:rFonts w:ascii="Arial" w:cs="Arial" w:eastAsia="Arial" w:hAnsi="Arial"/>
          <w:sz w:val="17"/>
          <w:szCs w:val="17"/>
          <w:color w:val="auto"/>
        </w:rPr>
        <w:t>occurrence of such default event or at any time following the occurrence thereof, issue a written default notice to the Pledgors and/or Party C, requesting the Pledgors and/or Party C to immediately pay the money owned or other payables under the Exclusive Technical Consultation and Service Agreement or to timely perform the obligations under the Individual Agreements. In case the Pledgors or Party C fails to timely correct their defaults, or take necessary remedies, within Ten (10) business days following the issuance of such written notice, the Pledgee may exercise the Pledge Rights pursuant to Section 8 below.</w:t>
      </w:r>
    </w:p>
    <w:p>
      <w:pPr>
        <w:spacing w:after="0" w:line="157" w:lineRule="exact"/>
        <w:rPr>
          <w:sz w:val="20"/>
          <w:szCs w:val="20"/>
          <w:color w:val="auto"/>
        </w:rPr>
      </w:pPr>
    </w:p>
    <w:p>
      <w:pPr>
        <w:ind w:left="860" w:hanging="860"/>
        <w:spacing w:after="0"/>
        <w:tabs>
          <w:tab w:leader="none" w:pos="860" w:val="left"/>
        </w:tabs>
        <w:numPr>
          <w:ilvl w:val="0"/>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Pledge Rights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The Pledgee shall issue a default notice to the Pledgors as described in Section 7.3 above upon its exercise of the Pledge Rights.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Subject to Section 7.3 above, the Pledgee may exercise the Pledge Rights at any time following its issuance of the default notice as described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in Section 7.3.</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Pledgee shall have the right to convert into money and sell all or part of the Equity hereunder subject to the statutory procedures, or to be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paid in priority from the money gained from auction or sale of such Equity, until full offset of the service costs and other payables unpaid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under the Individual Agreements and full performance of other obligations under the Individual Agreements.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When the Pledgee exercises the Pledge Rights pursuant to this Agreement, the Pledgors and/or Party C shall not create any barrier or hindrance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but shall offer necessary assistance, so as to facilitate the Pledgee’s realization of its Pledge Rights.</w:t>
            </w:r>
          </w:p>
        </w:tc>
      </w:tr>
    </w:tbl>
    <w:p>
      <w:pPr>
        <w:spacing w:after="0" w:line="145" w:lineRule="exact"/>
        <w:rPr>
          <w:sz w:val="20"/>
          <w:szCs w:val="20"/>
          <w:color w:val="auto"/>
        </w:rPr>
      </w:pPr>
    </w:p>
    <w:p>
      <w:pPr>
        <w:ind w:left="860" w:hanging="860"/>
        <w:spacing w:after="0"/>
        <w:tabs>
          <w:tab w:leader="none" w:pos="860"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Transfer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9.1</w:t>
            </w: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The Pledgors shall not transfer to any third party any of their rights or obligations hereunder without the Pledgee’s prior written and explicit</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consent.</w:t>
            </w:r>
          </w:p>
        </w:tc>
      </w:tr>
      <w:tr>
        <w:trPr>
          <w:trHeight w:val="36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9.2</w:t>
            </w:r>
          </w:p>
        </w:tc>
        <w:tc>
          <w:tcPr>
            <w:tcW w:w="9880" w:type="dxa"/>
            <w:vAlign w:val="bottom"/>
          </w:tcPr>
          <w:p>
            <w:pPr>
              <w:ind w:left="320"/>
              <w:spacing w:after="0"/>
              <w:rPr>
                <w:sz w:val="20"/>
                <w:szCs w:val="20"/>
                <w:color w:val="auto"/>
              </w:rPr>
            </w:pPr>
            <w:r>
              <w:rPr>
                <w:rFonts w:ascii="Arial" w:cs="Arial" w:eastAsia="Arial" w:hAnsi="Arial"/>
                <w:sz w:val="17"/>
                <w:szCs w:val="17"/>
                <w:color w:val="auto"/>
              </w:rPr>
              <w:t>This Agreement shall be binding upon the Pledgors and their successors and the Pledgee and its successors or assignees.</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9.3</w:t>
            </w: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The Pledgee may at any time transfer any or all of its rights or obligations under the Individual Agreements to any third party it specified,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under which circumstance, the assignee shall accordingly have and bear the rights and obligations which the Pledgee have and bear hereunder.</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Upon the transfer by the Pledgee of the rights or obligations hereunder, the Pledgors shall, as requested by the Pledgee, sign the corresponding</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agreements and/or documents regarding the transfer thereof.</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9.4</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In case there is a change of the Pledgee due to the transfer of the rights or obligations as described in Section 9.3 above, the substitute Pledgee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and the Pledgors shall re-sign the pledge agreement and the Pledgors shall be responsible for handling all applicable registration formalities.</w:t>
            </w:r>
          </w:p>
        </w:tc>
      </w:tr>
      <w:tr>
        <w:trPr>
          <w:trHeight w:val="785"/>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6</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302" w:name="page303"/>
    <w:bookmarkEnd w:id="302"/>
    <w:p>
      <w:pPr>
        <w:ind w:left="860" w:hanging="860"/>
        <w:spacing w:after="0"/>
        <w:tabs>
          <w:tab w:leader="none" w:pos="860"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Charges and Other Costs</w:t>
      </w:r>
    </w:p>
    <w:p>
      <w:pPr>
        <w:spacing w:after="0" w:line="169" w:lineRule="exact"/>
        <w:rPr>
          <w:rFonts w:ascii="Arial" w:cs="Arial" w:eastAsia="Arial" w:hAnsi="Arial"/>
          <w:sz w:val="17"/>
          <w:szCs w:val="17"/>
          <w:b w:val="1"/>
          <w:bCs w:val="1"/>
          <w:color w:val="auto"/>
        </w:rPr>
      </w:pPr>
    </w:p>
    <w:p>
      <w:pPr>
        <w:ind w:left="860" w:right="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All costs and actual expenses related to this Agreement, including but not limited to the legal costs, print costs, stamp duty and any other tax and charges, shall be equally borne by the Pledgee and Party C.</w:t>
      </w:r>
    </w:p>
    <w:p>
      <w:pPr>
        <w:spacing w:after="0" w:line="138" w:lineRule="exact"/>
        <w:rPr>
          <w:rFonts w:ascii="Arial" w:cs="Arial" w:eastAsia="Arial" w:hAnsi="Arial"/>
          <w:sz w:val="17"/>
          <w:szCs w:val="17"/>
          <w:b w:val="1"/>
          <w:bCs w:val="1"/>
          <w:color w:val="auto"/>
        </w:rPr>
      </w:pPr>
    </w:p>
    <w:p>
      <w:pPr>
        <w:ind w:left="860" w:hanging="860"/>
        <w:spacing w:after="0"/>
        <w:tabs>
          <w:tab w:leader="none" w:pos="860"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03"/>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11.1</w:t>
            </w:r>
          </w:p>
        </w:tc>
        <w:tc>
          <w:tcPr>
            <w:tcW w:w="8920" w:type="dxa"/>
            <w:vAlign w:val="bottom"/>
          </w:tcPr>
          <w:p>
            <w:pPr>
              <w:ind w:left="28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b w:val="1"/>
                <w:bCs w:val="1"/>
                <w:color w:val="auto"/>
                <w:w w:val="88"/>
              </w:rPr>
              <w:t>Force Majeure Events</w:t>
            </w:r>
            <w:r>
              <w:rPr>
                <w:rFonts w:ascii="Arial" w:cs="Arial" w:eastAsia="Arial" w:hAnsi="Arial"/>
                <w:sz w:val="17"/>
                <w:szCs w:val="17"/>
                <w:color w:val="auto"/>
                <w:w w:val="88"/>
              </w:rPr>
              <w:t>” mean any events beyond the reasonable control of one Party that are unavoidable by the affected Party</w:t>
            </w:r>
          </w:p>
        </w:tc>
      </w:tr>
      <w:tr>
        <w:trPr>
          <w:trHeight w:val="199"/>
        </w:trPr>
        <w:tc>
          <w:tcPr>
            <w:tcW w:w="58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w w:val="89"/>
              </w:rPr>
              <w:t>with reasonable care, including but not limited to any acts of government, natural force, fire, explosion, storm, flood, earthquake,</w:t>
            </w:r>
          </w:p>
        </w:tc>
      </w:tr>
      <w:tr>
        <w:trPr>
          <w:trHeight w:val="195"/>
        </w:trPr>
        <w:tc>
          <w:tcPr>
            <w:tcW w:w="580" w:type="dxa"/>
            <w:vAlign w:val="bottom"/>
          </w:tcPr>
          <w:p>
            <w:pPr>
              <w:spacing w:after="0"/>
              <w:rPr>
                <w:sz w:val="16"/>
                <w:szCs w:val="16"/>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w w:val="93"/>
              </w:rPr>
              <w:t>tide, lightning or war, provided that any credit, capital or financing shortage shall not be deemed to be the event beyond the</w:t>
            </w:r>
          </w:p>
        </w:tc>
      </w:tr>
      <w:tr>
        <w:trPr>
          <w:trHeight w:val="203"/>
        </w:trPr>
        <w:tc>
          <w:tcPr>
            <w:tcW w:w="58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w w:val="91"/>
              </w:rPr>
              <w:t>reasonable control of one Party. The Party affected by any Force Majeure Events (hereinafter referred to as “</w:t>
            </w:r>
            <w:r>
              <w:rPr>
                <w:rFonts w:ascii="Arial" w:cs="Arial" w:eastAsia="Arial" w:hAnsi="Arial"/>
                <w:sz w:val="17"/>
                <w:szCs w:val="17"/>
                <w:b w:val="1"/>
                <w:bCs w:val="1"/>
                <w:color w:val="auto"/>
                <w:w w:val="91"/>
              </w:rPr>
              <w:t>Affected Party</w:t>
            </w:r>
            <w:r>
              <w:rPr>
                <w:rFonts w:ascii="Arial" w:cs="Arial" w:eastAsia="Arial" w:hAnsi="Arial"/>
                <w:sz w:val="17"/>
                <w:szCs w:val="17"/>
                <w:color w:val="auto"/>
                <w:w w:val="91"/>
              </w:rPr>
              <w:t>”)</w:t>
            </w:r>
          </w:p>
        </w:tc>
      </w:tr>
      <w:tr>
        <w:trPr>
          <w:trHeight w:val="199"/>
        </w:trPr>
        <w:tc>
          <w:tcPr>
            <w:tcW w:w="58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w w:val="95"/>
              </w:rPr>
              <w:t>shall be exempted from its responsibility in whole or in part according to the effects of such Force Majeure Events on this</w:t>
            </w:r>
          </w:p>
        </w:tc>
      </w:tr>
      <w:tr>
        <w:trPr>
          <w:trHeight w:val="199"/>
        </w:trPr>
        <w:tc>
          <w:tcPr>
            <w:tcW w:w="58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w w:val="92"/>
              </w:rPr>
              <w:t>Agreement, and the Affected Party who seeks exemption from its responsibility for the performance of this Agreement due to</w:t>
            </w:r>
          </w:p>
        </w:tc>
      </w:tr>
      <w:tr>
        <w:trPr>
          <w:trHeight w:val="199"/>
        </w:trPr>
        <w:tc>
          <w:tcPr>
            <w:tcW w:w="58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w w:val="87"/>
              </w:rPr>
              <w:t>such Force Majeure Events shall notify the other Party of such Force Majeure Events not later than Ten (10) days after occurrence</w:t>
            </w:r>
          </w:p>
        </w:tc>
      </w:tr>
      <w:tr>
        <w:trPr>
          <w:trHeight w:val="199"/>
        </w:trPr>
        <w:tc>
          <w:tcPr>
            <w:tcW w:w="58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w w:val="87"/>
              </w:rPr>
              <w:t>of such Force Majeure Events so that the Parties hereto negotiate about the amendment to this Agreement according to the effects</w:t>
            </w:r>
          </w:p>
        </w:tc>
      </w:tr>
      <w:tr>
        <w:trPr>
          <w:trHeight w:val="212"/>
        </w:trPr>
        <w:tc>
          <w:tcPr>
            <w:tcW w:w="58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w w:val="94"/>
              </w:rPr>
              <w:t>of such Force Majeure Events and exempt in whole or in part the Affected Party from its obligations under this Agreement.</w:t>
            </w:r>
          </w:p>
        </w:tc>
      </w:tr>
      <w:tr>
        <w:trPr>
          <w:trHeight w:val="34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11.2</w:t>
            </w:r>
          </w:p>
        </w:tc>
        <w:tc>
          <w:tcPr>
            <w:tcW w:w="8920" w:type="dxa"/>
            <w:vAlign w:val="bottom"/>
          </w:tcPr>
          <w:p>
            <w:pPr>
              <w:ind w:left="280"/>
              <w:spacing w:after="0"/>
              <w:rPr>
                <w:sz w:val="20"/>
                <w:szCs w:val="20"/>
                <w:color w:val="auto"/>
              </w:rPr>
            </w:pPr>
            <w:r>
              <w:rPr>
                <w:rFonts w:ascii="Arial" w:cs="Arial" w:eastAsia="Arial" w:hAnsi="Arial"/>
                <w:sz w:val="17"/>
                <w:szCs w:val="17"/>
                <w:color w:val="auto"/>
                <w:w w:val="89"/>
              </w:rPr>
              <w:t>The Affected Party shall take appropriate measures to reduce or eliminate the effects of such Force Majeure Events and shall try</w:t>
            </w:r>
          </w:p>
        </w:tc>
      </w:tr>
      <w:tr>
        <w:trPr>
          <w:trHeight w:val="199"/>
        </w:trPr>
        <w:tc>
          <w:tcPr>
            <w:tcW w:w="58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w w:val="88"/>
              </w:rPr>
              <w:t>to restore the performance of its obligations delayed or hindered by such Force Majeure Events. Once such Force Majeure Events</w:t>
            </w:r>
          </w:p>
        </w:tc>
      </w:tr>
      <w:tr>
        <w:trPr>
          <w:trHeight w:val="199"/>
        </w:trPr>
        <w:tc>
          <w:tcPr>
            <w:tcW w:w="58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w w:val="94"/>
              </w:rPr>
              <w:t>are eliminated, the Parties hereto agree that they shall use their best efforts to restore the performance of their rights and</w:t>
            </w:r>
          </w:p>
        </w:tc>
      </w:tr>
      <w:tr>
        <w:trPr>
          <w:trHeight w:val="212"/>
        </w:trPr>
        <w:tc>
          <w:tcPr>
            <w:tcW w:w="58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Arial" w:cs="Arial" w:eastAsia="Arial" w:hAnsi="Arial"/>
                <w:sz w:val="17"/>
                <w:szCs w:val="17"/>
                <w:color w:val="auto"/>
              </w:rPr>
              <w:t>obligations under this Agreement.</w:t>
            </w:r>
          </w:p>
        </w:tc>
      </w:tr>
    </w:tbl>
    <w:p>
      <w:pPr>
        <w:spacing w:after="0" w:line="145" w:lineRule="exact"/>
        <w:rPr>
          <w:sz w:val="20"/>
          <w:szCs w:val="20"/>
          <w:color w:val="auto"/>
        </w:rPr>
      </w:pPr>
    </w:p>
    <w:p>
      <w:pPr>
        <w:ind w:left="860" w:hanging="860"/>
        <w:spacing w:after="0"/>
        <w:tabs>
          <w:tab w:leader="none" w:pos="860"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Settlement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jc w:val="right"/>
              <w:ind w:right="217"/>
              <w:spacing w:after="0"/>
              <w:rPr>
                <w:sz w:val="20"/>
                <w:szCs w:val="20"/>
                <w:color w:val="auto"/>
              </w:rPr>
            </w:pPr>
            <w:r>
              <w:rPr>
                <w:rFonts w:ascii="Arial" w:cs="Arial" w:eastAsia="Arial" w:hAnsi="Arial"/>
                <w:sz w:val="17"/>
                <w:szCs w:val="17"/>
                <w:color w:val="auto"/>
              </w:rPr>
              <w:t>12.1</w:t>
            </w:r>
          </w:p>
        </w:tc>
        <w:tc>
          <w:tcPr>
            <w:tcW w:w="8980" w:type="dxa"/>
            <w:vAlign w:val="bottom"/>
          </w:tcPr>
          <w:p>
            <w:pPr>
              <w:ind w:left="28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tc>
      </w:tr>
      <w:tr>
        <w:trPr>
          <w:trHeight w:val="374"/>
        </w:trPr>
        <w:tc>
          <w:tcPr>
            <w:tcW w:w="2300" w:type="dxa"/>
            <w:vAlign w:val="bottom"/>
          </w:tcPr>
          <w:p>
            <w:pPr>
              <w:jc w:val="right"/>
              <w:ind w:right="217"/>
              <w:spacing w:after="0"/>
              <w:rPr>
                <w:sz w:val="20"/>
                <w:szCs w:val="20"/>
                <w:color w:val="auto"/>
              </w:rPr>
            </w:pPr>
            <w:r>
              <w:rPr>
                <w:rFonts w:ascii="Arial" w:cs="Arial" w:eastAsia="Arial" w:hAnsi="Arial"/>
                <w:sz w:val="17"/>
                <w:szCs w:val="17"/>
                <w:color w:val="auto"/>
              </w:rPr>
              <w:t>12.2</w:t>
            </w:r>
          </w:p>
        </w:tc>
        <w:tc>
          <w:tcPr>
            <w:tcW w:w="8980" w:type="dxa"/>
            <w:vAlign w:val="bottom"/>
          </w:tcPr>
          <w:p>
            <w:pPr>
              <w:ind w:left="28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w:t>
            </w:r>
          </w:p>
        </w:tc>
      </w:tr>
      <w:tr>
        <w:trPr>
          <w:trHeight w:val="199"/>
        </w:trPr>
        <w:tc>
          <w:tcPr>
            <w:tcW w:w="2300" w:type="dxa"/>
            <w:vAlign w:val="bottom"/>
          </w:tcPr>
          <w:p>
            <w:pPr>
              <w:spacing w:after="0"/>
              <w:rPr>
                <w:sz w:val="17"/>
                <w:szCs w:val="17"/>
                <w:color w:val="auto"/>
              </w:rPr>
            </w:pPr>
          </w:p>
        </w:tc>
        <w:tc>
          <w:tcPr>
            <w:tcW w:w="8980" w:type="dxa"/>
            <w:vAlign w:val="bottom"/>
          </w:tcPr>
          <w:p>
            <w:pPr>
              <w:ind w:left="280"/>
              <w:spacing w:after="0"/>
              <w:rPr>
                <w:sz w:val="20"/>
                <w:szCs w:val="20"/>
                <w:color w:val="auto"/>
              </w:rPr>
            </w:pPr>
            <w:r>
              <w:rPr>
                <w:rFonts w:ascii="Arial" w:cs="Arial" w:eastAsia="Arial" w:hAnsi="Arial"/>
                <w:sz w:val="17"/>
                <w:szCs w:val="17"/>
                <w:color w:val="auto"/>
                <w:w w:val="90"/>
              </w:rPr>
              <w:t>Parties shall resolve such disputes through consultation in good faith. If such disputes cannot be resolved through consultation,</w:t>
            </w:r>
          </w:p>
        </w:tc>
      </w:tr>
      <w:tr>
        <w:trPr>
          <w:trHeight w:val="199"/>
        </w:trPr>
        <w:tc>
          <w:tcPr>
            <w:tcW w:w="2300" w:type="dxa"/>
            <w:vAlign w:val="bottom"/>
          </w:tcPr>
          <w:p>
            <w:pPr>
              <w:spacing w:after="0"/>
              <w:rPr>
                <w:sz w:val="17"/>
                <w:szCs w:val="17"/>
                <w:color w:val="auto"/>
              </w:rPr>
            </w:pPr>
          </w:p>
        </w:tc>
        <w:tc>
          <w:tcPr>
            <w:tcW w:w="8980" w:type="dxa"/>
            <w:vAlign w:val="bottom"/>
          </w:tcPr>
          <w:p>
            <w:pPr>
              <w:ind w:left="280"/>
              <w:spacing w:after="0"/>
              <w:rPr>
                <w:sz w:val="20"/>
                <w:szCs w:val="20"/>
                <w:color w:val="auto"/>
              </w:rPr>
            </w:pPr>
            <w:r>
              <w:rPr>
                <w:rFonts w:ascii="Arial" w:cs="Arial" w:eastAsia="Arial" w:hAnsi="Arial"/>
                <w:sz w:val="17"/>
                <w:szCs w:val="17"/>
                <w:color w:val="auto"/>
                <w:w w:val="95"/>
              </w:rPr>
              <w:t>any Party may submit such disputes to China International Economic and Trade Arbitration Commission for resolution by</w:t>
            </w:r>
          </w:p>
        </w:tc>
      </w:tr>
      <w:tr>
        <w:trPr>
          <w:trHeight w:val="199"/>
        </w:trPr>
        <w:tc>
          <w:tcPr>
            <w:tcW w:w="2300" w:type="dxa"/>
            <w:vAlign w:val="bottom"/>
          </w:tcPr>
          <w:p>
            <w:pPr>
              <w:spacing w:after="0"/>
              <w:rPr>
                <w:sz w:val="17"/>
                <w:szCs w:val="17"/>
                <w:color w:val="auto"/>
              </w:rPr>
            </w:pPr>
          </w:p>
        </w:tc>
        <w:tc>
          <w:tcPr>
            <w:tcW w:w="8980" w:type="dxa"/>
            <w:vAlign w:val="bottom"/>
          </w:tcPr>
          <w:p>
            <w:pPr>
              <w:ind w:left="280"/>
              <w:spacing w:after="0"/>
              <w:rPr>
                <w:sz w:val="20"/>
                <w:szCs w:val="20"/>
                <w:color w:val="auto"/>
              </w:rPr>
            </w:pPr>
            <w:r>
              <w:rPr>
                <w:rFonts w:ascii="Arial" w:cs="Arial" w:eastAsia="Arial" w:hAnsi="Arial"/>
                <w:sz w:val="17"/>
                <w:szCs w:val="17"/>
                <w:color w:val="auto"/>
                <w:w w:val="90"/>
              </w:rPr>
              <w:t>arbitration in accordance with the existing arbitration rules of such Commission in force. The place of arbitration shall be Beijing,</w:t>
            </w:r>
          </w:p>
        </w:tc>
      </w:tr>
      <w:tr>
        <w:trPr>
          <w:trHeight w:val="199"/>
        </w:trPr>
        <w:tc>
          <w:tcPr>
            <w:tcW w:w="2300" w:type="dxa"/>
            <w:vAlign w:val="bottom"/>
          </w:tcPr>
          <w:p>
            <w:pPr>
              <w:spacing w:after="0"/>
              <w:rPr>
                <w:sz w:val="17"/>
                <w:szCs w:val="17"/>
                <w:color w:val="auto"/>
              </w:rPr>
            </w:pPr>
          </w:p>
        </w:tc>
        <w:tc>
          <w:tcPr>
            <w:tcW w:w="8980" w:type="dxa"/>
            <w:vAlign w:val="bottom"/>
          </w:tcPr>
          <w:p>
            <w:pPr>
              <w:ind w:left="280"/>
              <w:spacing w:after="0"/>
              <w:rPr>
                <w:sz w:val="20"/>
                <w:szCs w:val="20"/>
                <w:color w:val="auto"/>
              </w:rPr>
            </w:pPr>
            <w:r>
              <w:rPr>
                <w:rFonts w:ascii="Arial" w:cs="Arial" w:eastAsia="Arial" w:hAnsi="Arial"/>
                <w:sz w:val="17"/>
                <w:szCs w:val="17"/>
                <w:color w:val="auto"/>
                <w:w w:val="88"/>
              </w:rPr>
              <w:t>and the language to be used in the arbitration proceedings shall be Chinese. Any arbitral award shall be final and binding upon the</w:t>
            </w:r>
          </w:p>
        </w:tc>
      </w:tr>
      <w:tr>
        <w:trPr>
          <w:trHeight w:val="212"/>
        </w:trPr>
        <w:tc>
          <w:tcPr>
            <w:tcW w:w="230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Arial" w:cs="Arial" w:eastAsia="Arial" w:hAnsi="Arial"/>
                <w:sz w:val="17"/>
                <w:szCs w:val="17"/>
                <w:color w:val="auto"/>
              </w:rPr>
              <w:t>Parties. No provisions of this Section shall be affected by any termination or cancellation of this Agreement.</w:t>
            </w:r>
          </w:p>
        </w:tc>
      </w:tr>
      <w:tr>
        <w:trPr>
          <w:trHeight w:val="349"/>
        </w:trPr>
        <w:tc>
          <w:tcPr>
            <w:tcW w:w="2300" w:type="dxa"/>
            <w:vAlign w:val="bottom"/>
          </w:tcPr>
          <w:p>
            <w:pPr>
              <w:jc w:val="right"/>
              <w:ind w:right="217"/>
              <w:spacing w:after="0"/>
              <w:rPr>
                <w:sz w:val="20"/>
                <w:szCs w:val="20"/>
                <w:color w:val="auto"/>
              </w:rPr>
            </w:pPr>
            <w:r>
              <w:rPr>
                <w:rFonts w:ascii="Arial" w:cs="Arial" w:eastAsia="Arial" w:hAnsi="Arial"/>
                <w:sz w:val="17"/>
                <w:szCs w:val="17"/>
                <w:color w:val="auto"/>
              </w:rPr>
              <w:t>12.3</w:t>
            </w:r>
          </w:p>
        </w:tc>
        <w:tc>
          <w:tcPr>
            <w:tcW w:w="8980" w:type="dxa"/>
            <w:vAlign w:val="bottom"/>
          </w:tcPr>
          <w:p>
            <w:pPr>
              <w:ind w:left="280"/>
              <w:spacing w:after="0"/>
              <w:rPr>
                <w:sz w:val="20"/>
                <w:szCs w:val="20"/>
                <w:color w:val="auto"/>
              </w:rPr>
            </w:pPr>
            <w:r>
              <w:rPr>
                <w:rFonts w:ascii="Arial" w:cs="Arial" w:eastAsia="Arial" w:hAnsi="Arial"/>
                <w:sz w:val="17"/>
                <w:szCs w:val="17"/>
                <w:color w:val="auto"/>
                <w:w w:val="92"/>
              </w:rPr>
              <w:t>Except for any matters disputed by the Parties hereto, the Parties hereto shall continue to perform their respective obligations</w:t>
            </w:r>
          </w:p>
        </w:tc>
      </w:tr>
      <w:tr>
        <w:trPr>
          <w:trHeight w:val="212"/>
        </w:trPr>
        <w:tc>
          <w:tcPr>
            <w:tcW w:w="230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Arial" w:cs="Arial" w:eastAsia="Arial" w:hAnsi="Arial"/>
                <w:sz w:val="17"/>
                <w:szCs w:val="17"/>
                <w:color w:val="auto"/>
              </w:rPr>
              <w:t>under this Agreement based on the principle of good faith.</w:t>
            </w:r>
          </w:p>
        </w:tc>
      </w:tr>
      <w:tr>
        <w:trPr>
          <w:trHeight w:val="785"/>
        </w:trPr>
        <w:tc>
          <w:tcPr>
            <w:tcW w:w="2300" w:type="dxa"/>
            <w:vAlign w:val="bottom"/>
          </w:tcPr>
          <w:p>
            <w:pPr>
              <w:spacing w:after="0"/>
              <w:rPr>
                <w:sz w:val="24"/>
                <w:szCs w:val="24"/>
                <w:color w:val="auto"/>
              </w:rPr>
            </w:pPr>
          </w:p>
        </w:tc>
        <w:tc>
          <w:tcPr>
            <w:tcW w:w="8980" w:type="dxa"/>
            <w:vAlign w:val="bottom"/>
          </w:tcPr>
          <w:p>
            <w:pPr>
              <w:ind w:left="3280"/>
              <w:spacing w:after="0"/>
              <w:rPr>
                <w:sz w:val="20"/>
                <w:szCs w:val="20"/>
                <w:color w:val="auto"/>
              </w:rPr>
            </w:pPr>
            <w:r>
              <w:rPr>
                <w:rFonts w:ascii="Arial" w:cs="Arial" w:eastAsia="Arial" w:hAnsi="Arial"/>
                <w:sz w:val="17"/>
                <w:szCs w:val="17"/>
                <w:color w:val="auto"/>
              </w:rPr>
              <w:t>7</w:t>
            </w:r>
          </w:p>
        </w:tc>
      </w:tr>
      <w:tr>
        <w:trPr>
          <w:trHeight w:val="104"/>
        </w:trPr>
        <w:tc>
          <w:tcPr>
            <w:tcW w:w="2300" w:type="dxa"/>
            <w:vAlign w:val="bottom"/>
            <w:tcBorders>
              <w:bottom w:val="single" w:sz="8" w:color="9A9A9A"/>
            </w:tcBorders>
          </w:tcPr>
          <w:p>
            <w:pPr>
              <w:spacing w:after="0"/>
              <w:rPr>
                <w:sz w:val="9"/>
                <w:szCs w:val="9"/>
                <w:color w:val="auto"/>
              </w:rPr>
            </w:pPr>
          </w:p>
        </w:tc>
        <w:tc>
          <w:tcPr>
            <w:tcW w:w="8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3" w:right="299" w:bottom="1440" w:gutter="0" w:footer="0" w:header="0"/>
        </w:sectPr>
      </w:pPr>
    </w:p>
    <w:bookmarkStart w:id="303" w:name="page304"/>
    <w:bookmarkEnd w:id="303"/>
    <w:p>
      <w:pPr>
        <w:ind w:left="860" w:hanging="860"/>
        <w:spacing w:after="0"/>
        <w:tabs>
          <w:tab w:leader="none" w:pos="860" w:val="left"/>
        </w:tabs>
        <w:numPr>
          <w:ilvl w:val="0"/>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69" w:lineRule="exact"/>
        <w:rPr>
          <w:rFonts w:ascii="Arial" w:cs="Arial" w:eastAsia="Arial" w:hAnsi="Arial"/>
          <w:sz w:val="17"/>
          <w:szCs w:val="17"/>
          <w:b w:val="1"/>
          <w:bCs w:val="1"/>
          <w:color w:val="auto"/>
        </w:rPr>
      </w:pPr>
    </w:p>
    <w:p>
      <w:pPr>
        <w:jc w:val="both"/>
        <w:ind w:left="8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51"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Party A,</w:t>
      </w:r>
    </w:p>
    <w:p>
      <w:pPr>
        <w:spacing w:after="0" w:line="165" w:lineRule="exact"/>
        <w:rPr>
          <w:rFonts w:ascii="Arial" w:cs="Arial" w:eastAsia="Arial" w:hAnsi="Arial"/>
          <w:sz w:val="17"/>
          <w:szCs w:val="17"/>
          <w:b w:val="1"/>
          <w:bCs w:val="1"/>
          <w:color w:val="auto"/>
        </w:rPr>
      </w:pPr>
    </w:p>
    <w:p>
      <w:pPr>
        <w:ind w:left="860" w:right="2840"/>
        <w:spacing w:after="0" w:line="451" w:lineRule="auto"/>
        <w:rPr>
          <w:rFonts w:ascii="Arial" w:cs="Arial" w:eastAsia="Arial" w:hAnsi="Arial"/>
          <w:sz w:val="17"/>
          <w:szCs w:val="17"/>
          <w:b w:val="1"/>
          <w:bCs w:val="1"/>
          <w:color w:val="auto"/>
        </w:rPr>
      </w:pPr>
      <w:r>
        <w:rPr>
          <w:rFonts w:ascii="Arial" w:cs="Arial" w:eastAsia="Arial" w:hAnsi="Arial"/>
          <w:sz w:val="17"/>
          <w:szCs w:val="17"/>
          <w:color w:val="auto"/>
        </w:rPr>
        <w:t>Address: No. 36 Courtyard, Chuangyuan Road, Building No. 6, Laiguangying, Chaoyang District, Beijing, China Tel.:</w:t>
      </w:r>
    </w:p>
    <w:p>
      <w:pPr>
        <w:ind w:left="860" w:right="9000"/>
        <w:spacing w:after="0" w:line="502" w:lineRule="auto"/>
        <w:rPr>
          <w:rFonts w:ascii="Arial" w:cs="Arial" w:eastAsia="Arial" w:hAnsi="Arial"/>
          <w:sz w:val="17"/>
          <w:szCs w:val="17"/>
          <w:b w:val="1"/>
          <w:bCs w:val="1"/>
          <w:color w:val="auto"/>
        </w:rPr>
      </w:pPr>
      <w:r>
        <w:rPr>
          <w:rFonts w:ascii="Arial" w:cs="Arial" w:eastAsia="Arial" w:hAnsi="Arial"/>
          <w:sz w:val="15"/>
          <w:szCs w:val="15"/>
          <w:color w:val="auto"/>
        </w:rPr>
        <w:t>Attn.: LIU Tongbo Party B and Party C:</w:t>
      </w:r>
    </w:p>
    <w:p>
      <w:pPr>
        <w:ind w:left="860" w:right="3540"/>
        <w:spacing w:after="0" w:line="451" w:lineRule="auto"/>
        <w:rPr>
          <w:rFonts w:ascii="Arial" w:cs="Arial" w:eastAsia="Arial" w:hAnsi="Arial"/>
          <w:sz w:val="17"/>
          <w:szCs w:val="17"/>
          <w:b w:val="1"/>
          <w:bCs w:val="1"/>
          <w:color w:val="auto"/>
        </w:rPr>
      </w:pPr>
      <w:r>
        <w:rPr>
          <w:rFonts w:ascii="Arial" w:cs="Arial" w:eastAsia="Arial" w:hAnsi="Arial"/>
          <w:sz w:val="17"/>
          <w:szCs w:val="17"/>
          <w:color w:val="auto"/>
        </w:rPr>
        <w:t>Address: Room No. 104 (even), No. 90-96, Kexue grand avenue, Huangpu District, Guangzhou, China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JIAN Rongshan</w:t>
      </w:r>
    </w:p>
    <w:p>
      <w:pPr>
        <w:spacing w:after="0" w:line="161" w:lineRule="exact"/>
        <w:rPr>
          <w:rFonts w:ascii="Arial" w:cs="Arial" w:eastAsia="Arial" w:hAnsi="Arial"/>
          <w:sz w:val="17"/>
          <w:szCs w:val="17"/>
          <w:b w:val="1"/>
          <w:bCs w:val="1"/>
          <w:color w:val="auto"/>
        </w:rPr>
      </w:pPr>
    </w:p>
    <w:p>
      <w:pPr>
        <w:ind w:left="860" w:hanging="860"/>
        <w:spacing w:after="0"/>
        <w:tabs>
          <w:tab w:leader="none" w:pos="860" w:val="left"/>
        </w:tabs>
        <w:numPr>
          <w:ilvl w:val="0"/>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t>Annex</w:t>
      </w:r>
    </w:p>
    <w:p>
      <w:pPr>
        <w:spacing w:after="0" w:line="16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The annexes hereto shall form part of this Agreement.</w:t>
      </w:r>
    </w:p>
    <w:p>
      <w:pPr>
        <w:spacing w:after="0" w:line="174" w:lineRule="exact"/>
        <w:rPr>
          <w:rFonts w:ascii="Arial" w:cs="Arial" w:eastAsia="Arial" w:hAnsi="Arial"/>
          <w:sz w:val="17"/>
          <w:szCs w:val="17"/>
          <w:b w:val="1"/>
          <w:bCs w:val="1"/>
          <w:color w:val="auto"/>
        </w:rPr>
      </w:pPr>
    </w:p>
    <w:p>
      <w:pPr>
        <w:ind w:left="860" w:hanging="860"/>
        <w:spacing w:after="0"/>
        <w:tabs>
          <w:tab w:leader="none" w:pos="860" w:val="left"/>
        </w:tabs>
        <w:numPr>
          <w:ilvl w:val="0"/>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169" w:lineRule="exact"/>
        <w:rPr>
          <w:rFonts w:ascii="Arial" w:cs="Arial" w:eastAsia="Arial" w:hAnsi="Arial"/>
          <w:sz w:val="17"/>
          <w:szCs w:val="17"/>
          <w:b w:val="1"/>
          <w:bCs w:val="1"/>
          <w:color w:val="auto"/>
        </w:rPr>
      </w:pPr>
    </w:p>
    <w:p>
      <w:pPr>
        <w:jc w:val="both"/>
        <w:ind w:left="8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Pledgee’s failure to exercise or delayed exercise of any rights, remedies, powers or privileges hereunder shall not be deemed to be waiver of such rights, remedies, powers or privileges. The Pledgee’s single or partial exercise of any rights, remedies, powers or privileges shall not exclude its exercise of any other rights, remedies, powers or privileges.</w:t>
      </w:r>
    </w:p>
    <w:p>
      <w:pPr>
        <w:spacing w:after="0" w:line="13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5"/>
          <w:szCs w:val="15"/>
          <w:color w:val="auto"/>
        </w:rPr>
        <w:t>The rights, remedies, powers and privileges hereunder are cumulative and in addition to any other rights, remedies, powers and privileges under any law.</w:t>
      </w:r>
    </w:p>
    <w:p>
      <w:pPr>
        <w:spacing w:after="0" w:line="184" w:lineRule="exact"/>
        <w:rPr>
          <w:rFonts w:ascii="Arial" w:cs="Arial" w:eastAsia="Arial" w:hAnsi="Arial"/>
          <w:sz w:val="17"/>
          <w:szCs w:val="17"/>
          <w:b w:val="1"/>
          <w:bCs w:val="1"/>
          <w:color w:val="auto"/>
        </w:rPr>
      </w:pPr>
    </w:p>
    <w:p>
      <w:pPr>
        <w:ind w:left="860" w:hanging="860"/>
        <w:spacing w:after="0"/>
        <w:tabs>
          <w:tab w:leader="none" w:pos="860" w:val="left"/>
        </w:tabs>
        <w:numPr>
          <w:ilvl w:val="0"/>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9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16.1</w:t>
            </w:r>
          </w:p>
        </w:tc>
        <w:tc>
          <w:tcPr>
            <w:tcW w:w="8900" w:type="dxa"/>
            <w:vAlign w:val="bottom"/>
          </w:tcPr>
          <w:p>
            <w:pPr>
              <w:ind w:left="280"/>
              <w:spacing w:after="0"/>
              <w:rPr>
                <w:sz w:val="20"/>
                <w:szCs w:val="20"/>
                <w:color w:val="auto"/>
              </w:rPr>
            </w:pPr>
            <w:r>
              <w:rPr>
                <w:rFonts w:ascii="Arial" w:cs="Arial" w:eastAsia="Arial" w:hAnsi="Arial"/>
                <w:sz w:val="17"/>
                <w:szCs w:val="17"/>
                <w:color w:val="auto"/>
                <w:w w:val="92"/>
              </w:rPr>
              <w:t>Any modification or supplementation of or amendment to this Agreement shall be in writing and be effective only after being</w:t>
            </w:r>
          </w:p>
        </w:tc>
      </w:tr>
      <w:tr>
        <w:trPr>
          <w:trHeight w:val="212"/>
        </w:trPr>
        <w:tc>
          <w:tcPr>
            <w:tcW w:w="580" w:type="dxa"/>
            <w:vAlign w:val="bottom"/>
          </w:tcPr>
          <w:p>
            <w:pPr>
              <w:spacing w:after="0"/>
              <w:rPr>
                <w:sz w:val="18"/>
                <w:szCs w:val="18"/>
                <w:color w:val="auto"/>
              </w:rPr>
            </w:pPr>
          </w:p>
        </w:tc>
        <w:tc>
          <w:tcPr>
            <w:tcW w:w="8900" w:type="dxa"/>
            <w:vAlign w:val="bottom"/>
          </w:tcPr>
          <w:p>
            <w:pPr>
              <w:ind w:left="280"/>
              <w:spacing w:after="0"/>
              <w:rPr>
                <w:sz w:val="20"/>
                <w:szCs w:val="20"/>
                <w:color w:val="auto"/>
              </w:rPr>
            </w:pPr>
            <w:r>
              <w:rPr>
                <w:rFonts w:ascii="Arial" w:cs="Arial" w:eastAsia="Arial" w:hAnsi="Arial"/>
                <w:sz w:val="17"/>
                <w:szCs w:val="17"/>
                <w:color w:val="auto"/>
              </w:rPr>
              <w:t>sealed and signed by the Parties hereto.</w:t>
            </w:r>
          </w:p>
        </w:tc>
      </w:tr>
      <w:tr>
        <w:trPr>
          <w:trHeight w:val="34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16.2</w:t>
            </w:r>
          </w:p>
        </w:tc>
        <w:tc>
          <w:tcPr>
            <w:tcW w:w="8900" w:type="dxa"/>
            <w:vAlign w:val="bottom"/>
          </w:tcPr>
          <w:p>
            <w:pPr>
              <w:ind w:left="280"/>
              <w:spacing w:after="0"/>
              <w:rPr>
                <w:sz w:val="20"/>
                <w:szCs w:val="20"/>
                <w:color w:val="auto"/>
              </w:rPr>
            </w:pPr>
            <w:r>
              <w:rPr>
                <w:rFonts w:ascii="Arial" w:cs="Arial" w:eastAsia="Arial" w:hAnsi="Arial"/>
                <w:sz w:val="17"/>
                <w:szCs w:val="17"/>
                <w:color w:val="auto"/>
                <w:w w:val="86"/>
              </w:rPr>
              <w:t>The Parties hereby acknowledge that this Agreement shall be a fair and reasonable agreement reached by the Parties hereto on the</w:t>
            </w:r>
          </w:p>
        </w:tc>
      </w:tr>
      <w:tr>
        <w:trPr>
          <w:trHeight w:val="199"/>
        </w:trPr>
        <w:tc>
          <w:tcPr>
            <w:tcW w:w="580" w:type="dxa"/>
            <w:vAlign w:val="bottom"/>
          </w:tcPr>
          <w:p>
            <w:pPr>
              <w:spacing w:after="0"/>
              <w:rPr>
                <w:sz w:val="17"/>
                <w:szCs w:val="17"/>
                <w:color w:val="auto"/>
              </w:rPr>
            </w:pPr>
          </w:p>
        </w:tc>
        <w:tc>
          <w:tcPr>
            <w:tcW w:w="8900" w:type="dxa"/>
            <w:vAlign w:val="bottom"/>
          </w:tcPr>
          <w:p>
            <w:pPr>
              <w:ind w:left="280"/>
              <w:spacing w:after="0"/>
              <w:rPr>
                <w:sz w:val="20"/>
                <w:szCs w:val="20"/>
                <w:color w:val="auto"/>
              </w:rPr>
            </w:pPr>
            <w:r>
              <w:rPr>
                <w:rFonts w:ascii="Arial" w:cs="Arial" w:eastAsia="Arial" w:hAnsi="Arial"/>
                <w:sz w:val="17"/>
                <w:szCs w:val="17"/>
                <w:color w:val="auto"/>
                <w:w w:val="89"/>
              </w:rPr>
              <w:t>basis of equality and mutual benefit. In case any provision hereof becomes invalid or cannot be enforced due to conflict with any</w:t>
            </w:r>
          </w:p>
        </w:tc>
      </w:tr>
      <w:tr>
        <w:trPr>
          <w:trHeight w:val="199"/>
        </w:trPr>
        <w:tc>
          <w:tcPr>
            <w:tcW w:w="580" w:type="dxa"/>
            <w:vAlign w:val="bottom"/>
          </w:tcPr>
          <w:p>
            <w:pPr>
              <w:spacing w:after="0"/>
              <w:rPr>
                <w:sz w:val="17"/>
                <w:szCs w:val="17"/>
                <w:color w:val="auto"/>
              </w:rPr>
            </w:pPr>
          </w:p>
        </w:tc>
        <w:tc>
          <w:tcPr>
            <w:tcW w:w="8900" w:type="dxa"/>
            <w:vAlign w:val="bottom"/>
          </w:tcPr>
          <w:p>
            <w:pPr>
              <w:ind w:left="280"/>
              <w:spacing w:after="0"/>
              <w:rPr>
                <w:sz w:val="20"/>
                <w:szCs w:val="20"/>
                <w:color w:val="auto"/>
              </w:rPr>
            </w:pPr>
            <w:r>
              <w:rPr>
                <w:rFonts w:ascii="Arial" w:cs="Arial" w:eastAsia="Arial" w:hAnsi="Arial"/>
                <w:sz w:val="17"/>
                <w:szCs w:val="17"/>
                <w:color w:val="auto"/>
                <w:w w:val="91"/>
              </w:rPr>
              <w:t>applicable law, such provision shall be invalid or unenforceable to the sole extent of the jurisdiction of such applicable law and</w:t>
            </w:r>
          </w:p>
        </w:tc>
      </w:tr>
      <w:tr>
        <w:trPr>
          <w:trHeight w:val="212"/>
        </w:trPr>
        <w:tc>
          <w:tcPr>
            <w:tcW w:w="580" w:type="dxa"/>
            <w:vAlign w:val="bottom"/>
          </w:tcPr>
          <w:p>
            <w:pPr>
              <w:spacing w:after="0"/>
              <w:rPr>
                <w:sz w:val="18"/>
                <w:szCs w:val="18"/>
                <w:color w:val="auto"/>
              </w:rPr>
            </w:pPr>
          </w:p>
        </w:tc>
        <w:tc>
          <w:tcPr>
            <w:tcW w:w="8900" w:type="dxa"/>
            <w:vAlign w:val="bottom"/>
          </w:tcPr>
          <w:p>
            <w:pPr>
              <w:ind w:left="280"/>
              <w:spacing w:after="0"/>
              <w:rPr>
                <w:sz w:val="20"/>
                <w:szCs w:val="20"/>
                <w:color w:val="auto"/>
              </w:rPr>
            </w:pPr>
            <w:r>
              <w:rPr>
                <w:rFonts w:ascii="Arial" w:cs="Arial" w:eastAsia="Arial" w:hAnsi="Arial"/>
                <w:sz w:val="17"/>
                <w:szCs w:val="17"/>
                <w:color w:val="auto"/>
              </w:rPr>
              <w:t>shall in no way influence the legal force of the remaining provisions of this Agreement.</w:t>
            </w:r>
          </w:p>
        </w:tc>
      </w:tr>
      <w:tr>
        <w:trPr>
          <w:trHeight w:val="34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16.3</w:t>
            </w:r>
          </w:p>
        </w:tc>
        <w:tc>
          <w:tcPr>
            <w:tcW w:w="8900" w:type="dxa"/>
            <w:vAlign w:val="bottom"/>
          </w:tcPr>
          <w:p>
            <w:pPr>
              <w:ind w:left="280"/>
              <w:spacing w:after="0"/>
              <w:rPr>
                <w:sz w:val="20"/>
                <w:szCs w:val="20"/>
                <w:color w:val="auto"/>
              </w:rPr>
            </w:pPr>
            <w:r>
              <w:rPr>
                <w:rFonts w:ascii="Arial" w:cs="Arial" w:eastAsia="Arial" w:hAnsi="Arial"/>
                <w:sz w:val="17"/>
                <w:szCs w:val="17"/>
                <w:color w:val="auto"/>
                <w:w w:val="91"/>
              </w:rPr>
              <w:t>The Parties hereto agree that in case of any change to Party C’s shareholding structure or any addition or deduction of any of</w:t>
            </w:r>
          </w:p>
        </w:tc>
      </w:tr>
      <w:tr>
        <w:trPr>
          <w:trHeight w:val="199"/>
        </w:trPr>
        <w:tc>
          <w:tcPr>
            <w:tcW w:w="580" w:type="dxa"/>
            <w:vAlign w:val="bottom"/>
          </w:tcPr>
          <w:p>
            <w:pPr>
              <w:spacing w:after="0"/>
              <w:rPr>
                <w:sz w:val="17"/>
                <w:szCs w:val="17"/>
                <w:color w:val="auto"/>
              </w:rPr>
            </w:pPr>
          </w:p>
        </w:tc>
        <w:tc>
          <w:tcPr>
            <w:tcW w:w="8900" w:type="dxa"/>
            <w:vAlign w:val="bottom"/>
          </w:tcPr>
          <w:p>
            <w:pPr>
              <w:ind w:left="280"/>
              <w:spacing w:after="0"/>
              <w:rPr>
                <w:sz w:val="20"/>
                <w:szCs w:val="20"/>
                <w:color w:val="auto"/>
              </w:rPr>
            </w:pPr>
            <w:r>
              <w:rPr>
                <w:rFonts w:ascii="Arial" w:cs="Arial" w:eastAsia="Arial" w:hAnsi="Arial"/>
                <w:sz w:val="17"/>
                <w:szCs w:val="17"/>
                <w:color w:val="auto"/>
                <w:w w:val="92"/>
              </w:rPr>
              <w:t>Party C’s shareholders, Party A, Party C and Party C’s then-current shareholders shall re-sign this Agreement, and as of the</w:t>
            </w:r>
          </w:p>
        </w:tc>
      </w:tr>
      <w:tr>
        <w:trPr>
          <w:trHeight w:val="199"/>
        </w:trPr>
        <w:tc>
          <w:tcPr>
            <w:tcW w:w="580" w:type="dxa"/>
            <w:vAlign w:val="bottom"/>
          </w:tcPr>
          <w:p>
            <w:pPr>
              <w:spacing w:after="0"/>
              <w:rPr>
                <w:sz w:val="17"/>
                <w:szCs w:val="17"/>
                <w:color w:val="auto"/>
              </w:rPr>
            </w:pPr>
          </w:p>
        </w:tc>
        <w:tc>
          <w:tcPr>
            <w:tcW w:w="8900" w:type="dxa"/>
            <w:vAlign w:val="bottom"/>
          </w:tcPr>
          <w:p>
            <w:pPr>
              <w:ind w:left="280"/>
              <w:spacing w:after="0"/>
              <w:rPr>
                <w:sz w:val="20"/>
                <w:szCs w:val="20"/>
                <w:color w:val="auto"/>
              </w:rPr>
            </w:pPr>
            <w:r>
              <w:rPr>
                <w:rFonts w:ascii="Arial" w:cs="Arial" w:eastAsia="Arial" w:hAnsi="Arial"/>
                <w:sz w:val="17"/>
                <w:szCs w:val="17"/>
                <w:color w:val="auto"/>
                <w:w w:val="90"/>
              </w:rPr>
              <w:t>effective date of the Equity Interest Pledge Agreement re-entered into by and among the foregoing parties, this Agreement will</w:t>
            </w:r>
          </w:p>
        </w:tc>
      </w:tr>
      <w:tr>
        <w:trPr>
          <w:trHeight w:val="212"/>
        </w:trPr>
        <w:tc>
          <w:tcPr>
            <w:tcW w:w="580" w:type="dxa"/>
            <w:vAlign w:val="bottom"/>
          </w:tcPr>
          <w:p>
            <w:pPr>
              <w:spacing w:after="0"/>
              <w:rPr>
                <w:sz w:val="18"/>
                <w:szCs w:val="18"/>
                <w:color w:val="auto"/>
              </w:rPr>
            </w:pPr>
          </w:p>
        </w:tc>
        <w:tc>
          <w:tcPr>
            <w:tcW w:w="8900" w:type="dxa"/>
            <w:vAlign w:val="bottom"/>
          </w:tcPr>
          <w:p>
            <w:pPr>
              <w:ind w:left="280"/>
              <w:spacing w:after="0"/>
              <w:rPr>
                <w:sz w:val="20"/>
                <w:szCs w:val="20"/>
                <w:color w:val="auto"/>
              </w:rPr>
            </w:pPr>
            <w:r>
              <w:rPr>
                <w:rFonts w:ascii="Arial" w:cs="Arial" w:eastAsia="Arial" w:hAnsi="Arial"/>
                <w:sz w:val="17"/>
                <w:szCs w:val="17"/>
                <w:color w:val="auto"/>
              </w:rPr>
              <w:t>automatically terminate and become invalid.</w:t>
            </w:r>
          </w:p>
        </w:tc>
      </w:tr>
      <w:tr>
        <w:trPr>
          <w:trHeight w:val="361"/>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16.4</w:t>
            </w:r>
          </w:p>
        </w:tc>
        <w:tc>
          <w:tcPr>
            <w:tcW w:w="8900" w:type="dxa"/>
            <w:vAlign w:val="bottom"/>
          </w:tcPr>
          <w:p>
            <w:pPr>
              <w:ind w:left="28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page is the signature page to the Equity Interest Pledge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04" w:name="page305"/>
    <w:bookmarkEnd w:id="304"/>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7"/>
                <w:szCs w:val="17"/>
                <w:b w:val="1"/>
                <w:bCs w:val="1"/>
                <w:color w:val="auto"/>
              </w:rPr>
              <w:t>Party B:</w:t>
            </w:r>
          </w:p>
        </w:tc>
        <w:tc>
          <w:tcPr>
            <w:tcW w:w="4540" w:type="dxa"/>
            <w:vAlign w:val="bottom"/>
          </w:tcPr>
          <w:p>
            <w:pPr>
              <w:spacing w:after="0"/>
              <w:rPr>
                <w:sz w:val="18"/>
                <w:szCs w:val="18"/>
                <w:color w:val="auto"/>
              </w:rPr>
            </w:pPr>
          </w:p>
        </w:tc>
      </w:tr>
      <w:tr>
        <w:trPr>
          <w:trHeight w:val="386"/>
        </w:trPr>
        <w:tc>
          <w:tcPr>
            <w:tcW w:w="1080" w:type="dxa"/>
            <w:vAlign w:val="bottom"/>
          </w:tcPr>
          <w:p>
            <w:pPr>
              <w:spacing w:after="0"/>
              <w:rPr>
                <w:sz w:val="20"/>
                <w:szCs w:val="20"/>
                <w:color w:val="auto"/>
              </w:rPr>
            </w:pPr>
            <w:r>
              <w:rPr>
                <w:rFonts w:ascii="Arial" w:cs="Arial" w:eastAsia="Arial" w:hAnsi="Arial"/>
                <w:sz w:val="17"/>
                <w:szCs w:val="17"/>
                <w:color w:val="auto"/>
                <w:w w:val="88"/>
              </w:rPr>
              <w:t>JIAN Rongshan</w:t>
            </w:r>
          </w:p>
        </w:tc>
        <w:tc>
          <w:tcPr>
            <w:tcW w:w="4540" w:type="dxa"/>
            <w:vAlign w:val="bottom"/>
          </w:tcPr>
          <w:p>
            <w:pPr>
              <w:spacing w:after="0"/>
              <w:rPr>
                <w:sz w:val="24"/>
                <w:szCs w:val="24"/>
                <w:color w:val="auto"/>
              </w:rPr>
            </w:pPr>
          </w:p>
        </w:tc>
      </w:tr>
      <w:tr>
        <w:trPr>
          <w:trHeight w:val="212"/>
        </w:trPr>
        <w:tc>
          <w:tcPr>
            <w:tcW w:w="1080" w:type="dxa"/>
            <w:vAlign w:val="bottom"/>
          </w:tcPr>
          <w:p>
            <w:pPr>
              <w:spacing w:after="0"/>
              <w:rPr>
                <w:sz w:val="20"/>
                <w:szCs w:val="20"/>
                <w:color w:val="auto"/>
              </w:rPr>
            </w:pPr>
            <w:r>
              <w:rPr>
                <w:rFonts w:ascii="Arial" w:cs="Arial" w:eastAsia="Arial" w:hAnsi="Arial"/>
                <w:sz w:val="17"/>
                <w:szCs w:val="17"/>
                <w:color w:val="auto"/>
              </w:rPr>
              <w:t>Signature:</w:t>
            </w:r>
          </w:p>
        </w:tc>
        <w:tc>
          <w:tcPr>
            <w:tcW w:w="4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/s/JIAN Rongshan</w:t>
            </w:r>
          </w:p>
        </w:tc>
      </w:tr>
      <w:tr>
        <w:trPr>
          <w:trHeight w:val="379"/>
        </w:trPr>
        <w:tc>
          <w:tcPr>
            <w:tcW w:w="1080" w:type="dxa"/>
            <w:vAlign w:val="bottom"/>
          </w:tcPr>
          <w:p>
            <w:pPr>
              <w:spacing w:after="0"/>
              <w:rPr>
                <w:sz w:val="20"/>
                <w:szCs w:val="20"/>
                <w:color w:val="auto"/>
              </w:rPr>
            </w:pPr>
            <w:r>
              <w:rPr>
                <w:rFonts w:ascii="Arial" w:cs="Arial" w:eastAsia="Arial" w:hAnsi="Arial"/>
                <w:sz w:val="17"/>
                <w:szCs w:val="17"/>
                <w:color w:val="auto"/>
                <w:w w:val="92"/>
              </w:rPr>
              <w:t>CHEN Baiyong</w:t>
            </w:r>
          </w:p>
        </w:tc>
        <w:tc>
          <w:tcPr>
            <w:tcW w:w="4540" w:type="dxa"/>
            <w:vAlign w:val="bottom"/>
          </w:tcPr>
          <w:p>
            <w:pPr>
              <w:spacing w:after="0"/>
              <w:rPr>
                <w:sz w:val="24"/>
                <w:szCs w:val="24"/>
                <w:color w:val="auto"/>
              </w:rPr>
            </w:pPr>
          </w:p>
        </w:tc>
      </w:tr>
      <w:tr>
        <w:trPr>
          <w:trHeight w:val="212"/>
        </w:trPr>
        <w:tc>
          <w:tcPr>
            <w:tcW w:w="1080" w:type="dxa"/>
            <w:vAlign w:val="bottom"/>
          </w:tcPr>
          <w:p>
            <w:pPr>
              <w:spacing w:after="0"/>
              <w:rPr>
                <w:sz w:val="20"/>
                <w:szCs w:val="20"/>
                <w:color w:val="auto"/>
              </w:rPr>
            </w:pPr>
            <w:r>
              <w:rPr>
                <w:rFonts w:ascii="Arial" w:cs="Arial" w:eastAsia="Arial" w:hAnsi="Arial"/>
                <w:sz w:val="17"/>
                <w:szCs w:val="17"/>
                <w:color w:val="auto"/>
              </w:rPr>
              <w:t>Signature:</w:t>
            </w:r>
          </w:p>
        </w:tc>
        <w:tc>
          <w:tcPr>
            <w:tcW w:w="4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CHEN Baiyong</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JIAN Rongshan</w:t>
      </w:r>
      <w:r>
        <w:rPr>
          <w:rFonts w:ascii="Arial" w:cs="Arial" w:eastAsia="Arial" w:hAnsi="Arial"/>
          <w:sz w:val="17"/>
          <w:szCs w:val="17"/>
          <w:color w:val="auto"/>
        </w:rPr>
        <w:t xml:space="preserve"> (Seal)</w:t>
      </w:r>
    </w:p>
    <w:p>
      <w:pPr>
        <w:spacing w:after="0" w:line="348" w:lineRule="exact"/>
        <w:rPr>
          <w:sz w:val="20"/>
          <w:szCs w:val="20"/>
          <w:color w:val="auto"/>
        </w:rPr>
      </w:pPr>
    </w:p>
    <w:p>
      <w:pPr>
        <w:jc w:val="right"/>
        <w:ind w:right="2699"/>
        <w:spacing w:after="0"/>
        <w:rPr>
          <w:sz w:val="20"/>
          <w:szCs w:val="20"/>
          <w:color w:val="auto"/>
        </w:rPr>
      </w:pPr>
      <w:r>
        <w:rPr>
          <w:rFonts w:ascii="Arial" w:cs="Arial" w:eastAsia="Arial" w:hAnsi="Arial"/>
          <w:sz w:val="17"/>
          <w:szCs w:val="17"/>
          <w:b w:val="1"/>
          <w:bCs w:val="1"/>
          <w:color w:val="auto"/>
        </w:rPr>
        <w:t>Equity Interest Pledge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184390" cy="412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305" w:name="page306"/>
    <w:bookmarkEnd w:id="305"/>
    <w:p>
      <w:pPr>
        <w:jc w:val="center"/>
        <w:ind w:right="40"/>
        <w:spacing w:after="0"/>
        <w:rPr>
          <w:sz w:val="20"/>
          <w:szCs w:val="20"/>
          <w:color w:val="auto"/>
        </w:rPr>
      </w:pPr>
      <w:r>
        <w:rPr>
          <w:rFonts w:ascii="Arial" w:cs="Arial" w:eastAsia="Arial" w:hAnsi="Arial"/>
          <w:sz w:val="20"/>
          <w:szCs w:val="20"/>
          <w:b w:val="1"/>
          <w:bCs w:val="1"/>
          <w:color w:val="auto"/>
        </w:rPr>
        <w:t>Annex I Pledgor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6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7"/>
                <w:szCs w:val="17"/>
                <w:color w:val="auto"/>
              </w:rPr>
              <w:t>ID Card No.</w:t>
            </w:r>
          </w:p>
        </w:tc>
        <w:tc>
          <w:tcPr>
            <w:tcW w:w="2840" w:type="dxa"/>
            <w:vAlign w:val="bottom"/>
          </w:tcPr>
          <w:p>
            <w:pPr>
              <w:spacing w:after="0"/>
              <w:rPr>
                <w:sz w:val="20"/>
                <w:szCs w:val="20"/>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JIAN Rongshan</w:t>
            </w:r>
          </w:p>
        </w:tc>
        <w:tc>
          <w:tcPr>
            <w:tcW w:w="216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CHEN Baiyong</w:t>
            </w:r>
          </w:p>
        </w:tc>
        <w:tc>
          <w:tcPr>
            <w:tcW w:w="216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695"/>
        </w:trPr>
        <w:tc>
          <w:tcPr>
            <w:tcW w:w="2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306" w:name="page307"/>
    <w:bookmarkEnd w:id="306"/>
    <w:p>
      <w:pPr>
        <w:jc w:val="center"/>
        <w:ind w:right="40"/>
        <w:spacing w:after="0"/>
        <w:rPr>
          <w:sz w:val="20"/>
          <w:szCs w:val="20"/>
          <w:color w:val="auto"/>
        </w:rPr>
      </w:pPr>
      <w:r>
        <w:rPr>
          <w:rFonts w:ascii="Arial" w:cs="Arial" w:eastAsia="Arial" w:hAnsi="Arial"/>
          <w:sz w:val="20"/>
          <w:szCs w:val="20"/>
          <w:b w:val="1"/>
          <w:bCs w:val="1"/>
          <w:color w:val="auto"/>
        </w:rPr>
        <w:t>Annex II Shareholding Structure</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Amount of Contribution</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20"/>
                <w:szCs w:val="20"/>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JIAN Rongshan</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190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CHEN Baiyong</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Total</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200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695"/>
        </w:trPr>
        <w:tc>
          <w:tcPr>
            <w:tcW w:w="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307" w:name="page308"/>
    <w:bookmarkEnd w:id="307"/>
    <w:p>
      <w:pPr>
        <w:ind w:left="3400"/>
        <w:spacing w:after="0"/>
        <w:rPr>
          <w:sz w:val="20"/>
          <w:szCs w:val="20"/>
          <w:color w:val="auto"/>
        </w:rPr>
      </w:pPr>
      <w:r>
        <w:rPr>
          <w:rFonts w:ascii="Arial" w:cs="Arial" w:eastAsia="Arial" w:hAnsi="Arial"/>
          <w:sz w:val="20"/>
          <w:szCs w:val="20"/>
          <w:b w:val="1"/>
          <w:bCs w:val="1"/>
          <w:color w:val="auto"/>
        </w:rPr>
        <w:t>Annex III Form of Party C’s Shareholders’ Register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Company: Tianjin Shangde Online Education Technology Co., Ltd.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1740" w:type="dxa"/>
            <w:vAlign w:val="bottom"/>
            <w:tcBorders>
              <w:top w:val="single" w:sz="8" w:color="auto"/>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88"/>
              </w:rPr>
              <w:t>Full name of the</w:t>
            </w:r>
          </w:p>
        </w:tc>
        <w:tc>
          <w:tcPr>
            <w:tcW w:w="1080" w:type="dxa"/>
            <w:vAlign w:val="bottom"/>
            <w:tcBorders>
              <w:top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9"/>
              </w:rPr>
              <w:t>[JIAN</w:t>
            </w:r>
          </w:p>
        </w:tc>
        <w:tc>
          <w:tcPr>
            <w:tcW w:w="80" w:type="dxa"/>
            <w:vAlign w:val="bottom"/>
            <w:tcBorders>
              <w:top w:val="single" w:sz="8" w:color="auto"/>
              <w:right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40" w:type="dxa"/>
            <w:vAlign w:val="bottom"/>
            <w:tcBorders>
              <w:top w:val="single" w:sz="8" w:color="auto"/>
              <w:right w:val="single" w:sz="8" w:color="auto"/>
            </w:tcBorders>
            <w:gridSpan w:val="4"/>
          </w:tcPr>
          <w:p>
            <w:pPr>
              <w:jc w:val="right"/>
              <w:ind w:right="397"/>
              <w:spacing w:after="0"/>
              <w:rPr>
                <w:sz w:val="20"/>
                <w:szCs w:val="20"/>
                <w:color w:val="auto"/>
              </w:rPr>
            </w:pPr>
            <w:r>
              <w:rPr>
                <w:rFonts w:ascii="Arial" w:cs="Arial" w:eastAsia="Arial" w:hAnsi="Arial"/>
                <w:sz w:val="17"/>
                <w:szCs w:val="17"/>
                <w:b w:val="1"/>
                <w:bCs w:val="1"/>
                <w:color w:val="auto"/>
                <w:w w:val="96"/>
              </w:rPr>
              <w:t>ID Card No./</w:t>
            </w:r>
          </w:p>
        </w:tc>
        <w:tc>
          <w:tcPr>
            <w:tcW w:w="3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ind w:left="420"/>
              <w:spacing w:after="0"/>
              <w:rPr>
                <w:sz w:val="20"/>
                <w:szCs w:val="20"/>
                <w:color w:val="auto"/>
              </w:rPr>
            </w:pPr>
            <w:r>
              <w:rPr>
                <w:rFonts w:ascii="Arial" w:cs="Arial" w:eastAsia="Arial" w:hAnsi="Arial"/>
                <w:sz w:val="17"/>
                <w:szCs w:val="17"/>
                <w:b w:val="1"/>
                <w:bCs w:val="1"/>
                <w:color w:val="auto"/>
                <w:w w:val="88"/>
              </w:rPr>
              <w:t>[]Occupa tion/]</w:t>
            </w: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Identity</w:t>
            </w:r>
          </w:p>
        </w:tc>
        <w:tc>
          <w:tcPr>
            <w:tcW w:w="640" w:type="dxa"/>
            <w:vAlign w:val="bottom"/>
            <w:tcBorders>
              <w:top w:val="single" w:sz="8" w:color="auto"/>
            </w:tcBorders>
          </w:tcPr>
          <w:p>
            <w:pPr>
              <w:spacing w:after="0"/>
              <w:rPr>
                <w:sz w:val="21"/>
                <w:szCs w:val="21"/>
                <w:color w:val="auto"/>
              </w:rPr>
            </w:pPr>
          </w:p>
        </w:tc>
        <w:tc>
          <w:tcPr>
            <w:tcW w:w="20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Executive Director</w:t>
            </w:r>
          </w:p>
        </w:tc>
        <w:tc>
          <w:tcPr>
            <w:tcW w:w="20" w:type="dxa"/>
            <w:vAlign w:val="bottom"/>
          </w:tcPr>
          <w:p>
            <w:pPr>
              <w:spacing w:after="0"/>
              <w:rPr>
                <w:sz w:val="21"/>
                <w:szCs w:val="21"/>
                <w:color w:val="auto"/>
              </w:rPr>
            </w:pPr>
          </w:p>
        </w:tc>
      </w:tr>
      <w:tr>
        <w:trPr>
          <w:trHeight w:val="216"/>
        </w:trPr>
        <w:tc>
          <w:tcPr>
            <w:tcW w:w="174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88"/>
              </w:rPr>
              <w:t>Shareholder</w:t>
            </w:r>
          </w:p>
        </w:tc>
        <w:tc>
          <w:tcPr>
            <w:tcW w:w="1080" w:type="dxa"/>
            <w:vAlign w:val="bottom"/>
            <w:gridSpan w:val="4"/>
          </w:tcPr>
          <w:p>
            <w:pPr>
              <w:jc w:val="center"/>
              <w:spacing w:after="0"/>
              <w:rPr>
                <w:sz w:val="20"/>
                <w:szCs w:val="20"/>
                <w:color w:val="auto"/>
              </w:rPr>
            </w:pPr>
            <w:r>
              <w:rPr>
                <w:rFonts w:ascii="Arial" w:cs="Arial" w:eastAsia="Arial" w:hAnsi="Arial"/>
                <w:sz w:val="17"/>
                <w:szCs w:val="17"/>
                <w:b w:val="1"/>
                <w:bCs w:val="1"/>
                <w:color w:val="auto"/>
                <w:w w:val="85"/>
              </w:rPr>
              <w:t>Rongshan]</w:t>
            </w:r>
          </w:p>
        </w:tc>
        <w:tc>
          <w:tcPr>
            <w:tcW w:w="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gridSpan w:val="5"/>
          </w:tcPr>
          <w:p>
            <w:pPr>
              <w:jc w:val="right"/>
              <w:ind w:right="277"/>
              <w:spacing w:after="0"/>
              <w:rPr>
                <w:sz w:val="20"/>
                <w:szCs w:val="20"/>
                <w:color w:val="auto"/>
              </w:rPr>
            </w:pPr>
            <w:r>
              <w:rPr>
                <w:rFonts w:ascii="Arial" w:cs="Arial" w:eastAsia="Arial" w:hAnsi="Arial"/>
                <w:sz w:val="17"/>
                <w:szCs w:val="17"/>
                <w:b w:val="1"/>
                <w:bCs w:val="1"/>
                <w:color w:val="auto"/>
              </w:rPr>
              <w:t>Registration No.</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66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220" w:type="dxa"/>
            <w:vAlign w:val="bottom"/>
            <w:tcBorders>
              <w:left w:val="single" w:sz="8" w:color="auto"/>
            </w:tcBorders>
            <w:gridSpan w:val="3"/>
          </w:tcPr>
          <w:p>
            <w:pPr>
              <w:ind w:left="440"/>
              <w:spacing w:after="0"/>
              <w:rPr>
                <w:sz w:val="20"/>
                <w:szCs w:val="20"/>
                <w:color w:val="auto"/>
              </w:rPr>
            </w:pPr>
            <w:r>
              <w:rPr>
                <w:rFonts w:ascii="Arial" w:cs="Arial" w:eastAsia="Arial" w:hAnsi="Arial"/>
                <w:sz w:val="17"/>
                <w:szCs w:val="17"/>
                <w:b w:val="1"/>
                <w:bCs w:val="1"/>
                <w:color w:val="auto"/>
              </w:rPr>
              <w:t>Address of Domicile</w:t>
            </w:r>
          </w:p>
        </w:tc>
        <w:tc>
          <w:tcPr>
            <w:tcW w:w="100" w:type="dxa"/>
            <w:vAlign w:val="bottom"/>
            <w:tcBorders>
              <w:right w:val="single" w:sz="8" w:color="auto"/>
            </w:tcBorders>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21"/>
                <w:szCs w:val="21"/>
                <w:color w:val="auto"/>
              </w:rPr>
            </w:pPr>
          </w:p>
        </w:tc>
        <w:tc>
          <w:tcPr>
            <w:tcW w:w="500" w:type="dxa"/>
            <w:vAlign w:val="bottom"/>
            <w:gridSpan w:val="2"/>
          </w:tcPr>
          <w:p>
            <w:pPr>
              <w:jc w:val="right"/>
              <w:ind w:right="277"/>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0"/>
        </w:trPr>
        <w:tc>
          <w:tcPr>
            <w:tcW w:w="166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174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86"/>
              </w:rPr>
              <w:t>Date</w:t>
            </w:r>
          </w:p>
        </w:tc>
        <w:tc>
          <w:tcPr>
            <w:tcW w:w="1860" w:type="dxa"/>
            <w:vAlign w:val="bottom"/>
            <w:gridSpan w:val="7"/>
          </w:tcPr>
          <w:p>
            <w:pPr>
              <w:jc w:val="center"/>
              <w:ind w:left="137"/>
              <w:spacing w:after="0"/>
              <w:rPr>
                <w:sz w:val="20"/>
                <w:szCs w:val="20"/>
                <w:color w:val="auto"/>
              </w:rPr>
            </w:pPr>
            <w:r>
              <w:rPr>
                <w:rFonts w:ascii="Arial" w:cs="Arial" w:eastAsia="Arial" w:hAnsi="Arial"/>
                <w:sz w:val="17"/>
                <w:szCs w:val="17"/>
                <w:b w:val="1"/>
                <w:bCs w:val="1"/>
                <w:color w:val="auto"/>
                <w:w w:val="91"/>
              </w:rPr>
              <w:t>Contribution Amount/</w:t>
            </w:r>
          </w:p>
        </w:tc>
        <w:tc>
          <w:tcPr>
            <w:tcW w:w="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gridSpan w:val="3"/>
          </w:tcPr>
          <w:p>
            <w:pPr>
              <w:ind w:left="280"/>
              <w:spacing w:after="0"/>
              <w:rPr>
                <w:sz w:val="20"/>
                <w:szCs w:val="20"/>
                <w:color w:val="auto"/>
              </w:rPr>
            </w:pPr>
            <w:r>
              <w:rPr>
                <w:rFonts w:ascii="Arial" w:cs="Arial" w:eastAsia="Arial" w:hAnsi="Arial"/>
                <w:sz w:val="17"/>
                <w:szCs w:val="17"/>
                <w:b w:val="1"/>
                <w:bCs w:val="1"/>
                <w:color w:val="auto"/>
                <w:w w:val="99"/>
              </w:rPr>
              <w:t>Shareholding Percentage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7"/>
                <w:szCs w:val="17"/>
                <w:b w:val="1"/>
                <w:bCs w:val="1"/>
                <w:color w:val="auto"/>
              </w:rPr>
              <w:t>Note</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6"/>
          </w:tcPr>
          <w:p>
            <w:pPr>
              <w:jc w:val="center"/>
              <w:ind w:right="177"/>
              <w:spacing w:after="0"/>
              <w:rPr>
                <w:sz w:val="20"/>
                <w:szCs w:val="20"/>
                <w:color w:val="auto"/>
              </w:rPr>
            </w:pPr>
            <w:r>
              <w:rPr>
                <w:rFonts w:ascii="Arial" w:cs="Arial" w:eastAsia="Arial" w:hAnsi="Arial"/>
                <w:sz w:val="17"/>
                <w:szCs w:val="17"/>
                <w:b w:val="1"/>
                <w:bCs w:val="1"/>
                <w:color w:val="auto"/>
                <w:w w:val="87"/>
              </w:rPr>
              <w:t>Consideration</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66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9"/>
        </w:trPr>
        <w:tc>
          <w:tcPr>
            <w:tcW w:w="1660" w:type="dxa"/>
            <w:vAlign w:val="bottom"/>
            <w:tcBorders>
              <w:left w:val="single" w:sz="8" w:color="auto"/>
            </w:tcBorders>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5"/>
          </w:tcPr>
          <w:p>
            <w:pPr>
              <w:jc w:val="center"/>
              <w:ind w:right="277"/>
              <w:spacing w:after="0"/>
              <w:rPr>
                <w:sz w:val="20"/>
                <w:szCs w:val="20"/>
                <w:color w:val="auto"/>
              </w:rPr>
            </w:pPr>
            <w:r>
              <w:rPr>
                <w:rFonts w:ascii="Arial" w:cs="Arial" w:eastAsia="Arial" w:hAnsi="Arial"/>
                <w:sz w:val="17"/>
                <w:szCs w:val="17"/>
                <w:color w:val="auto"/>
                <w:w w:val="96"/>
              </w:rPr>
              <w:t>CNY [190]</w:t>
            </w:r>
          </w:p>
        </w:tc>
        <w:tc>
          <w:tcPr>
            <w:tcW w:w="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tcBorders>
              <w:right w:val="single" w:sz="8" w:color="auto"/>
            </w:tcBorders>
          </w:tcPr>
          <w:p>
            <w:pPr>
              <w:jc w:val="right"/>
              <w:ind w:right="597"/>
              <w:spacing w:after="0"/>
              <w:rPr>
                <w:sz w:val="20"/>
                <w:szCs w:val="20"/>
                <w:color w:val="auto"/>
              </w:rPr>
            </w:pPr>
            <w:r>
              <w:rPr>
                <w:rFonts w:ascii="Arial" w:cs="Arial" w:eastAsia="Arial" w:hAnsi="Arial"/>
                <w:sz w:val="17"/>
                <w:szCs w:val="17"/>
                <w:color w:val="auto"/>
              </w:rPr>
              <w:t>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4"/>
          </w:tcPr>
          <w:p>
            <w:pPr>
              <w:ind w:left="20"/>
              <w:spacing w:after="0"/>
              <w:rPr>
                <w:sz w:val="20"/>
                <w:szCs w:val="20"/>
                <w:color w:val="auto"/>
              </w:rPr>
            </w:pPr>
            <w:r>
              <w:rPr>
                <w:rFonts w:ascii="Arial" w:cs="Arial" w:eastAsia="Arial" w:hAnsi="Arial"/>
                <w:sz w:val="17"/>
                <w:szCs w:val="17"/>
                <w:color w:val="auto"/>
                <w:w w:val="91"/>
              </w:rPr>
              <w:t>100% of the equity being pledged to [</w:t>
            </w:r>
          </w:p>
        </w:tc>
        <w:tc>
          <w:tcPr>
            <w:tcW w:w="2080" w:type="dxa"/>
            <w:vAlign w:val="bottom"/>
            <w:tcBorders>
              <w:right w:val="single" w:sz="8" w:color="auto"/>
            </w:tcBorders>
            <w:gridSpan w:val="3"/>
          </w:tcPr>
          <w:p>
            <w:pPr>
              <w:ind w:left="80"/>
              <w:spacing w:after="0"/>
              <w:rPr>
                <w:sz w:val="20"/>
                <w:szCs w:val="20"/>
                <w:color w:val="auto"/>
              </w:rPr>
            </w:pPr>
            <w:r>
              <w:rPr>
                <w:rFonts w:ascii="Arial" w:cs="Arial" w:eastAsia="Arial" w:hAnsi="Arial"/>
                <w:sz w:val="17"/>
                <w:szCs w:val="17"/>
                <w:color w:val="auto"/>
              </w:rPr>
              <w:t>Wuhan Studyvip Online</w:t>
            </w:r>
          </w:p>
        </w:tc>
        <w:tc>
          <w:tcPr>
            <w:tcW w:w="20" w:type="dxa"/>
            <w:vAlign w:val="bottom"/>
          </w:tcPr>
          <w:p>
            <w:pPr>
              <w:spacing w:after="0"/>
              <w:rPr>
                <w:sz w:val="19"/>
                <w:szCs w:val="19"/>
                <w:color w:val="auto"/>
              </w:rPr>
            </w:pPr>
          </w:p>
        </w:tc>
      </w:tr>
      <w:tr>
        <w:trPr>
          <w:trHeight w:val="212"/>
        </w:trPr>
        <w:tc>
          <w:tcPr>
            <w:tcW w:w="1660" w:type="dxa"/>
            <w:vAlign w:val="bottom"/>
            <w:tcBorders>
              <w:lef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3"/>
          </w:tcPr>
          <w:p>
            <w:pPr>
              <w:ind w:left="460"/>
              <w:spacing w:after="0"/>
              <w:rPr>
                <w:sz w:val="20"/>
                <w:szCs w:val="20"/>
                <w:color w:val="auto"/>
              </w:rPr>
            </w:pPr>
            <w:r>
              <w:rPr>
                <w:rFonts w:ascii="Arial" w:cs="Arial" w:eastAsia="Arial" w:hAnsi="Arial"/>
                <w:sz w:val="17"/>
                <w:szCs w:val="17"/>
                <w:color w:val="auto"/>
                <w:w w:val="93"/>
              </w:rPr>
              <w:t>Education Co., Limited</w:t>
            </w:r>
          </w:p>
        </w:tc>
        <w:tc>
          <w:tcPr>
            <w:tcW w:w="1480" w:type="dxa"/>
            <w:vAlign w:val="bottom"/>
          </w:tcPr>
          <w:p>
            <w:pPr>
              <w:jc w:val="right"/>
              <w:ind w:right="1077"/>
              <w:spacing w:after="0"/>
              <w:rPr>
                <w:sz w:val="20"/>
                <w:szCs w:val="20"/>
                <w:color w:val="auto"/>
              </w:rPr>
            </w:pPr>
            <w:r>
              <w:rPr>
                <w:rFonts w:ascii="Arial" w:cs="Arial" w:eastAsia="Arial" w:hAnsi="Arial"/>
                <w:sz w:val="17"/>
                <w:szCs w:val="17"/>
                <w:color w:val="auto"/>
              </w:rPr>
              <w:t>]</w:t>
            </w: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66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91"/>
        </w:trPr>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Full name of the</w:t>
            </w:r>
          </w:p>
        </w:tc>
        <w:tc>
          <w:tcPr>
            <w:tcW w:w="80" w:type="dxa"/>
            <w:vAlign w:val="bottom"/>
          </w:tcPr>
          <w:p>
            <w:pPr>
              <w:spacing w:after="0"/>
              <w:rPr>
                <w:sz w:val="19"/>
                <w:szCs w:val="19"/>
                <w:color w:val="auto"/>
              </w:rPr>
            </w:pPr>
          </w:p>
        </w:tc>
        <w:tc>
          <w:tcPr>
            <w:tcW w:w="480" w:type="dxa"/>
            <w:vAlign w:val="bottom"/>
          </w:tcPr>
          <w:p>
            <w:pPr>
              <w:ind w:left="3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500" w:type="dxa"/>
            <w:vAlign w:val="bottom"/>
            <w:gridSpan w:val="2"/>
          </w:tcPr>
          <w:p>
            <w:pPr>
              <w:ind w:left="20"/>
              <w:spacing w:after="0"/>
              <w:rPr>
                <w:sz w:val="20"/>
                <w:szCs w:val="20"/>
                <w:color w:val="auto"/>
              </w:rPr>
            </w:pPr>
            <w:r>
              <w:rPr>
                <w:rFonts w:ascii="Arial" w:cs="Arial" w:eastAsia="Arial" w:hAnsi="Arial"/>
                <w:sz w:val="17"/>
                <w:szCs w:val="17"/>
                <w:b w:val="1"/>
                <w:bCs w:val="1"/>
                <w:color w:val="auto"/>
                <w:w w:val="95"/>
              </w:rPr>
              <w:t>CHEN</w:t>
            </w:r>
          </w:p>
        </w:tc>
        <w:tc>
          <w:tcPr>
            <w:tcW w:w="8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7"/>
                <w:szCs w:val="17"/>
                <w:b w:val="1"/>
                <w:bCs w:val="1"/>
                <w:color w:val="auto"/>
                <w:w w:val="94"/>
              </w:rPr>
              <w:t>ID Card No./</w:t>
            </w:r>
          </w:p>
        </w:tc>
        <w:tc>
          <w:tcPr>
            <w:tcW w:w="1160" w:type="dxa"/>
            <w:vAlign w:val="bottom"/>
          </w:tcPr>
          <w:p>
            <w:pPr>
              <w:jc w:val="right"/>
              <w:ind w:right="237"/>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Borders>
              <w:right w:val="single" w:sz="8" w:color="auto"/>
            </w:tcBorders>
            <w:gridSpan w:val="4"/>
          </w:tcPr>
          <w:p>
            <w:pPr>
              <w:jc w:val="right"/>
              <w:ind w:right="1017"/>
              <w:spacing w:after="0"/>
              <w:rPr>
                <w:sz w:val="20"/>
                <w:szCs w:val="20"/>
                <w:color w:val="auto"/>
              </w:rPr>
            </w:pPr>
            <w:r>
              <w:rPr>
                <w:rFonts w:ascii="Arial" w:cs="Arial" w:eastAsia="Arial" w:hAnsi="Arial"/>
                <w:sz w:val="17"/>
                <w:szCs w:val="17"/>
                <w:b w:val="1"/>
                <w:bCs w:val="1"/>
                <w:color w:val="auto"/>
              </w:rPr>
              <w:t>Occupation/ Identity</w:t>
            </w:r>
          </w:p>
        </w:tc>
        <w:tc>
          <w:tcPr>
            <w:tcW w:w="4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Shareholder</w:t>
            </w:r>
          </w:p>
        </w:tc>
        <w:tc>
          <w:tcPr>
            <w:tcW w:w="80" w:type="dxa"/>
            <w:vAlign w:val="bottom"/>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Arial" w:cs="Arial" w:eastAsia="Arial" w:hAnsi="Arial"/>
                <w:sz w:val="17"/>
                <w:szCs w:val="17"/>
                <w:b w:val="1"/>
                <w:bCs w:val="1"/>
                <w:color w:val="auto"/>
                <w:w w:val="86"/>
              </w:rPr>
              <w:t>Baiyong</w:t>
            </w:r>
          </w:p>
        </w:tc>
        <w:tc>
          <w:tcPr>
            <w:tcW w:w="500" w:type="dxa"/>
            <w:vAlign w:val="bottom"/>
            <w:tcBorders>
              <w:right w:val="single" w:sz="8" w:color="auto"/>
            </w:tcBorders>
            <w:gridSpan w:val="2"/>
          </w:tcPr>
          <w:p>
            <w:pPr>
              <w:jc w:val="right"/>
              <w:ind w:right="277"/>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8"/>
                <w:szCs w:val="18"/>
                <w:color w:val="auto"/>
              </w:rPr>
            </w:pPr>
          </w:p>
        </w:tc>
        <w:tc>
          <w:tcPr>
            <w:tcW w:w="146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7"/>
                <w:szCs w:val="17"/>
                <w:b w:val="1"/>
                <w:bCs w:val="1"/>
                <w:color w:val="auto"/>
                <w:w w:val="88"/>
              </w:rPr>
              <w:t>Registration No.</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66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right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220" w:type="dxa"/>
            <w:vAlign w:val="bottom"/>
            <w:tcBorders>
              <w:left w:val="single" w:sz="8" w:color="auto"/>
            </w:tcBorders>
            <w:gridSpan w:val="3"/>
          </w:tcPr>
          <w:p>
            <w:pPr>
              <w:ind w:left="520"/>
              <w:spacing w:after="0"/>
              <w:rPr>
                <w:sz w:val="20"/>
                <w:szCs w:val="20"/>
                <w:color w:val="auto"/>
              </w:rPr>
            </w:pPr>
            <w:r>
              <w:rPr>
                <w:rFonts w:ascii="Arial" w:cs="Arial" w:eastAsia="Arial" w:hAnsi="Arial"/>
                <w:sz w:val="17"/>
                <w:szCs w:val="17"/>
                <w:b w:val="1"/>
                <w:bCs w:val="1"/>
                <w:color w:val="auto"/>
              </w:rPr>
              <w:t>Address of Domicile</w:t>
            </w:r>
          </w:p>
        </w:tc>
        <w:tc>
          <w:tcPr>
            <w:tcW w:w="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b w:val="1"/>
                <w:bCs w:val="1"/>
                <w:color w:val="auto"/>
              </w:rPr>
              <w:t>[</w:t>
            </w:r>
          </w:p>
        </w:tc>
        <w:tc>
          <w:tcPr>
            <w:tcW w:w="500" w:type="dxa"/>
            <w:vAlign w:val="bottom"/>
            <w:gridSpan w:val="2"/>
          </w:tcPr>
          <w:p>
            <w:pPr>
              <w:jc w:val="right"/>
              <w:ind w:right="117"/>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0"/>
        </w:trPr>
        <w:tc>
          <w:tcPr>
            <w:tcW w:w="166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3"/>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80" w:type="dxa"/>
            <w:vAlign w:val="bottom"/>
          </w:tcPr>
          <w:p>
            <w:pPr>
              <w:spacing w:after="0"/>
              <w:rPr>
                <w:sz w:val="19"/>
                <w:szCs w:val="19"/>
                <w:color w:val="auto"/>
              </w:rPr>
            </w:pPr>
          </w:p>
        </w:tc>
        <w:tc>
          <w:tcPr>
            <w:tcW w:w="1860" w:type="dxa"/>
            <w:vAlign w:val="bottom"/>
            <w:gridSpan w:val="7"/>
          </w:tcPr>
          <w:p>
            <w:pPr>
              <w:ind w:left="100"/>
              <w:spacing w:after="0"/>
              <w:rPr>
                <w:sz w:val="20"/>
                <w:szCs w:val="20"/>
                <w:color w:val="auto"/>
              </w:rPr>
            </w:pPr>
            <w:r>
              <w:rPr>
                <w:rFonts w:ascii="Arial" w:cs="Arial" w:eastAsia="Arial" w:hAnsi="Arial"/>
                <w:sz w:val="17"/>
                <w:szCs w:val="17"/>
                <w:b w:val="1"/>
                <w:bCs w:val="1"/>
                <w:color w:val="auto"/>
                <w:w w:val="99"/>
              </w:rPr>
              <w:t>Contribution Amount/</w:t>
            </w: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3"/>
          </w:tcPr>
          <w:p>
            <w:pPr>
              <w:ind w:left="280"/>
              <w:spacing w:after="0"/>
              <w:rPr>
                <w:sz w:val="20"/>
                <w:szCs w:val="20"/>
                <w:color w:val="auto"/>
              </w:rPr>
            </w:pPr>
            <w:r>
              <w:rPr>
                <w:rFonts w:ascii="Arial" w:cs="Arial" w:eastAsia="Arial" w:hAnsi="Arial"/>
                <w:sz w:val="17"/>
                <w:szCs w:val="17"/>
                <w:b w:val="1"/>
                <w:bCs w:val="1"/>
                <w:color w:val="auto"/>
                <w:w w:val="99"/>
              </w:rPr>
              <w:t>Shareholding Percentage</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Arial" w:cs="Arial" w:eastAsia="Arial" w:hAnsi="Arial"/>
                <w:sz w:val="17"/>
                <w:szCs w:val="17"/>
                <w:b w:val="1"/>
                <w:bCs w:val="1"/>
                <w:color w:val="auto"/>
              </w:rPr>
              <w:t>Note</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7"/>
          </w:tcPr>
          <w:p>
            <w:pPr>
              <w:ind w:left="400"/>
              <w:spacing w:after="0"/>
              <w:rPr>
                <w:sz w:val="20"/>
                <w:szCs w:val="20"/>
                <w:color w:val="auto"/>
              </w:rPr>
            </w:pPr>
            <w:r>
              <w:rPr>
                <w:rFonts w:ascii="Arial" w:cs="Arial" w:eastAsia="Arial" w:hAnsi="Arial"/>
                <w:sz w:val="17"/>
                <w:szCs w:val="17"/>
                <w:b w:val="1"/>
                <w:bCs w:val="1"/>
                <w:color w:val="auto"/>
              </w:rPr>
              <w:t>Consideration</w:t>
            </w:r>
          </w:p>
        </w:tc>
        <w:tc>
          <w:tcPr>
            <w:tcW w:w="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660" w:type="dxa"/>
            <w:vAlign w:val="bottom"/>
            <w:tcBorders>
              <w:left w:val="single" w:sz="8" w:color="auto"/>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3"/>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9"/>
        </w:trPr>
        <w:tc>
          <w:tcPr>
            <w:tcW w:w="1660" w:type="dxa"/>
            <w:vAlign w:val="bottom"/>
            <w:tcBorders>
              <w:left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4"/>
          </w:tcPr>
          <w:p>
            <w:pPr>
              <w:jc w:val="center"/>
              <w:spacing w:after="0"/>
              <w:rPr>
                <w:sz w:val="20"/>
                <w:szCs w:val="20"/>
                <w:color w:val="auto"/>
              </w:rPr>
            </w:pPr>
            <w:r>
              <w:rPr>
                <w:rFonts w:ascii="Arial" w:cs="Arial" w:eastAsia="Arial" w:hAnsi="Arial"/>
                <w:sz w:val="17"/>
                <w:szCs w:val="17"/>
                <w:color w:val="auto"/>
                <w:w w:val="96"/>
              </w:rPr>
              <w:t>CNY [</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28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tcPr>
          <w:p>
            <w:pPr>
              <w:jc w:val="right"/>
              <w:ind w:right="617"/>
              <w:spacing w:after="0"/>
              <w:rPr>
                <w:sz w:val="20"/>
                <w:szCs w:val="20"/>
                <w:color w:val="auto"/>
              </w:rPr>
            </w:pPr>
            <w:r>
              <w:rPr>
                <w:rFonts w:ascii="Arial" w:cs="Arial" w:eastAsia="Arial" w:hAnsi="Arial"/>
                <w:sz w:val="17"/>
                <w:szCs w:val="17"/>
                <w:color w:val="auto"/>
              </w:rPr>
              <w:t>5 ]%</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4"/>
          </w:tcPr>
          <w:p>
            <w:pPr>
              <w:jc w:val="center"/>
              <w:ind w:left="17"/>
              <w:spacing w:after="0"/>
              <w:rPr>
                <w:sz w:val="20"/>
                <w:szCs w:val="20"/>
                <w:color w:val="auto"/>
              </w:rPr>
            </w:pPr>
            <w:r>
              <w:rPr>
                <w:rFonts w:ascii="Arial" w:cs="Arial" w:eastAsia="Arial" w:hAnsi="Arial"/>
                <w:sz w:val="17"/>
                <w:szCs w:val="17"/>
                <w:color w:val="auto"/>
                <w:w w:val="89"/>
              </w:rPr>
              <w:t>100% of the equity being pledged to [</w:t>
            </w:r>
          </w:p>
        </w:tc>
        <w:tc>
          <w:tcPr>
            <w:tcW w:w="200" w:type="dxa"/>
            <w:vAlign w:val="bottom"/>
          </w:tcPr>
          <w:p>
            <w:pPr>
              <w:spacing w:after="0"/>
              <w:rPr>
                <w:sz w:val="19"/>
                <w:szCs w:val="19"/>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Wuhan Studyvip Online</w:t>
            </w:r>
          </w:p>
        </w:tc>
        <w:tc>
          <w:tcPr>
            <w:tcW w:w="20" w:type="dxa"/>
            <w:vAlign w:val="bottom"/>
          </w:tcPr>
          <w:p>
            <w:pPr>
              <w:spacing w:after="0"/>
              <w:rPr>
                <w:sz w:val="19"/>
                <w:szCs w:val="19"/>
                <w:color w:val="auto"/>
              </w:rPr>
            </w:pPr>
          </w:p>
        </w:tc>
      </w:tr>
      <w:tr>
        <w:trPr>
          <w:trHeight w:val="212"/>
        </w:trPr>
        <w:tc>
          <w:tcPr>
            <w:tcW w:w="1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3"/>
          </w:tcPr>
          <w:p>
            <w:pPr>
              <w:ind w:left="520"/>
              <w:spacing w:after="0"/>
              <w:rPr>
                <w:sz w:val="20"/>
                <w:szCs w:val="20"/>
                <w:color w:val="auto"/>
              </w:rPr>
            </w:pPr>
            <w:r>
              <w:rPr>
                <w:rFonts w:ascii="Arial" w:cs="Arial" w:eastAsia="Arial" w:hAnsi="Arial"/>
                <w:sz w:val="17"/>
                <w:szCs w:val="17"/>
                <w:color w:val="auto"/>
                <w:w w:val="90"/>
              </w:rPr>
              <w:t>Education Co., Limited</w:t>
            </w:r>
          </w:p>
        </w:tc>
        <w:tc>
          <w:tcPr>
            <w:tcW w:w="1480" w:type="dxa"/>
            <w:vAlign w:val="bottom"/>
          </w:tcPr>
          <w:p>
            <w:pPr>
              <w:jc w:val="right"/>
              <w:ind w:right="937"/>
              <w:spacing w:after="0"/>
              <w:rPr>
                <w:sz w:val="20"/>
                <w:szCs w:val="20"/>
                <w:color w:val="auto"/>
              </w:rPr>
            </w:pPr>
            <w:r>
              <w:rPr>
                <w:rFonts w:ascii="Arial" w:cs="Arial" w:eastAsia="Arial" w:hAnsi="Arial"/>
                <w:sz w:val="17"/>
                <w:szCs w:val="17"/>
                <w:color w:val="auto"/>
              </w:rPr>
              <w:t>]</w:t>
            </w: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660" w:type="dxa"/>
            <w:vAlign w:val="bottom"/>
            <w:tcBorders>
              <w:left w:val="single" w:sz="8" w:color="auto"/>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695"/>
        </w:trPr>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308" w:name="page309"/>
    <w:bookmarkEnd w:id="308"/>
    <w:p>
      <w:pPr>
        <w:spacing w:after="0"/>
        <w:rPr>
          <w:sz w:val="20"/>
          <w:szCs w:val="20"/>
          <w:color w:val="auto"/>
        </w:rPr>
      </w:pPr>
      <w:r>
        <w:rPr>
          <w:rFonts w:ascii="Arial" w:cs="Arial" w:eastAsia="Arial" w:hAnsi="Arial"/>
          <w:sz w:val="17"/>
          <w:szCs w:val="17"/>
          <w:b w:val="1"/>
          <w:bCs w:val="1"/>
          <w:color w:val="auto"/>
        </w:rPr>
        <w:t>Annotation:</w:t>
      </w:r>
    </w:p>
    <w:p>
      <w:pPr>
        <w:spacing w:after="0" w:line="166" w:lineRule="exact"/>
        <w:rPr>
          <w:sz w:val="20"/>
          <w:szCs w:val="20"/>
          <w:color w:val="auto"/>
        </w:rPr>
      </w:pPr>
    </w:p>
    <w:p>
      <w:pPr>
        <w:jc w:val="both"/>
        <w:ind w:right="240"/>
        <w:spacing w:after="0" w:line="280" w:lineRule="auto"/>
        <w:tabs>
          <w:tab w:leader="none" w:pos="166" w:val="left"/>
        </w:tabs>
        <w:numPr>
          <w:ilvl w:val="0"/>
          <w:numId w:val="329"/>
        </w:numPr>
        <w:rPr>
          <w:rFonts w:ascii="Arial" w:cs="Arial" w:eastAsia="Arial" w:hAnsi="Arial"/>
          <w:sz w:val="16"/>
          <w:szCs w:val="16"/>
          <w:b w:val="1"/>
          <w:bCs w:val="1"/>
          <w:color w:val="auto"/>
        </w:rPr>
      </w:pPr>
      <w:r>
        <w:rPr>
          <w:rFonts w:ascii="Arial" w:cs="Arial" w:eastAsia="Arial" w:hAnsi="Arial"/>
          <w:sz w:val="16"/>
          <w:szCs w:val="16"/>
          <w:b w:val="1"/>
          <w:bCs w:val="1"/>
          <w:color w:val="auto"/>
        </w:rPr>
        <w:t>This Shareholders’ Register is prepared as per the Articles of Association of Guangzhou Tianyong Online Education Technology Co., Ltd. and the Equity Interest Pledge Agreement (the “Pledge Agreement”) was made as of the 14</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day of September, 2020 and entered into by and among Guangzhou Tianyong Online Education Technology Co., Ltd. and its shareholders and Wuhan Studyvip Online Education Co., Limited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This Shareholders’ Register is made in ONE (1) original and ONE (1) true and same photocopy of such original. Such ONE (1) original is placed at Tianjin Shangde Online</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Education Technology Co., Ltd.; and such ONE (1) photocopy being sealed by Tianjin Shangde Online Education Technology Co., Ltd. is handed over to Wuhan Studyvip Online Education Co., Limited for custody.</w:t>
      </w:r>
    </w:p>
    <w:p>
      <w:pPr>
        <w:spacing w:after="0" w:line="135"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Guangzhou Tianyong Online Education Technology Co., Ltd. (Seal)</w:t>
      </w:r>
    </w:p>
    <w:p>
      <w:pPr>
        <w:spacing w:after="0" w:line="20" w:lineRule="exact"/>
        <w:rPr>
          <w:sz w:val="20"/>
          <w:szCs w:val="20"/>
          <w:color w:val="auto"/>
        </w:rPr>
      </w:pPr>
    </w:p>
    <w:p>
      <w:pPr>
        <w:spacing w:after="0"/>
        <w:tabs>
          <w:tab w:leader="none" w:pos="2820" w:val="left"/>
        </w:tabs>
        <w:rPr>
          <w:sz w:val="20"/>
          <w:szCs w:val="20"/>
          <w:color w:val="auto"/>
        </w:rPr>
      </w:pPr>
      <w:r>
        <w:rPr>
          <w:rFonts w:ascii="Arial" w:cs="Arial" w:eastAsia="Arial" w:hAnsi="Arial"/>
          <w:sz w:val="17"/>
          <w:szCs w:val="17"/>
          <w:color w:val="auto"/>
        </w:rPr>
        <w:t>Legal Representative (Signature):</w:t>
      </w:r>
      <w:r>
        <w:rPr>
          <w:sz w:val="20"/>
          <w:szCs w:val="20"/>
          <w:color w:val="auto"/>
        </w:rPr>
        <w:tab/>
      </w:r>
      <w:r>
        <w:rPr>
          <w:rFonts w:ascii="Arial" w:cs="Arial" w:eastAsia="Arial" w:hAnsi="Arial"/>
          <w:sz w:val="15"/>
          <w:szCs w:val="15"/>
          <w:color w:val="auto"/>
        </w:rPr>
        <w:t>/s/ JIAN Rongshan (Seal)</w:t>
      </w:r>
    </w:p>
    <w:p>
      <w:pPr>
        <w:sectPr>
          <w:pgSz w:w="11900" w:h="16838" w:orient="portrait"/>
          <w:cols w:equalWidth="0" w:num="1">
            <w:col w:w="11240"/>
          </w:cols>
          <w:pgMar w:left="320" w:top="322"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7"/>
          <w:szCs w:val="17"/>
          <w:b w:val="1"/>
          <w:bCs w:val="1"/>
          <w:color w:val="auto"/>
        </w:rPr>
        <w:t>Exhibit 4.38</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This Option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14</w:t>
      </w:r>
      <w:r>
        <w:rPr>
          <w:rFonts w:ascii="Arial" w:cs="Arial" w:eastAsia="Arial" w:hAnsi="Arial"/>
          <w:sz w:val="12"/>
          <w:szCs w:val="12"/>
          <w:color w:val="auto"/>
        </w:rPr>
        <w:t>th</w:t>
      </w:r>
      <w:r>
        <w:rPr>
          <w:rFonts w:ascii="Arial" w:cs="Arial" w:eastAsia="Arial" w:hAnsi="Arial"/>
          <w:sz w:val="15"/>
          <w:szCs w:val="15"/>
          <w:color w:val="auto"/>
        </w:rPr>
        <w:t xml:space="preserve"> day of September, 2020 in Beijing, the People’s Republic of China (“</w:t>
      </w:r>
      <w:r>
        <w:rPr>
          <w:rFonts w:ascii="Arial" w:cs="Arial" w:eastAsia="Arial" w:hAnsi="Arial"/>
          <w:sz w:val="15"/>
          <w:szCs w:val="15"/>
          <w:b w:val="1"/>
          <w:bCs w:val="1"/>
          <w:color w:val="auto"/>
        </w:rPr>
        <w:t>PRC</w:t>
      </w:r>
      <w:r>
        <w:rPr>
          <w:rFonts w:ascii="Arial" w:cs="Arial" w:eastAsia="Arial" w:hAnsi="Arial"/>
          <w:sz w:val="15"/>
          <w:szCs w:val="15"/>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Guangzhou Tianyong Online Education Technology Co., Ltd.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No. 104 (even), No. 90-96, Kexue grand avenue, Huangpu District, Guangzhou,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JIAN Rongshan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32" w:lineRule="exact"/>
        <w:rPr>
          <w:sz w:val="20"/>
          <w:szCs w:val="20"/>
          <w:color w:val="auto"/>
        </w:rPr>
      </w:pPr>
    </w:p>
    <w:p>
      <w:pPr>
        <w:ind w:left="420" w:hanging="420"/>
        <w:spacing w:after="0"/>
        <w:tabs>
          <w:tab w:leader="none" w:pos="4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Party A is a wholly foreign-owned enterprise incorporated and existing under the laws of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Party C is a limited liability company incorporated and existing under the laws of the PRC.</w:t>
      </w:r>
    </w:p>
    <w:p>
      <w:pPr>
        <w:spacing w:after="0" w:line="199" w:lineRule="exact"/>
        <w:rPr>
          <w:rFonts w:ascii="Arial" w:cs="Arial" w:eastAsia="Arial" w:hAnsi="Arial"/>
          <w:sz w:val="17"/>
          <w:szCs w:val="17"/>
          <w:color w:val="auto"/>
        </w:rPr>
      </w:pPr>
    </w:p>
    <w:p>
      <w:pPr>
        <w:ind w:left="420" w:hanging="420"/>
        <w:spacing w:after="0"/>
        <w:tabs>
          <w:tab w:leader="none" w:pos="4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Party B (“</w:t>
      </w:r>
      <w:r>
        <w:rPr>
          <w:rFonts w:ascii="Arial" w:cs="Arial" w:eastAsia="Arial" w:hAnsi="Arial"/>
          <w:sz w:val="17"/>
          <w:szCs w:val="17"/>
          <w:b w:val="1"/>
          <w:bCs w:val="1"/>
          <w:color w:val="auto"/>
        </w:rPr>
        <w:t>Grantors</w:t>
      </w:r>
      <w:r>
        <w:rPr>
          <w:rFonts w:ascii="Arial" w:cs="Arial" w:eastAsia="Arial" w:hAnsi="Arial"/>
          <w:sz w:val="17"/>
          <w:szCs w:val="17"/>
          <w:color w:val="auto"/>
        </w:rPr>
        <w:t>”) directly hold their interests in Party C, and the shareholdings are shown in Annex II hereto.</w:t>
      </w:r>
    </w:p>
    <w:p>
      <w:pPr>
        <w:spacing w:after="0" w:line="206" w:lineRule="exact"/>
        <w:rPr>
          <w:rFonts w:ascii="Arial" w:cs="Arial" w:eastAsia="Arial" w:hAnsi="Arial"/>
          <w:sz w:val="17"/>
          <w:szCs w:val="17"/>
          <w:color w:val="auto"/>
        </w:rPr>
      </w:pPr>
    </w:p>
    <w:p>
      <w:pPr>
        <w:ind w:left="420" w:hanging="420"/>
        <w:spacing w:after="0"/>
        <w:tabs>
          <w:tab w:leader="none" w:pos="4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Parties hereto signed the Equity Pledge Agreement on the14</w:t>
      </w:r>
      <w:r>
        <w:rPr>
          <w:rFonts w:ascii="Arial" w:cs="Arial" w:eastAsia="Arial" w:hAnsi="Arial"/>
          <w:sz w:val="14"/>
          <w:szCs w:val="14"/>
          <w:color w:val="auto"/>
        </w:rPr>
        <w:t>th</w:t>
      </w:r>
      <w:r>
        <w:rPr>
          <w:rFonts w:ascii="Arial" w:cs="Arial" w:eastAsia="Arial" w:hAnsi="Arial"/>
          <w:sz w:val="17"/>
          <w:szCs w:val="17"/>
          <w:color w:val="auto"/>
        </w:rPr>
        <w:t xml:space="preserve"> day of September, 2020.</w:t>
      </w:r>
    </w:p>
    <w:p>
      <w:pPr>
        <w:spacing w:after="0" w:line="203" w:lineRule="exact"/>
        <w:rPr>
          <w:rFonts w:ascii="Arial" w:cs="Arial" w:eastAsia="Arial" w:hAnsi="Arial"/>
          <w:sz w:val="17"/>
          <w:szCs w:val="17"/>
          <w:color w:val="auto"/>
        </w:rPr>
      </w:pPr>
    </w:p>
    <w:p>
      <w:pPr>
        <w:ind w:left="420" w:hanging="420"/>
        <w:spacing w:after="0" w:line="264" w:lineRule="auto"/>
        <w:tabs>
          <w:tab w:leader="none" w:pos="4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Party B intends to grant Party A or its designated qualified subject an exclusive option to purchase all or part of the shares/assets of Party C held by any or all of Grantors at any time subject to compliance with the requirements of Chinese laws.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Therefore, this Agreement is entered into by and among the Parties as follows:</w:t>
      </w:r>
    </w:p>
    <w:p>
      <w:pPr>
        <w:spacing w:after="0" w:line="199" w:lineRule="exact"/>
        <w:rPr>
          <w:sz w:val="20"/>
          <w:szCs w:val="20"/>
          <w:color w:val="auto"/>
        </w:rPr>
      </w:pPr>
    </w:p>
    <w:p>
      <w:pPr>
        <w:ind w:left="860" w:hanging="860"/>
        <w:spacing w:after="0"/>
        <w:tabs>
          <w:tab w:leader="none" w:pos="860"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color w:val="auto"/>
        </w:rPr>
        <w:t>Granting of the Option</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5"/>
          <w:szCs w:val="15"/>
          <w:color w:val="auto"/>
        </w:rPr>
        <w:t>Granting</w:t>
      </w:r>
    </w:p>
    <w:p>
      <w:pPr>
        <w:spacing w:after="0" w:line="203" w:lineRule="exact"/>
        <w:rPr>
          <w:sz w:val="20"/>
          <w:szCs w:val="20"/>
          <w:color w:val="auto"/>
        </w:rPr>
      </w:pPr>
    </w:p>
    <w:p>
      <w:pPr>
        <w:jc w:val="both"/>
        <w:ind w:left="1720"/>
        <w:spacing w:after="0" w:line="251" w:lineRule="auto"/>
        <w:rPr>
          <w:sz w:val="20"/>
          <w:szCs w:val="20"/>
          <w:color w:val="auto"/>
        </w:rPr>
      </w:pPr>
      <w:r>
        <w:rPr>
          <w:rFonts w:ascii="Arial" w:cs="Arial" w:eastAsia="Arial" w:hAnsi="Arial"/>
          <w:sz w:val="17"/>
          <w:szCs w:val="17"/>
          <w:color w:val="auto"/>
        </w:rPr>
        <w:t>Grantors agree that, on the date of signing this Agreement, they shall irrevocably grant Party A an option to purchase in installments or lump sum all their shares in Party C by Party A or its designated third party in such way of exercise as stipulated in Section 2.2 hereof. Such option shall be granted to Party A after this Agreement is signed by the Parties hereto and shall be irrevocable within the term of this Agreement once granted.</w:t>
      </w:r>
    </w:p>
    <w:p>
      <w:pPr>
        <w:spacing w:after="0" w:line="179"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3"/>
          <w:szCs w:val="13"/>
          <w:color w:val="auto"/>
        </w:rPr>
        <w:t>Term</w:t>
      </w:r>
    </w:p>
    <w:p>
      <w:pPr>
        <w:spacing w:after="0" w:line="203" w:lineRule="exact"/>
        <w:rPr>
          <w:sz w:val="20"/>
          <w:szCs w:val="20"/>
          <w:color w:val="auto"/>
        </w:rPr>
      </w:pPr>
    </w:p>
    <w:p>
      <w:pPr>
        <w:jc w:val="both"/>
        <w:ind w:left="1720"/>
        <w:spacing w:after="0" w:line="264" w:lineRule="auto"/>
        <w:rPr>
          <w:sz w:val="20"/>
          <w:szCs w:val="20"/>
          <w:color w:val="auto"/>
        </w:rPr>
      </w:pPr>
      <w:r>
        <w:rPr>
          <w:rFonts w:ascii="Arial" w:cs="Arial" w:eastAsia="Arial" w:hAnsi="Arial"/>
          <w:sz w:val="17"/>
          <w:szCs w:val="17"/>
          <w:color w:val="auto"/>
        </w:rPr>
        <w:t>This Agreement shall take effect after being signed and/or sealed by the parties hereto, and shall not be terminated until Party A acquires all shares of Party C held by Grantors subject to the applicable laws of the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184390" cy="412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0" w:name="page311"/>
    <w:bookmarkEnd w:id="310"/>
    <w:p>
      <w:pPr>
        <w:ind w:left="860" w:hanging="860"/>
        <w:spacing w:after="0"/>
        <w:tabs>
          <w:tab w:leader="none" w:pos="860" w:val="left"/>
        </w:tabs>
        <w:numPr>
          <w:ilvl w:val="0"/>
          <w:numId w:val="332"/>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Option and Delivery</w:t>
      </w:r>
    </w:p>
    <w:p>
      <w:pPr>
        <w:spacing w:after="0" w:line="203"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3"/>
          <w:szCs w:val="13"/>
          <w:b w:val="1"/>
          <w:bCs w:val="1"/>
          <w:color w:val="auto"/>
        </w:rPr>
        <w:t>Time of Exercise</w:t>
      </w:r>
    </w:p>
    <w:p>
      <w:pPr>
        <w:spacing w:after="0" w:line="207"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Grantors unanimously agree that Party A may exercise the option in whole or in part at any time within the term of this Agreement subject to the applicable laws of the PRC;</w:t>
      </w:r>
    </w:p>
    <w:p>
      <w:pPr>
        <w:spacing w:after="0" w:line="168"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Grantors unanimously agree that there shall not be any restrictions on number of Party A’s exercise unless Party A has acquired all shares of Party C; and</w:t>
      </w:r>
    </w:p>
    <w:p>
      <w:pPr>
        <w:spacing w:after="0" w:line="168"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Grantors unanimously agree that Party A may designate any third party to exercise the option, provided that Party A shall inform in writing Grantors of such designation in advance.</w:t>
      </w:r>
    </w:p>
    <w:p>
      <w:pPr>
        <w:spacing w:after="0" w:line="16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3"/>
          <w:szCs w:val="13"/>
          <w:color w:val="auto"/>
        </w:rPr>
        <w:t>Exercise Consideration</w:t>
      </w:r>
    </w:p>
    <w:p>
      <w:pPr>
        <w:spacing w:after="0" w:line="203" w:lineRule="exact"/>
        <w:rPr>
          <w:sz w:val="20"/>
          <w:szCs w:val="20"/>
          <w:color w:val="auto"/>
        </w:rPr>
      </w:pPr>
    </w:p>
    <w:p>
      <w:pPr>
        <w:jc w:val="both"/>
        <w:ind w:left="1720"/>
        <w:spacing w:after="0" w:line="254" w:lineRule="auto"/>
        <w:rPr>
          <w:sz w:val="20"/>
          <w:szCs w:val="20"/>
          <w:color w:val="auto"/>
        </w:rPr>
      </w:pPr>
      <w:r>
        <w:rPr>
          <w:rFonts w:ascii="Arial" w:cs="Arial" w:eastAsia="Arial" w:hAnsi="Arial"/>
          <w:sz w:val="17"/>
          <w:szCs w:val="17"/>
          <w:color w:val="auto"/>
        </w:rPr>
        <w:t>Unless otherwise agreed by the Parties hereto, Grantors unanimously agree that, when Party A or its designated third party exercises the option, all exercise considerations obtained by Grantors therefor shall be immediately given to Party A or its designated third party free of charge.</w:t>
      </w:r>
    </w:p>
    <w:p>
      <w:pPr>
        <w:spacing w:after="0" w:line="17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Transfer</w:t>
      </w:r>
    </w:p>
    <w:p>
      <w:pPr>
        <w:spacing w:after="0" w:line="203" w:lineRule="exact"/>
        <w:rPr>
          <w:sz w:val="20"/>
          <w:szCs w:val="20"/>
          <w:color w:val="auto"/>
        </w:rPr>
      </w:pPr>
    </w:p>
    <w:p>
      <w:pPr>
        <w:jc w:val="both"/>
        <w:ind w:left="1720"/>
        <w:spacing w:after="0" w:line="251" w:lineRule="auto"/>
        <w:rPr>
          <w:sz w:val="20"/>
          <w:szCs w:val="20"/>
          <w:color w:val="auto"/>
        </w:rPr>
      </w:pPr>
      <w:r>
        <w:rPr>
          <w:rFonts w:ascii="Arial" w:cs="Arial" w:eastAsia="Arial" w:hAnsi="Arial"/>
          <w:sz w:val="17"/>
          <w:szCs w:val="17"/>
          <w:color w:val="auto"/>
        </w:rPr>
        <w:t>Grantors unanimously agree that Party A may transfer its option under this Agreement to any third party in whole or in part without separate approval of Grantors, and such transferees shall be deemed to be a party to this Agreement and may exercise the option according to this Agreement in respect of the share of the option acquired by it and shall enjoy and bear all of Party A’s rights and obligations under this Agreement.</w:t>
      </w:r>
    </w:p>
    <w:p>
      <w:pPr>
        <w:spacing w:after="0" w:line="179"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Notice on Exercise</w:t>
      </w:r>
    </w:p>
    <w:p>
      <w:pPr>
        <w:spacing w:after="0" w:line="203"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If Party A exercises the option hereunder, it shall notify in writing Grantors of such exercise Ten (10) working days prior to the delivery date (as defined below), and such notice shall specify the following terms:</w:t>
      </w:r>
    </w:p>
    <w:p>
      <w:pPr>
        <w:spacing w:after="0" w:line="164" w:lineRule="exact"/>
        <w:rPr>
          <w:sz w:val="20"/>
          <w:szCs w:val="20"/>
          <w:color w:val="auto"/>
        </w:rPr>
      </w:pPr>
    </w:p>
    <w:p>
      <w:pPr>
        <w:jc w:val="both"/>
        <w:ind w:left="3460" w:hanging="869"/>
        <w:spacing w:after="0" w:line="257" w:lineRule="auto"/>
        <w:tabs>
          <w:tab w:leader="none" w:pos="34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Effective delivery date (“</w:t>
      </w:r>
      <w:r>
        <w:rPr>
          <w:rFonts w:ascii="Arial" w:cs="Arial" w:eastAsia="Arial" w:hAnsi="Arial"/>
          <w:sz w:val="17"/>
          <w:szCs w:val="17"/>
          <w:b w:val="1"/>
          <w:bCs w:val="1"/>
          <w:color w:val="auto"/>
        </w:rPr>
        <w:t>Delivery Date</w:t>
      </w:r>
      <w:r>
        <w:rPr>
          <w:rFonts w:ascii="Arial" w:cs="Arial" w:eastAsia="Arial" w:hAnsi="Arial"/>
          <w:sz w:val="17"/>
          <w:szCs w:val="17"/>
          <w:color w:val="auto"/>
        </w:rPr>
        <w:t>”) of the shares after the option is exercised, namely the date on which a formal application for share change registration is filed to the relevant administrative department of industry and commerce;</w:t>
      </w:r>
    </w:p>
    <w:p>
      <w:pPr>
        <w:spacing w:after="0" w:line="173" w:lineRule="exact"/>
        <w:rPr>
          <w:rFonts w:ascii="Arial" w:cs="Arial" w:eastAsia="Arial" w:hAnsi="Arial"/>
          <w:sz w:val="17"/>
          <w:szCs w:val="17"/>
          <w:color w:val="auto"/>
        </w:rPr>
      </w:pPr>
    </w:p>
    <w:p>
      <w:pPr>
        <w:ind w:left="3460" w:hanging="869"/>
        <w:spacing w:after="0"/>
        <w:tabs>
          <w:tab w:leader="none" w:pos="34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Name of the registered holder of the shares after the option is exercised;</w:t>
      </w:r>
    </w:p>
    <w:p>
      <w:pPr>
        <w:spacing w:after="0" w:line="203" w:lineRule="exact"/>
        <w:rPr>
          <w:rFonts w:ascii="Arial" w:cs="Arial" w:eastAsia="Arial" w:hAnsi="Arial"/>
          <w:sz w:val="17"/>
          <w:szCs w:val="17"/>
          <w:color w:val="auto"/>
        </w:rPr>
      </w:pPr>
    </w:p>
    <w:p>
      <w:pPr>
        <w:ind w:left="3460" w:hanging="869"/>
        <w:spacing w:after="0"/>
        <w:tabs>
          <w:tab w:leader="none" w:pos="34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Number of the shares purchased from Grantors;</w:t>
      </w:r>
    </w:p>
    <w:p>
      <w:pPr>
        <w:spacing w:after="0" w:line="203" w:lineRule="exact"/>
        <w:rPr>
          <w:rFonts w:ascii="Arial" w:cs="Arial" w:eastAsia="Arial" w:hAnsi="Arial"/>
          <w:sz w:val="17"/>
          <w:szCs w:val="17"/>
          <w:color w:val="auto"/>
        </w:rPr>
      </w:pPr>
    </w:p>
    <w:p>
      <w:pPr>
        <w:ind w:left="3460" w:hanging="869"/>
        <w:spacing w:after="0"/>
        <w:tabs>
          <w:tab w:leader="none" w:pos="34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Exercise consideration and its payment method; and</w:t>
      </w:r>
    </w:p>
    <w:p>
      <w:pPr>
        <w:spacing w:after="0" w:line="203" w:lineRule="exact"/>
        <w:rPr>
          <w:rFonts w:ascii="Arial" w:cs="Arial" w:eastAsia="Arial" w:hAnsi="Arial"/>
          <w:sz w:val="17"/>
          <w:szCs w:val="17"/>
          <w:color w:val="auto"/>
        </w:rPr>
      </w:pPr>
    </w:p>
    <w:p>
      <w:pPr>
        <w:ind w:left="3460" w:hanging="869"/>
        <w:spacing w:after="0"/>
        <w:tabs>
          <w:tab w:leader="none" w:pos="34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Power of attorney (if exercised by any third party on its behalf).</w:t>
      </w:r>
    </w:p>
    <w:p>
      <w:pPr>
        <w:spacing w:after="0" w:line="203" w:lineRule="exact"/>
        <w:rPr>
          <w:sz w:val="20"/>
          <w:szCs w:val="20"/>
          <w:color w:val="auto"/>
        </w:rPr>
      </w:pPr>
    </w:p>
    <w:p>
      <w:pPr>
        <w:jc w:val="both"/>
        <w:ind w:left="2580" w:hanging="858"/>
        <w:spacing w:after="0" w:line="272" w:lineRule="auto"/>
        <w:tabs>
          <w:tab w:leader="none" w:pos="256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6"/>
          <w:szCs w:val="16"/>
          <w:color w:val="auto"/>
        </w:rPr>
        <w:t>The Parties hereto agree that Party A may designate at any time any third party to exercise the option and acquire and register the shares in the name of such third party. Grantors agree that, as long as Party A or its designated third party requests to exercise the option, Grantors shall, within Ten (10) working days after receipt of a notice on exercise, sign a share transfer agreement and other relevant documents according to the notice on exercise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34925</wp:posOffset>
            </wp:positionV>
            <wp:extent cx="7184390" cy="412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11" w:name="page312"/>
    <w:bookmarkEnd w:id="311"/>
    <w:p>
      <w:pPr>
        <w:ind w:left="860"/>
        <w:spacing w:after="0"/>
        <w:tabs>
          <w:tab w:leader="none" w:pos="170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Transfer of Shares and Delivery</w:t>
      </w:r>
    </w:p>
    <w:p>
      <w:pPr>
        <w:spacing w:after="0" w:line="203" w:lineRule="exact"/>
        <w:rPr>
          <w:sz w:val="20"/>
          <w:szCs w:val="20"/>
          <w:color w:val="auto"/>
        </w:rPr>
      </w:pPr>
    </w:p>
    <w:p>
      <w:pPr>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Whenever Party A exercises the option, within Ten (10) working days from the date of receipt of a notice on exercise sent by Party A according to the Section 2.4 hereof;</w:t>
      </w:r>
    </w:p>
    <w:p>
      <w:pPr>
        <w:spacing w:after="0" w:line="168" w:lineRule="exact"/>
        <w:rPr>
          <w:sz w:val="20"/>
          <w:szCs w:val="20"/>
          <w:color w:val="auto"/>
        </w:rPr>
      </w:pPr>
    </w:p>
    <w:p>
      <w:pPr>
        <w:ind w:left="3460" w:hanging="869"/>
        <w:spacing w:after="0" w:line="332" w:lineRule="auto"/>
        <w:tabs>
          <w:tab w:leader="none" w:pos="3460" w:val="left"/>
        </w:tabs>
        <w:numPr>
          <w:ilvl w:val="1"/>
          <w:numId w:val="334"/>
        </w:numPr>
        <w:rPr>
          <w:rFonts w:ascii="Arial" w:cs="Arial" w:eastAsia="Arial" w:hAnsi="Arial"/>
          <w:sz w:val="15"/>
          <w:szCs w:val="15"/>
          <w:color w:val="auto"/>
        </w:rPr>
      </w:pPr>
      <w:r>
        <w:rPr>
          <w:rFonts w:ascii="Arial" w:cs="Arial" w:eastAsia="Arial" w:hAnsi="Arial"/>
          <w:sz w:val="15"/>
          <w:szCs w:val="15"/>
          <w:color w:val="auto"/>
        </w:rPr>
        <w:t>Grantors shall cause Party C to promptly hold a shareholders’ meeting at which a shareholder resolution on the approval of the transfer of shares by Grantors to Party A and/or its designated third party shall be adopted; and</w:t>
      </w:r>
    </w:p>
    <w:p>
      <w:pPr>
        <w:spacing w:after="0" w:line="120" w:lineRule="exact"/>
        <w:rPr>
          <w:rFonts w:ascii="Arial" w:cs="Arial" w:eastAsia="Arial" w:hAnsi="Arial"/>
          <w:sz w:val="15"/>
          <w:szCs w:val="15"/>
          <w:color w:val="auto"/>
        </w:rPr>
      </w:pPr>
    </w:p>
    <w:p>
      <w:pPr>
        <w:jc w:val="both"/>
        <w:ind w:left="3460" w:hanging="869"/>
        <w:spacing w:after="0" w:line="285" w:lineRule="auto"/>
        <w:tabs>
          <w:tab w:leader="none" w:pos="3460" w:val="left"/>
        </w:tabs>
        <w:numPr>
          <w:ilvl w:val="1"/>
          <w:numId w:val="334"/>
        </w:numPr>
        <w:rPr>
          <w:rFonts w:ascii="Arial" w:cs="Arial" w:eastAsia="Arial" w:hAnsi="Arial"/>
          <w:sz w:val="15"/>
          <w:szCs w:val="15"/>
          <w:color w:val="auto"/>
        </w:rPr>
      </w:pPr>
      <w:r>
        <w:rPr>
          <w:rFonts w:ascii="Arial" w:cs="Arial" w:eastAsia="Arial" w:hAnsi="Arial"/>
          <w:sz w:val="15"/>
          <w:szCs w:val="15"/>
          <w:color w:val="auto"/>
        </w:rPr>
        <w:t>Grantors shall sign all necessary contracts, agreements or documents, obtain all necessary government approvals and consents and take all necessary actions to transfer to Party A and/or its designated third party the ownership and all ancillary rights of the shares designated by Party A to be purchased without any security interests (other than the pledge under the Equity Pledge Agreement) and shall cause Party A and/or its designated third party to become the registered owner of the purchased shares and deliver to Party A and/or its designated third party the latest business license, articles of association, approval certificates (if applicable) and other relevant documents that are issued or registered by the relevant Chinese authorities, and such documents shall reflect any changes of Party C’s shares, directors and legal representative and other matters (if applicable).</w:t>
      </w:r>
    </w:p>
    <w:p>
      <w:pPr>
        <w:spacing w:after="0" w:line="151" w:lineRule="exact"/>
        <w:rPr>
          <w:rFonts w:ascii="Arial" w:cs="Arial" w:eastAsia="Arial" w:hAnsi="Arial"/>
          <w:sz w:val="15"/>
          <w:szCs w:val="15"/>
          <w:color w:val="auto"/>
        </w:rPr>
      </w:pPr>
    </w:p>
    <w:p>
      <w:pPr>
        <w:ind w:left="860" w:hanging="860"/>
        <w:spacing w:after="0"/>
        <w:tabs>
          <w:tab w:leader="none" w:pos="860"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and Undertakings</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Grantors jointly and severally make the following representations and warranties:</w:t>
      </w:r>
    </w:p>
    <w:p>
      <w:pPr>
        <w:spacing w:after="0" w:line="203" w:lineRule="exact"/>
        <w:rPr>
          <w:sz w:val="20"/>
          <w:szCs w:val="20"/>
          <w:color w:val="auto"/>
        </w:rPr>
      </w:pPr>
    </w:p>
    <w:p>
      <w:pPr>
        <w:jc w:val="both"/>
        <w:ind w:left="2580" w:hanging="858"/>
        <w:spacing w:after="0" w:line="291" w:lineRule="auto"/>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On the date of signing this Agreement and each Delivery Date, Grantors have the powers, rights, authority and ability to sign and deliver this Agreement and any share transfer agreement (hereinafter referred to as “</w:t>
      </w:r>
      <w:r>
        <w:rPr>
          <w:rFonts w:ascii="Arial" w:cs="Arial" w:eastAsia="Arial" w:hAnsi="Arial"/>
          <w:sz w:val="15"/>
          <w:szCs w:val="15"/>
          <w:b w:val="1"/>
          <w:bCs w:val="1"/>
          <w:color w:val="auto"/>
        </w:rPr>
        <w:t>Transfer Agreement</w:t>
      </w:r>
      <w:r>
        <w:rPr>
          <w:rFonts w:ascii="Arial" w:cs="Arial" w:eastAsia="Arial" w:hAnsi="Arial"/>
          <w:sz w:val="15"/>
          <w:szCs w:val="15"/>
          <w:color w:val="auto"/>
        </w:rPr>
        <w:t>”) signed by them as a party thereto for each share transfer according to this Agreement and to perform their obligations under this Agreement and any Transfer Agreement. This Agreement and any Transfer Agreement to which they are a party shall constitute their legal, effective and binding obligations that are enforceable on them according to the provisions thereof once signed.</w:t>
      </w:r>
    </w:p>
    <w:p>
      <w:pPr>
        <w:spacing w:after="0" w:line="150" w:lineRule="exact"/>
        <w:rPr>
          <w:sz w:val="20"/>
          <w:szCs w:val="20"/>
          <w:color w:val="auto"/>
        </w:rPr>
      </w:pPr>
    </w:p>
    <w:p>
      <w:pPr>
        <w:jc w:val="both"/>
        <w:ind w:left="2580" w:hanging="858"/>
        <w:spacing w:after="0" w:line="266"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No signing and delivery of this Agreement or any Transfer Agreement and no performance by Grantors of their obligations under this Agreement or any Transfer Agreement shall (i) result in any violation of any relevant laws and regulations of the PRC; (ii) conflict with the articles of association or other organizational documents; (iii) result in any breach of any binding agreements or instruments to which they are a party or constitute any breach of contract under any binding agreements or instruments to which they are a party; (iv) result in any breach of any licenses or approvals issued by the relevant competent government departments to them; or (v) cause any licenses or approvals issued by the relevant competent government departments to them to be suspended or revoked or attached with any conditions;</w:t>
      </w:r>
    </w:p>
    <w:p>
      <w:pPr>
        <w:spacing w:after="0" w:line="167"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There is no suit, arbitration or other judicial or administrative proceedings that are pending or may have a substantial impact on the performance of this Agreement or any Transfer Agreement.</w:t>
      </w:r>
    </w:p>
    <w:p>
      <w:pPr>
        <w:spacing w:after="0" w:line="168" w:lineRule="exact"/>
        <w:rPr>
          <w:sz w:val="20"/>
          <w:szCs w:val="20"/>
          <w:color w:val="auto"/>
        </w:rPr>
      </w:pPr>
    </w:p>
    <w:p>
      <w:pPr>
        <w:jc w:val="both"/>
        <w:ind w:left="2580" w:hanging="858"/>
        <w:spacing w:after="0" w:line="296" w:lineRule="auto"/>
        <w:tabs>
          <w:tab w:leader="none" w:pos="256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6"/>
          <w:szCs w:val="16"/>
          <w:color w:val="auto"/>
        </w:rPr>
        <w:t>Grantors have good and marketable ownership of all shares of Party C. There are no pledges, liabilities and other third party encumbrances on Party C’s shares held by Grantors other than the pledge under the Equity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149860</wp:posOffset>
            </wp:positionV>
            <wp:extent cx="7184390" cy="412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12" w:name="page313"/>
    <w:bookmarkEnd w:id="312"/>
    <w:p>
      <w:pPr>
        <w:jc w:val="both"/>
        <w:ind w:left="1720" w:hanging="858"/>
        <w:spacing w:after="0" w:line="264" w:lineRule="auto"/>
        <w:tabs>
          <w:tab w:leader="none" w:pos="170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color w:val="auto"/>
        </w:rPr>
        <w:t>Grantors have disclosed to Party A all circumstances that may have a material adverse effect on the performance of this Agreement.</w:t>
      </w:r>
    </w:p>
    <w:p>
      <w:pPr>
        <w:spacing w:after="0" w:line="168" w:lineRule="exact"/>
        <w:rPr>
          <w:sz w:val="20"/>
          <w:szCs w:val="20"/>
          <w:color w:val="auto"/>
        </w:rPr>
      </w:pPr>
    </w:p>
    <w:p>
      <w:pPr>
        <w:jc w:val="both"/>
        <w:ind w:left="1720" w:hanging="858"/>
        <w:spacing w:after="0" w:line="264" w:lineRule="auto"/>
        <w:tabs>
          <w:tab w:leader="none" w:pos="170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The option granted by Grantors to Party A is exclusive, and Grantors have not otherwise granted any third party any other options or similar rights before or when granting the option to Party A.</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Grantors jointly and severally make the following undertakings:</w:t>
      </w:r>
    </w:p>
    <w:p>
      <w:pPr>
        <w:spacing w:after="0" w:line="203" w:lineRule="exact"/>
        <w:rPr>
          <w:sz w:val="20"/>
          <w:szCs w:val="20"/>
          <w:color w:val="auto"/>
        </w:rPr>
      </w:pPr>
    </w:p>
    <w:p>
      <w:pPr>
        <w:jc w:val="both"/>
        <w:ind w:left="1720" w:hanging="858"/>
        <w:spacing w:after="0" w:line="304" w:lineRule="auto"/>
        <w:tabs>
          <w:tab w:leader="none" w:pos="17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Within the term of this Agreement, Grantors will not create any pledges, liabilities and any other third party encumbrances on Party C’s shares held by them other than those under the Equity Pledge Agreement separately signed by Grantors and Party A nor transfer, donate or otherwise dispose of any shares held by them to any third party other than the Parties to this Agreement.</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Within the term of this Agreement, Grantors will not otherwise grant any other options or similar rights to any third party.</w:t>
      </w:r>
    </w:p>
    <w:p>
      <w:pPr>
        <w:spacing w:after="0" w:line="203" w:lineRule="exact"/>
        <w:rPr>
          <w:sz w:val="20"/>
          <w:szCs w:val="20"/>
          <w:color w:val="auto"/>
        </w:rPr>
      </w:pPr>
    </w:p>
    <w:p>
      <w:pPr>
        <w:jc w:val="both"/>
        <w:ind w:left="1720" w:hanging="858"/>
        <w:spacing w:after="0" w:line="251" w:lineRule="auto"/>
        <w:tabs>
          <w:tab w:leader="none" w:pos="170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Within the term of this Agreement, Grantors will cause and ensure that the business carried out by Party C conforms to the applicable laws, regulations, rules and other management regulations and documents issued by the competent government departments and that there are no breach of the above provisions that results in a major adverse impact on the business or assets of the company.</w:t>
      </w:r>
    </w:p>
    <w:p>
      <w:pPr>
        <w:spacing w:after="0" w:line="179" w:lineRule="exact"/>
        <w:rPr>
          <w:sz w:val="20"/>
          <w:szCs w:val="20"/>
          <w:color w:val="auto"/>
        </w:rPr>
      </w:pPr>
    </w:p>
    <w:p>
      <w:pPr>
        <w:jc w:val="both"/>
        <w:ind w:left="1720" w:hanging="858"/>
        <w:spacing w:after="0" w:line="251" w:lineRule="auto"/>
        <w:tabs>
          <w:tab w:leader="none" w:pos="170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Grantors will maintain the valid existence of Party C in accordance with good financial and commercial standards and practices, operate their business and deal with affairs in a prudent and efficient manner, use their best efforts to obtain and maintain any permits, licenses and approvals necessary for Party C’s continuous operation and ensure that any such permits, licenses and approvals will not be canceled, withdrawn or declared null and void.</w:t>
      </w:r>
    </w:p>
    <w:p>
      <w:pPr>
        <w:spacing w:after="0" w:line="179"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5"/>
          <w:szCs w:val="15"/>
          <w:color w:val="auto"/>
        </w:rPr>
        <w:t>Grantors will provide Party A with all Party C’s operation and financial information at Party A’s request.</w:t>
      </w:r>
    </w:p>
    <w:p>
      <w:pPr>
        <w:spacing w:after="0" w:line="203"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5"/>
          <w:szCs w:val="15"/>
          <w:color w:val="auto"/>
        </w:rPr>
        <w:t>Except as expressly agreed by Party A (or its designated third party) in writing, before Party A (or its designated third party)</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exercises its option and obtains all of Party C’s shares or assets, Grantors shall not jointly or individually:</w:t>
      </w:r>
    </w:p>
    <w:p>
      <w:pPr>
        <w:spacing w:after="0" w:line="191" w:lineRule="exact"/>
        <w:rPr>
          <w:sz w:val="20"/>
          <w:szCs w:val="20"/>
          <w:color w:val="auto"/>
        </w:rPr>
      </w:pPr>
    </w:p>
    <w:p>
      <w:pPr>
        <w:jc w:val="both"/>
        <w:ind w:left="2600" w:hanging="869"/>
        <w:spacing w:after="0" w:line="249" w:lineRule="auto"/>
        <w:tabs>
          <w:tab w:leader="none" w:pos="260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Supplement or modify Party C’s constitutional documents in any form, and such supplements, alterations or modifications will have substantial adverse effects on any assets, responsibilities, operation, shares and other legal rights of Party C (excluding the same proportion of capital increase for the purpose of meeting the legal requirements) or may affect the effective performance of this Agreement and other agreements signed by Party A, Grantors and Party C.</w:t>
      </w:r>
    </w:p>
    <w:p>
      <w:pPr>
        <w:spacing w:after="0" w:line="181" w:lineRule="exact"/>
        <w:rPr>
          <w:rFonts w:ascii="Arial" w:cs="Arial" w:eastAsia="Arial" w:hAnsi="Arial"/>
          <w:sz w:val="17"/>
          <w:szCs w:val="17"/>
          <w:color w:val="auto"/>
        </w:rPr>
      </w:pPr>
    </w:p>
    <w:p>
      <w:pPr>
        <w:jc w:val="both"/>
        <w:ind w:left="2600" w:hanging="869"/>
        <w:spacing w:after="0" w:line="278" w:lineRule="auto"/>
        <w:tabs>
          <w:tab w:leader="none" w:pos="260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Cause Party C to enter into or do any transactions or acts (excluding those that arise in the ordinary or daily business course or have been disclosed to and agreed by Party A expressly in writing in advance) that will have materially adverse effects on its assets, liabilities, operation, shares and other legitimate rights.</w:t>
      </w:r>
    </w:p>
    <w:p>
      <w:pPr>
        <w:spacing w:after="0" w:line="157" w:lineRule="exact"/>
        <w:rPr>
          <w:rFonts w:ascii="Arial" w:cs="Arial" w:eastAsia="Arial" w:hAnsi="Arial"/>
          <w:sz w:val="16"/>
          <w:szCs w:val="16"/>
          <w:color w:val="auto"/>
        </w:rPr>
      </w:pPr>
    </w:p>
    <w:p>
      <w:pPr>
        <w:ind w:left="2600" w:hanging="869"/>
        <w:spacing w:after="0" w:line="264" w:lineRule="auto"/>
        <w:tabs>
          <w:tab w:leader="none" w:pos="260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Cause any resolutions on the distribution of dividends or bonuses to be adopted at the shareholders’ meeting of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165100</wp:posOffset>
            </wp:positionV>
            <wp:extent cx="7184390" cy="412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380"/>
          </w:cols>
          <w:pgMar w:left="1180" w:top="126" w:right="339" w:bottom="1440" w:gutter="0" w:footer="0" w:header="0"/>
        </w:sectPr>
      </w:pPr>
    </w:p>
    <w:bookmarkStart w:id="313" w:name="page314"/>
    <w:bookmarkEnd w:id="313"/>
    <w:p>
      <w:pPr>
        <w:ind w:left="2340" w:hanging="869"/>
        <w:spacing w:after="0" w:line="296" w:lineRule="auto"/>
        <w:tabs>
          <w:tab w:leader="none" w:pos="23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Sell, assign, mortgage or otherwise dispose of any legal or beneficial interests on Party C’s shares or allow to create any other security interests thereon at any time from the effective date of this Agreement.</w:t>
      </w:r>
    </w:p>
    <w:p>
      <w:pPr>
        <w:spacing w:after="0" w:line="144" w:lineRule="exact"/>
        <w:rPr>
          <w:rFonts w:ascii="Arial" w:cs="Arial" w:eastAsia="Arial" w:hAnsi="Arial"/>
          <w:sz w:val="16"/>
          <w:szCs w:val="16"/>
          <w:color w:val="auto"/>
        </w:rPr>
      </w:pPr>
    </w:p>
    <w:p>
      <w:pPr>
        <w:jc w:val="both"/>
        <w:ind w:left="2340" w:hanging="869"/>
        <w:spacing w:after="0" w:line="251" w:lineRule="auto"/>
        <w:tabs>
          <w:tab w:leader="none" w:pos="234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Cause any sales, transfer, mortgage or otherwise disposal of any legal or beneficial interests on shares to be approved at the shareholders’ meeting of Party C, or allow to create any other security interests thereon, or adopt a shareholder resolution on the increase or decrease of Party C’s registered capital or otherwise modify the structure of the registered capital.</w:t>
      </w:r>
    </w:p>
    <w:p>
      <w:pPr>
        <w:spacing w:after="0" w:line="178" w:lineRule="exact"/>
        <w:rPr>
          <w:rFonts w:ascii="Arial" w:cs="Arial" w:eastAsia="Arial" w:hAnsi="Arial"/>
          <w:sz w:val="17"/>
          <w:szCs w:val="17"/>
          <w:color w:val="auto"/>
        </w:rPr>
      </w:pPr>
    </w:p>
    <w:p>
      <w:pPr>
        <w:jc w:val="both"/>
        <w:ind w:left="2340" w:hanging="869"/>
        <w:spacing w:after="0" w:line="254" w:lineRule="auto"/>
        <w:tabs>
          <w:tab w:leader="none" w:pos="234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Cause any merger or association of Party C with any persons to be approved at the shareholders’ meeting of Party C, or acquire investments from any persons or make an investment to any persons, or carry out reorganization in any other form.</w:t>
      </w:r>
    </w:p>
    <w:p>
      <w:pPr>
        <w:spacing w:after="0" w:line="176" w:lineRule="exact"/>
        <w:rPr>
          <w:rFonts w:ascii="Arial" w:cs="Arial" w:eastAsia="Arial" w:hAnsi="Arial"/>
          <w:sz w:val="17"/>
          <w:szCs w:val="17"/>
          <w:color w:val="auto"/>
        </w:rPr>
      </w:pPr>
    </w:p>
    <w:p>
      <w:pPr>
        <w:ind w:left="2340" w:hanging="869"/>
        <w:spacing w:after="0" w:line="264" w:lineRule="auto"/>
        <w:tabs>
          <w:tab w:leader="none" w:pos="234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Cause any winding-up, liquidation or dissolution and other matters of Party C to be approved at the shareholders’ meeting of Party C.</w:t>
      </w:r>
    </w:p>
    <w:p>
      <w:pPr>
        <w:spacing w:after="0" w:line="168" w:lineRule="exact"/>
        <w:rPr>
          <w:sz w:val="20"/>
          <w:szCs w:val="20"/>
          <w:color w:val="auto"/>
        </w:rPr>
      </w:pPr>
    </w:p>
    <w:p>
      <w:pPr>
        <w:ind w:left="1460" w:hanging="858"/>
        <w:spacing w:after="0" w:line="264" w:lineRule="auto"/>
        <w:tabs>
          <w:tab w:leader="none" w:pos="1440" w:val="left"/>
        </w:tabs>
        <w:rPr>
          <w:sz w:val="20"/>
          <w:szCs w:val="20"/>
          <w:color w:val="auto"/>
        </w:rPr>
      </w:pPr>
      <w:r>
        <w:rPr>
          <w:rFonts w:ascii="Arial" w:cs="Arial" w:eastAsia="Arial" w:hAnsi="Arial"/>
          <w:sz w:val="17"/>
          <w:szCs w:val="17"/>
          <w:color w:val="auto"/>
        </w:rPr>
        <w:t>3.2.7</w:t>
      </w:r>
      <w:r>
        <w:rPr>
          <w:sz w:val="20"/>
          <w:szCs w:val="20"/>
          <w:color w:val="auto"/>
        </w:rPr>
        <w:tab/>
      </w:r>
      <w:r>
        <w:rPr>
          <w:rFonts w:ascii="Arial" w:cs="Arial" w:eastAsia="Arial" w:hAnsi="Arial"/>
          <w:sz w:val="17"/>
          <w:szCs w:val="17"/>
          <w:color w:val="auto"/>
        </w:rPr>
        <w:t>Before Party A (or its designated third party) exercises its option and obtains all of Party C’s shares or assets, Grantors undertake that:</w:t>
      </w:r>
    </w:p>
    <w:p>
      <w:pPr>
        <w:spacing w:after="0" w:line="168" w:lineRule="exact"/>
        <w:rPr>
          <w:sz w:val="20"/>
          <w:szCs w:val="20"/>
          <w:color w:val="auto"/>
        </w:rPr>
      </w:pPr>
    </w:p>
    <w:p>
      <w:pPr>
        <w:jc w:val="both"/>
        <w:ind w:left="2340" w:hanging="869"/>
        <w:spacing w:after="0" w:line="254" w:lineRule="auto"/>
        <w:tabs>
          <w:tab w:leader="none" w:pos="234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They will forthwith notify Party A in writing of any suits, arbitration or administrative proceedings that have arisen or may arise in relation to the shares owned by them or of any circumstances that may have any adverse effect on such shares.</w:t>
      </w:r>
    </w:p>
    <w:p>
      <w:pPr>
        <w:spacing w:after="0" w:line="176" w:lineRule="exact"/>
        <w:rPr>
          <w:rFonts w:ascii="Arial" w:cs="Arial" w:eastAsia="Arial" w:hAnsi="Arial"/>
          <w:sz w:val="17"/>
          <w:szCs w:val="17"/>
          <w:color w:val="auto"/>
        </w:rPr>
      </w:pPr>
    </w:p>
    <w:p>
      <w:pPr>
        <w:jc w:val="both"/>
        <w:ind w:left="2340" w:hanging="869"/>
        <w:spacing w:after="0" w:line="288" w:lineRule="auto"/>
        <w:tabs>
          <w:tab w:leader="none" w:pos="2340" w:val="left"/>
        </w:tabs>
        <w:numPr>
          <w:ilvl w:val="0"/>
          <w:numId w:val="338"/>
        </w:numPr>
        <w:rPr>
          <w:rFonts w:ascii="Arial" w:cs="Arial" w:eastAsia="Arial" w:hAnsi="Arial"/>
          <w:sz w:val="15"/>
          <w:szCs w:val="15"/>
          <w:color w:val="auto"/>
        </w:rPr>
      </w:pPr>
      <w:r>
        <w:rPr>
          <w:rFonts w:ascii="Arial" w:cs="Arial" w:eastAsia="Arial" w:hAnsi="Arial"/>
          <w:sz w:val="15"/>
          <w:szCs w:val="15"/>
          <w:color w:val="auto"/>
        </w:rPr>
        <w:t>They will cause the shareholders’ meeting of Party C to examine and approve the transfer of the purchased shares as specified in this Agreement, cause Party C to amend its articles of association so as to reflect any changes of Party C’s shares after Party A and/or its designated third party exercises the option according to this Agreement and other changes as set forth herein and immediately apply to the authorities of the PRC for approval (if required by law) and change of registration, and cause the shareholders’ meeting of Party C to approve and appoint such persons as designated by Party A and/or its designated third party as Party C’s director and legal representative (if necessary).</w:t>
      </w:r>
    </w:p>
    <w:p>
      <w:pPr>
        <w:spacing w:after="0" w:line="153" w:lineRule="exact"/>
        <w:rPr>
          <w:rFonts w:ascii="Arial" w:cs="Arial" w:eastAsia="Arial" w:hAnsi="Arial"/>
          <w:sz w:val="15"/>
          <w:szCs w:val="15"/>
          <w:color w:val="auto"/>
        </w:rPr>
      </w:pPr>
    </w:p>
    <w:p>
      <w:pPr>
        <w:jc w:val="both"/>
        <w:ind w:left="2340" w:hanging="869"/>
        <w:spacing w:after="0" w:line="251" w:lineRule="auto"/>
        <w:tabs>
          <w:tab w:leader="none" w:pos="234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Before Party A and/or its designated third party exercises the option, they will enter into all necessary or appropriate documents, take all necessary or appropriate actions and make all necessary or appropriate accusations or make all necessary and appropriate defenses for all claims in order to maintain their lawful and effective ownership over the appropriate shares.</w:t>
      </w:r>
    </w:p>
    <w:p>
      <w:pPr>
        <w:spacing w:after="0" w:line="178" w:lineRule="exact"/>
        <w:rPr>
          <w:rFonts w:ascii="Arial" w:cs="Arial" w:eastAsia="Arial" w:hAnsi="Arial"/>
          <w:sz w:val="17"/>
          <w:szCs w:val="17"/>
          <w:color w:val="auto"/>
        </w:rPr>
      </w:pPr>
    </w:p>
    <w:p>
      <w:pPr>
        <w:jc w:val="both"/>
        <w:ind w:left="2340" w:hanging="869"/>
        <w:spacing w:after="0" w:line="278" w:lineRule="auto"/>
        <w:tabs>
          <w:tab w:leader="none" w:pos="23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Upon Party A’s request at any time, they will unconditionally transfer their shares to Party A and/or its designated third party at the time specified by Party A and waive their right of first refusal against any other shareholders of Party C in respect of the above transfer of shares by them according to Party A’s instructions.</w:t>
      </w:r>
    </w:p>
    <w:p>
      <w:pPr>
        <w:spacing w:after="0" w:line="157" w:lineRule="exact"/>
        <w:rPr>
          <w:rFonts w:ascii="Arial" w:cs="Arial" w:eastAsia="Arial" w:hAnsi="Arial"/>
          <w:sz w:val="16"/>
          <w:szCs w:val="16"/>
          <w:color w:val="auto"/>
        </w:rPr>
      </w:pPr>
    </w:p>
    <w:p>
      <w:pPr>
        <w:jc w:val="both"/>
        <w:ind w:left="2340" w:hanging="869"/>
        <w:spacing w:after="0" w:line="254" w:lineRule="auto"/>
        <w:tabs>
          <w:tab w:leader="none" w:pos="234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They will strictly abide by this Agreement and other agreements jointly or severally entered into by and between Grantors and Party A, conscientiously perform their obligations under such agreements and will not do any acts/omissions that are likely to affect the validity and enforceability of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170815</wp:posOffset>
            </wp:positionV>
            <wp:extent cx="7184390" cy="412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314" w:name="page315"/>
    <w:bookmarkEnd w:id="314"/>
    <w:p>
      <w:pPr>
        <w:spacing w:after="0"/>
        <w:tabs>
          <w:tab w:leader="none" w:pos="8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Party C and Grantors hereby jointly and severally make the following representations, warranties and undertakings to Party A:</w:t>
      </w:r>
    </w:p>
    <w:p>
      <w:pPr>
        <w:spacing w:after="0" w:line="203" w:lineRule="exact"/>
        <w:rPr>
          <w:sz w:val="20"/>
          <w:szCs w:val="20"/>
          <w:color w:val="auto"/>
        </w:rPr>
      </w:pPr>
    </w:p>
    <w:p>
      <w:pPr>
        <w:ind w:left="1720" w:hanging="858"/>
        <w:spacing w:after="0" w:line="264" w:lineRule="auto"/>
        <w:tabs>
          <w:tab w:leader="none" w:pos="170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Except as agreed by Party A (or its designated third party) in writing, before Party A (or its designated third party) exercises its option and obtains all of Party C’s shares or interests, Party C shall not:</w:t>
      </w:r>
    </w:p>
    <w:p>
      <w:pPr>
        <w:spacing w:after="0" w:line="168" w:lineRule="exact"/>
        <w:rPr>
          <w:sz w:val="20"/>
          <w:szCs w:val="20"/>
          <w:color w:val="auto"/>
        </w:rPr>
      </w:pPr>
    </w:p>
    <w:p>
      <w:pPr>
        <w:jc w:val="both"/>
        <w:ind w:left="2600" w:hanging="869"/>
        <w:spacing w:after="0" w:line="254" w:lineRule="auto"/>
        <w:tabs>
          <w:tab w:leader="none" w:pos="260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Sell, assign, mortgage or otherwise dispose of any assets, business or incomes or allow to create any other security interests thereon (excluding those that arise in the ordinary or daily business course or have been disclosed to and agreed by Party A expressly in writing in advance);</w:t>
      </w:r>
    </w:p>
    <w:p>
      <w:pPr>
        <w:spacing w:after="0" w:line="176" w:lineRule="exact"/>
        <w:rPr>
          <w:rFonts w:ascii="Arial" w:cs="Arial" w:eastAsia="Arial" w:hAnsi="Arial"/>
          <w:sz w:val="17"/>
          <w:szCs w:val="17"/>
          <w:color w:val="auto"/>
        </w:rPr>
      </w:pPr>
    </w:p>
    <w:p>
      <w:pPr>
        <w:jc w:val="both"/>
        <w:ind w:left="2600" w:hanging="869"/>
        <w:spacing w:after="0" w:line="254" w:lineRule="auto"/>
        <w:tabs>
          <w:tab w:leader="none" w:pos="260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Enter into any transactions (excluding those that arise in the ordinary or daily business course or have been disclosed to and agreed by Party A expressly in writing in advance) that will or may have materially adverse effects on its assets, liabilities, operation, shares and other legitimate rights;</w:t>
      </w:r>
    </w:p>
    <w:p>
      <w:pPr>
        <w:spacing w:after="0" w:line="176" w:lineRule="exact"/>
        <w:rPr>
          <w:rFonts w:ascii="Arial" w:cs="Arial" w:eastAsia="Arial" w:hAnsi="Arial"/>
          <w:sz w:val="17"/>
          <w:szCs w:val="17"/>
          <w:color w:val="auto"/>
        </w:rPr>
      </w:pPr>
    </w:p>
    <w:p>
      <w:pPr>
        <w:ind w:left="2600" w:hanging="869"/>
        <w:spacing w:after="0"/>
        <w:tabs>
          <w:tab w:leader="none" w:pos="260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Distribute any dividends or bonuses to each shareholder in any form;</w:t>
      </w:r>
    </w:p>
    <w:p>
      <w:pPr>
        <w:spacing w:after="0" w:line="203" w:lineRule="exact"/>
        <w:rPr>
          <w:rFonts w:ascii="Arial" w:cs="Arial" w:eastAsia="Arial" w:hAnsi="Arial"/>
          <w:sz w:val="17"/>
          <w:szCs w:val="17"/>
          <w:color w:val="auto"/>
        </w:rPr>
      </w:pPr>
    </w:p>
    <w:p>
      <w:pPr>
        <w:jc w:val="both"/>
        <w:ind w:left="2600" w:hanging="869"/>
        <w:spacing w:after="0" w:line="254" w:lineRule="auto"/>
        <w:tabs>
          <w:tab w:leader="none" w:pos="260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Incur, inherit, guarantee or allow the existence of any debts other than (i) any debts that arise in the ordinary or daily business course rather than by borrowing, and (ii) any debts that have been disclosed to and agreed by Party A expressly in writing in advance;</w:t>
      </w:r>
    </w:p>
    <w:p>
      <w:pPr>
        <w:spacing w:after="0" w:line="176" w:lineRule="exact"/>
        <w:rPr>
          <w:rFonts w:ascii="Arial" w:cs="Arial" w:eastAsia="Arial" w:hAnsi="Arial"/>
          <w:sz w:val="17"/>
          <w:szCs w:val="17"/>
          <w:color w:val="auto"/>
        </w:rPr>
      </w:pPr>
    </w:p>
    <w:p>
      <w:pPr>
        <w:ind w:left="2600" w:hanging="869"/>
        <w:spacing w:after="0" w:line="332" w:lineRule="auto"/>
        <w:tabs>
          <w:tab w:leader="none" w:pos="2600" w:val="left"/>
        </w:tabs>
        <w:numPr>
          <w:ilvl w:val="0"/>
          <w:numId w:val="339"/>
        </w:numPr>
        <w:rPr>
          <w:rFonts w:ascii="Arial" w:cs="Arial" w:eastAsia="Arial" w:hAnsi="Arial"/>
          <w:sz w:val="15"/>
          <w:szCs w:val="15"/>
          <w:color w:val="auto"/>
        </w:rPr>
      </w:pPr>
      <w:r>
        <w:rPr>
          <w:rFonts w:ascii="Arial" w:cs="Arial" w:eastAsia="Arial" w:hAnsi="Arial"/>
          <w:sz w:val="15"/>
          <w:szCs w:val="15"/>
          <w:color w:val="auto"/>
        </w:rPr>
        <w:t>Sign any significant contracts other than those signed in the ordinary business course (for the purpose of this Article, if the amount under a contract is more than RMB50,000, such contract shall be deemed to be a significant contract);</w:t>
      </w:r>
    </w:p>
    <w:p>
      <w:pPr>
        <w:spacing w:after="0" w:line="120" w:lineRule="exact"/>
        <w:rPr>
          <w:rFonts w:ascii="Arial" w:cs="Arial" w:eastAsia="Arial" w:hAnsi="Arial"/>
          <w:sz w:val="15"/>
          <w:szCs w:val="15"/>
          <w:color w:val="auto"/>
        </w:rPr>
      </w:pPr>
    </w:p>
    <w:p>
      <w:pPr>
        <w:ind w:left="2600" w:hanging="869"/>
        <w:spacing w:after="0" w:line="264" w:lineRule="auto"/>
        <w:tabs>
          <w:tab w:leader="none" w:pos="260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Adopt a shareholder resolution on the increase or decrease of Party C’s registered capital or otherwise modify the structure of the registered capital;</w:t>
      </w:r>
    </w:p>
    <w:p>
      <w:pPr>
        <w:spacing w:after="0" w:line="167" w:lineRule="exact"/>
        <w:rPr>
          <w:rFonts w:ascii="Arial" w:cs="Arial" w:eastAsia="Arial" w:hAnsi="Arial"/>
          <w:sz w:val="17"/>
          <w:szCs w:val="17"/>
          <w:color w:val="auto"/>
        </w:rPr>
      </w:pPr>
    </w:p>
    <w:p>
      <w:pPr>
        <w:ind w:left="2600" w:hanging="869"/>
        <w:spacing w:after="0"/>
        <w:tabs>
          <w:tab w:leader="none" w:pos="260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Supplement, modify or amend Party C’s articles of association in any form; and</w:t>
      </w:r>
    </w:p>
    <w:p>
      <w:pPr>
        <w:spacing w:after="0" w:line="203" w:lineRule="exact"/>
        <w:rPr>
          <w:rFonts w:ascii="Arial" w:cs="Arial" w:eastAsia="Arial" w:hAnsi="Arial"/>
          <w:sz w:val="17"/>
          <w:szCs w:val="17"/>
          <w:color w:val="auto"/>
        </w:rPr>
      </w:pPr>
    </w:p>
    <w:p>
      <w:pPr>
        <w:ind w:left="2600" w:hanging="869"/>
        <w:spacing w:after="0" w:line="264" w:lineRule="auto"/>
        <w:tabs>
          <w:tab w:leader="none" w:pos="260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Enter into merge or association with any persons, or acquire investments from any persons or make an investment to any persons.</w:t>
      </w:r>
    </w:p>
    <w:p>
      <w:pPr>
        <w:spacing w:after="0" w:line="168" w:lineRule="exact"/>
        <w:rPr>
          <w:sz w:val="20"/>
          <w:szCs w:val="20"/>
          <w:color w:val="auto"/>
        </w:rPr>
      </w:pPr>
    </w:p>
    <w:p>
      <w:pPr>
        <w:jc w:val="both"/>
        <w:ind w:left="1720" w:hanging="858"/>
        <w:spacing w:after="0" w:line="332" w:lineRule="auto"/>
        <w:tabs>
          <w:tab w:leader="none" w:pos="170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5"/>
          <w:szCs w:val="15"/>
          <w:color w:val="auto"/>
        </w:rPr>
        <w:t>On the date of signing this Agreement and each Delivery Date, Party C has no outstanding debts other than (i) any debts arising in its ordinary business course; and (ii) any debts that have been disclosed to and agreed by Party A expressly in writing in advance.</w:t>
      </w:r>
    </w:p>
    <w:p>
      <w:pPr>
        <w:spacing w:after="0" w:line="121" w:lineRule="exact"/>
        <w:rPr>
          <w:sz w:val="20"/>
          <w:szCs w:val="20"/>
          <w:color w:val="auto"/>
        </w:rPr>
      </w:pPr>
    </w:p>
    <w:p>
      <w:pPr>
        <w:jc w:val="both"/>
        <w:ind w:left="1720" w:hanging="858"/>
        <w:spacing w:after="0" w:line="304" w:lineRule="auto"/>
        <w:tabs>
          <w:tab w:leader="none" w:pos="170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5"/>
          <w:szCs w:val="15"/>
          <w:color w:val="auto"/>
        </w:rPr>
        <w:t>On the date of signing this Agreement and each Delivery Date, there is no suit, arbitration or administrative proceedings that are ongoing or may occur in relation to the shares, Party C’s assets or that may have a substantial impact on the performance of this Agreement by Party C other than those that have been disclosed to and agreed by Party A expressly in writing in advance.</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3"/>
          <w:szCs w:val="13"/>
          <w:color w:val="auto"/>
        </w:rPr>
        <w:t>Party C has not been declared bankrupt.</w:t>
      </w:r>
    </w:p>
    <w:p>
      <w:pPr>
        <w:spacing w:after="0" w:line="203" w:lineRule="exact"/>
        <w:rPr>
          <w:sz w:val="20"/>
          <w:szCs w:val="20"/>
          <w:color w:val="auto"/>
        </w:rPr>
      </w:pPr>
    </w:p>
    <w:p>
      <w:pPr>
        <w:jc w:val="both"/>
        <w:ind w:left="1720" w:hanging="858"/>
        <w:spacing w:after="0" w:line="251" w:lineRule="auto"/>
        <w:tabs>
          <w:tab w:leader="none" w:pos="1700" w:val="left"/>
        </w:tabs>
        <w:rPr>
          <w:sz w:val="20"/>
          <w:szCs w:val="20"/>
          <w:color w:val="auto"/>
        </w:rPr>
      </w:pPr>
      <w:r>
        <w:rPr>
          <w:rFonts w:ascii="Arial" w:cs="Arial" w:eastAsia="Arial" w:hAnsi="Arial"/>
          <w:sz w:val="17"/>
          <w:szCs w:val="17"/>
          <w:color w:val="auto"/>
        </w:rPr>
        <w:t>3.3.5</w:t>
      </w:r>
      <w:r>
        <w:rPr>
          <w:sz w:val="20"/>
          <w:szCs w:val="20"/>
          <w:color w:val="auto"/>
        </w:rPr>
        <w:tab/>
      </w:r>
      <w:r>
        <w:rPr>
          <w:rFonts w:ascii="Arial" w:cs="Arial" w:eastAsia="Arial" w:hAnsi="Arial"/>
          <w:sz w:val="17"/>
          <w:szCs w:val="17"/>
          <w:color w:val="auto"/>
        </w:rPr>
        <w:t>Party C hereby undertakes to Party A that it will comply with all laws and regulations applicable to the acquisition of shares and assets within the term of this Agreement, bear all expenses arising out of the share transfer and handle all procedures necessary for enabling Party A or its designated third party to become Party C’s shareholder, including but not limited to assisting Party A in obtaining any necessary approvals in relation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45720</wp:posOffset>
            </wp:positionV>
            <wp:extent cx="7184390" cy="412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380"/>
          </w:cols>
          <w:pgMar w:left="1180" w:top="126" w:right="339" w:bottom="1440" w:gutter="0" w:footer="0" w:header="0"/>
        </w:sectPr>
      </w:pPr>
    </w:p>
    <w:bookmarkStart w:id="315" w:name="page316"/>
    <w:bookmarkEnd w:id="315"/>
    <w:p>
      <w:pPr>
        <w:ind w:left="2580"/>
        <w:spacing w:after="0" w:line="332" w:lineRule="auto"/>
        <w:rPr>
          <w:sz w:val="20"/>
          <w:szCs w:val="20"/>
          <w:color w:val="auto"/>
        </w:rPr>
      </w:pPr>
      <w:r>
        <w:rPr>
          <w:rFonts w:ascii="Arial" w:cs="Arial" w:eastAsia="Arial" w:hAnsi="Arial"/>
          <w:sz w:val="15"/>
          <w:szCs w:val="15"/>
          <w:color w:val="auto"/>
        </w:rPr>
        <w:t>share transfer from the approval authorities, submitting the relevant applications required for handling the share change registration to the competent administrative department of industry and commerce and amending the register of shareholders.</w:t>
      </w:r>
    </w:p>
    <w:p>
      <w:pPr>
        <w:spacing w:after="0" w:line="117" w:lineRule="exact"/>
        <w:rPr>
          <w:sz w:val="20"/>
          <w:szCs w:val="20"/>
          <w:color w:val="auto"/>
        </w:rPr>
      </w:pPr>
    </w:p>
    <w:p>
      <w:pPr>
        <w:ind w:left="860" w:hanging="860"/>
        <w:spacing w:after="0"/>
        <w:tabs>
          <w:tab w:leader="none" w:pos="860"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All taxes arising out of the performance of this Agreement shall be borne by Party C.</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color w:val="auto"/>
        </w:rPr>
        <w:t>Breach of Contract</w:t>
      </w:r>
    </w:p>
    <w:p>
      <w:pPr>
        <w:spacing w:after="0" w:line="207" w:lineRule="exact"/>
        <w:rPr>
          <w:rFonts w:ascii="Arial" w:cs="Arial" w:eastAsia="Arial" w:hAnsi="Arial"/>
          <w:sz w:val="17"/>
          <w:szCs w:val="17"/>
          <w:b w:val="1"/>
          <w:bCs w:val="1"/>
          <w:color w:val="auto"/>
        </w:rPr>
      </w:pPr>
    </w:p>
    <w:p>
      <w:pPr>
        <w:jc w:val="both"/>
        <w:ind w:left="860"/>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Except as otherwise stipulated herein, if any Party fails to fully perform or suspend the performance of its obligations under this Agreement and fails to correct such breach within Thirty (30) days from the date of receipt of a notice from the other Party, or any of its representations and warranties under this Agreement are untrue, inaccurate or misleading, such Party shall be deemed to have breached this Agreement.</w:t>
      </w:r>
    </w:p>
    <w:p>
      <w:pPr>
        <w:spacing w:after="0" w:line="157" w:lineRule="exact"/>
        <w:rPr>
          <w:rFonts w:ascii="Arial" w:cs="Arial" w:eastAsia="Arial" w:hAnsi="Arial"/>
          <w:sz w:val="17"/>
          <w:szCs w:val="17"/>
          <w:b w:val="1"/>
          <w:bCs w:val="1"/>
          <w:color w:val="auto"/>
        </w:rPr>
      </w:pPr>
    </w:p>
    <w:p>
      <w:pPr>
        <w:jc w:val="both"/>
        <w:ind w:left="860"/>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If any Party hereto breaches this Agreement or any of its representations and warranties under this Agreement, the non-breaching Party may notify in writing the breaching Party of correcting such breach within Ten (10) days from the date of receipt of a notice, taking appropriate measures to effectively and promptly avoid any damage and continuing to perform this Agreement. If any damage occurs, the breaching Party shall make compensation to the non-breaching Party so that the non-breaching Party can obtain all rights and interests that should have been obtained by it in the case of the performance of this Agreement</w:t>
      </w:r>
    </w:p>
    <w:p>
      <w:pPr>
        <w:spacing w:after="0" w:line="181" w:lineRule="exact"/>
        <w:rPr>
          <w:rFonts w:ascii="Arial" w:cs="Arial" w:eastAsia="Arial" w:hAnsi="Arial"/>
          <w:sz w:val="17"/>
          <w:szCs w:val="17"/>
          <w:b w:val="1"/>
          <w:bCs w:val="1"/>
          <w:color w:val="auto"/>
        </w:rPr>
      </w:pPr>
    </w:p>
    <w:p>
      <w:pPr>
        <w:ind w:left="8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If all of the Parties breach this Agreement, they shall determine the respective amount of compensation payable by them according to the degree of their respective breach.</w:t>
      </w:r>
    </w:p>
    <w:p>
      <w:pPr>
        <w:spacing w:after="0" w:line="163" w:lineRule="exact"/>
        <w:rPr>
          <w:rFonts w:ascii="Arial" w:cs="Arial" w:eastAsia="Arial" w:hAnsi="Arial"/>
          <w:sz w:val="17"/>
          <w:szCs w:val="17"/>
          <w:b w:val="1"/>
          <w:bCs w:val="1"/>
          <w:color w:val="auto"/>
        </w:rPr>
      </w:pPr>
    </w:p>
    <w:p>
      <w:pPr>
        <w:ind w:left="860" w:hanging="860"/>
        <w:spacing w:after="0"/>
        <w:tabs>
          <w:tab w:leader="none" w:pos="860"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Governing Law</w:t>
      </w:r>
    </w:p>
    <w:p>
      <w:pPr>
        <w:spacing w:after="0" w:line="20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203"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Arbitration</w:t>
      </w:r>
    </w:p>
    <w:p>
      <w:pPr>
        <w:spacing w:after="0" w:line="203" w:lineRule="exact"/>
        <w:rPr>
          <w:sz w:val="20"/>
          <w:szCs w:val="20"/>
          <w:color w:val="auto"/>
        </w:rPr>
      </w:pPr>
    </w:p>
    <w:p>
      <w:pPr>
        <w:jc w:val="both"/>
        <w:ind w:left="1720"/>
        <w:spacing w:after="0" w:line="267" w:lineRule="auto"/>
        <w:rPr>
          <w:sz w:val="20"/>
          <w:szCs w:val="20"/>
          <w:color w:val="auto"/>
        </w:rPr>
      </w:pPr>
      <w:r>
        <w:rPr>
          <w:rFonts w:ascii="Arial" w:cs="Arial" w:eastAsia="Arial" w:hAnsi="Arial"/>
          <w:sz w:val="16"/>
          <w:szCs w:val="16"/>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 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16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Continue to Perform</w:t>
      </w:r>
    </w:p>
    <w:p>
      <w:pPr>
        <w:spacing w:after="0" w:line="203" w:lineRule="exact"/>
        <w:rPr>
          <w:sz w:val="20"/>
          <w:szCs w:val="20"/>
          <w:color w:val="auto"/>
        </w:rPr>
      </w:pPr>
    </w:p>
    <w:p>
      <w:pPr>
        <w:jc w:val="both"/>
        <w:ind w:left="1720"/>
        <w:spacing w:after="0" w:line="264" w:lineRule="auto"/>
        <w:rPr>
          <w:sz w:val="20"/>
          <w:szCs w:val="20"/>
          <w:color w:val="auto"/>
        </w:rPr>
      </w:pP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64" w:lineRule="exact"/>
        <w:rPr>
          <w:sz w:val="20"/>
          <w:szCs w:val="20"/>
          <w:color w:val="auto"/>
        </w:rPr>
      </w:pPr>
    </w:p>
    <w:p>
      <w:pPr>
        <w:ind w:left="860" w:hanging="860"/>
        <w:spacing w:after="0"/>
        <w:tabs>
          <w:tab w:leader="none" w:pos="860" w:val="left"/>
        </w:tabs>
        <w:numPr>
          <w:ilvl w:val="0"/>
          <w:numId w:val="341"/>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Confidential Information</w:t>
      </w:r>
    </w:p>
    <w:p>
      <w:pPr>
        <w:spacing w:after="0" w:line="203" w:lineRule="exact"/>
        <w:rPr>
          <w:sz w:val="20"/>
          <w:szCs w:val="20"/>
          <w:color w:val="auto"/>
        </w:rPr>
      </w:pPr>
    </w:p>
    <w:p>
      <w:pPr>
        <w:jc w:val="both"/>
        <w:ind w:left="1720"/>
        <w:spacing w:after="0" w:line="254" w:lineRule="auto"/>
        <w:rPr>
          <w:sz w:val="20"/>
          <w:szCs w:val="20"/>
          <w:color w:val="auto"/>
        </w:rPr>
      </w:pPr>
      <w:r>
        <w:rPr>
          <w:rFonts w:ascii="Arial" w:cs="Arial" w:eastAsia="Arial" w:hAnsi="Arial"/>
          <w:sz w:val="17"/>
          <w:szCs w:val="17"/>
          <w:color w:val="auto"/>
        </w:rPr>
        <w:t>Any contents of this Agreement and its annexes shall be kept confidential. Any Party shall not disclose to any third party any information contained herein (unless they obtain the prior written consent of the Parties hereto). These provisions hereof shall survive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170815</wp:posOffset>
            </wp:positionV>
            <wp:extent cx="7184390" cy="412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6" w:name="page317"/>
    <w:bookmarkEnd w:id="316"/>
    <w:p>
      <w:pPr>
        <w:ind w:left="860"/>
        <w:spacing w:after="0"/>
        <w:tabs>
          <w:tab w:leader="none" w:pos="170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color w:val="auto"/>
        </w:rPr>
        <w:t>Exceptions</w:t>
      </w:r>
    </w:p>
    <w:p>
      <w:pPr>
        <w:spacing w:after="0" w:line="203" w:lineRule="exact"/>
        <w:rPr>
          <w:sz w:val="20"/>
          <w:szCs w:val="20"/>
          <w:color w:val="auto"/>
        </w:rPr>
      </w:pPr>
    </w:p>
    <w:p>
      <w:pPr>
        <w:ind w:left="1720"/>
        <w:spacing w:after="0" w:line="264" w:lineRule="auto"/>
        <w:rPr>
          <w:sz w:val="20"/>
          <w:szCs w:val="20"/>
          <w:color w:val="auto"/>
        </w:rPr>
      </w:pPr>
      <w:r>
        <w:rPr>
          <w:rFonts w:ascii="Arial" w:cs="Arial" w:eastAsia="Arial" w:hAnsi="Arial"/>
          <w:sz w:val="17"/>
          <w:szCs w:val="17"/>
          <w:color w:val="auto"/>
        </w:rPr>
        <w:t>Any disclosure of any confidential information required by the laws, court judgments, arbitral awards and decisions of governmental authorities shall not constitute a breach of the Section 7.1 above.</w:t>
      </w:r>
    </w:p>
    <w:p>
      <w:pPr>
        <w:spacing w:after="0" w:line="164" w:lineRule="exact"/>
        <w:rPr>
          <w:sz w:val="20"/>
          <w:szCs w:val="20"/>
          <w:color w:val="auto"/>
        </w:rPr>
      </w:pPr>
    </w:p>
    <w:p>
      <w:pPr>
        <w:ind w:left="860" w:hanging="860"/>
        <w:spacing w:after="0"/>
        <w:tabs>
          <w:tab w:leader="none" w:pos="860" w:val="left"/>
        </w:tabs>
        <w:numPr>
          <w:ilvl w:val="0"/>
          <w:numId w:val="342"/>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Entire Agreement</w:t>
      </w:r>
    </w:p>
    <w:p>
      <w:pPr>
        <w:spacing w:after="0" w:line="203" w:lineRule="exact"/>
        <w:rPr>
          <w:sz w:val="20"/>
          <w:szCs w:val="20"/>
          <w:color w:val="auto"/>
        </w:rPr>
      </w:pPr>
    </w:p>
    <w:p>
      <w:pPr>
        <w:jc w:val="both"/>
        <w:ind w:left="1720"/>
        <w:spacing w:after="0" w:line="251" w:lineRule="auto"/>
        <w:rPr>
          <w:sz w:val="20"/>
          <w:szCs w:val="20"/>
          <w:color w:val="auto"/>
        </w:rPr>
      </w:pPr>
      <w:r>
        <w:rPr>
          <w:rFonts w:ascii="Arial" w:cs="Arial" w:eastAsia="Arial" w:hAnsi="Arial"/>
          <w:sz w:val="17"/>
          <w:szCs w:val="17"/>
          <w:color w:val="auto"/>
        </w:rPr>
        <w:t>This Agreement shall constitute an entire agreement among the Parties hereto in respect of the matters involved herein. In case of any discrepancies between any prior discussions, negotiations and agreement and this Agreement, this Agreement shall prevail. This Agreement shall be amended by the Parties in writing. Any annexes hereto shall form an integral part of this Agreement and be equally authentic as this Agreement.</w:t>
      </w:r>
    </w:p>
    <w:p>
      <w:pPr>
        <w:spacing w:after="0" w:line="179"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3"/>
          <w:szCs w:val="13"/>
          <w:color w:val="auto"/>
        </w:rPr>
        <w:t>Notices</w:t>
      </w:r>
    </w:p>
    <w:p>
      <w:pPr>
        <w:spacing w:after="0" w:line="203" w:lineRule="exact"/>
        <w:rPr>
          <w:sz w:val="20"/>
          <w:szCs w:val="20"/>
          <w:color w:val="auto"/>
        </w:rPr>
      </w:pPr>
    </w:p>
    <w:p>
      <w:pPr>
        <w:jc w:val="both"/>
        <w:ind w:left="2580" w:hanging="858"/>
        <w:spacing w:after="0" w:line="254" w:lineRule="auto"/>
        <w:tabs>
          <w:tab w:leader="none" w:pos="2560" w:val="left"/>
        </w:tabs>
        <w:rPr>
          <w:sz w:val="20"/>
          <w:szCs w:val="20"/>
          <w:color w:val="auto"/>
        </w:rPr>
      </w:pPr>
      <w:r>
        <w:rPr>
          <w:rFonts w:ascii="Arial" w:cs="Arial" w:eastAsia="Arial" w:hAnsi="Arial"/>
          <w:sz w:val="17"/>
          <w:szCs w:val="17"/>
          <w:color w:val="auto"/>
        </w:rPr>
        <w:t>8.2.1</w:t>
      </w:r>
      <w:r>
        <w:rPr>
          <w:sz w:val="20"/>
          <w:szCs w:val="20"/>
          <w:color w:val="auto"/>
        </w:rPr>
        <w:tab/>
      </w: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372"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left="2060" w:right="1640"/>
        <w:spacing w:after="0" w:line="252" w:lineRule="auto"/>
        <w:rPr>
          <w:sz w:val="20"/>
          <w:szCs w:val="20"/>
          <w:color w:val="auto"/>
        </w:rPr>
      </w:pPr>
      <w:r>
        <w:rPr>
          <w:rFonts w:ascii="Arial" w:cs="Arial" w:eastAsia="Arial" w:hAnsi="Arial"/>
          <w:sz w:val="17"/>
          <w:szCs w:val="17"/>
          <w:color w:val="auto"/>
        </w:rPr>
        <w:t>Address: No. 36 Courtyard, Chuangyuan Road, Building No. 6, Laiguangying, Chaoyang District, Beijing, China Tel.:</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Attn.: LIU Tongbo</w:t>
      </w:r>
    </w:p>
    <w:p>
      <w:pPr>
        <w:spacing w:after="0" w:line="187"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Party B and Party C</w:t>
      </w:r>
      <w:r>
        <w:rPr>
          <w:rFonts w:ascii="Arial" w:cs="Arial" w:eastAsia="Arial" w:hAnsi="Arial"/>
          <w:sz w:val="17"/>
          <w:szCs w:val="17"/>
          <w:color w:val="auto"/>
        </w:rPr>
        <w:t>:</w:t>
      </w:r>
    </w:p>
    <w:p>
      <w:pPr>
        <w:spacing w:after="0" w:line="207" w:lineRule="exact"/>
        <w:rPr>
          <w:sz w:val="20"/>
          <w:szCs w:val="20"/>
          <w:color w:val="auto"/>
        </w:rPr>
      </w:pPr>
    </w:p>
    <w:p>
      <w:pPr>
        <w:ind w:left="2060" w:right="2340"/>
        <w:spacing w:after="0" w:line="252" w:lineRule="auto"/>
        <w:rPr>
          <w:sz w:val="20"/>
          <w:szCs w:val="20"/>
          <w:color w:val="auto"/>
        </w:rPr>
      </w:pPr>
      <w:r>
        <w:rPr>
          <w:rFonts w:ascii="Arial" w:cs="Arial" w:eastAsia="Arial" w:hAnsi="Arial"/>
          <w:sz w:val="17"/>
          <w:szCs w:val="17"/>
          <w:color w:val="auto"/>
        </w:rPr>
        <w:t>Address: Room No. 104 (even), No. 90-96, Kexue grand avenue, Huangpu District, Guangzhou, China Tel.:</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Attn.: JIAN Rongshan</w:t>
      </w:r>
    </w:p>
    <w:p>
      <w:pPr>
        <w:spacing w:after="0" w:line="191"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3"/>
          <w:szCs w:val="13"/>
          <w:color w:val="auto"/>
        </w:rPr>
        <w:t>All notices and correspondences shall be deemed to have been delivered under the following circumstances:</w:t>
      </w:r>
    </w:p>
    <w:p>
      <w:pPr>
        <w:spacing w:after="0" w:line="203" w:lineRule="exact"/>
        <w:rPr>
          <w:sz w:val="20"/>
          <w:szCs w:val="20"/>
          <w:color w:val="auto"/>
        </w:rPr>
      </w:pPr>
    </w:p>
    <w:p>
      <w:pPr>
        <w:jc w:val="both"/>
        <w:ind w:left="3460" w:hanging="869"/>
        <w:spacing w:after="0" w:line="254" w:lineRule="auto"/>
        <w:tabs>
          <w:tab w:leader="none" w:pos="346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If delivered by fax, the date displayed on the fax machine shall be the date of delivery, provided that, when such notices sent by fax are delivered later than 5:00 p.m. or on any non-working day in the place of delivery, the working day following the date displayed shall be the date of delivery;</w:t>
      </w:r>
    </w:p>
    <w:p>
      <w:pPr>
        <w:spacing w:after="0" w:line="176" w:lineRule="exact"/>
        <w:rPr>
          <w:rFonts w:ascii="Arial" w:cs="Arial" w:eastAsia="Arial" w:hAnsi="Arial"/>
          <w:sz w:val="17"/>
          <w:szCs w:val="17"/>
          <w:color w:val="auto"/>
        </w:rPr>
      </w:pPr>
    </w:p>
    <w:p>
      <w:pPr>
        <w:ind w:left="3460" w:hanging="869"/>
        <w:spacing w:after="0" w:line="264" w:lineRule="auto"/>
        <w:tabs>
          <w:tab w:leader="none" w:pos="346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If delivered by personal delivery (including by express mail service), the date of signing for such notices shall be the date of delivery; and</w:t>
      </w:r>
    </w:p>
    <w:p>
      <w:pPr>
        <w:spacing w:after="0" w:line="167" w:lineRule="exact"/>
        <w:rPr>
          <w:rFonts w:ascii="Arial" w:cs="Arial" w:eastAsia="Arial" w:hAnsi="Arial"/>
          <w:sz w:val="17"/>
          <w:szCs w:val="17"/>
          <w:color w:val="auto"/>
        </w:rPr>
      </w:pPr>
    </w:p>
    <w:p>
      <w:pPr>
        <w:ind w:left="3460" w:hanging="869"/>
        <w:spacing w:after="0" w:line="265" w:lineRule="auto"/>
        <w:tabs>
          <w:tab w:leader="none" w:pos="346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If delivered by registered mail, the Fifteenth (15</w:t>
      </w:r>
      <w:r>
        <w:rPr>
          <w:rFonts w:ascii="Arial" w:cs="Arial" w:eastAsia="Arial" w:hAnsi="Arial"/>
          <w:sz w:val="14"/>
          <w:szCs w:val="14"/>
          <w:color w:val="auto"/>
        </w:rPr>
        <w:t>th</w:t>
      </w:r>
      <w:r>
        <w:rPr>
          <w:rFonts w:ascii="Arial" w:cs="Arial" w:eastAsia="Arial" w:hAnsi="Arial"/>
          <w:sz w:val="17"/>
          <w:szCs w:val="17"/>
          <w:color w:val="auto"/>
        </w:rPr>
        <w:t>) day following the date shown in the return receipt of such registered mail shall be the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164465</wp:posOffset>
            </wp:positionV>
            <wp:extent cx="7184390" cy="412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7" w:name="page318"/>
    <w:bookmarkEnd w:id="317"/>
    <w:p>
      <w:pPr>
        <w:ind w:left="860"/>
        <w:spacing w:after="0"/>
        <w:tabs>
          <w:tab w:leader="none" w:pos="1700" w:val="left"/>
        </w:tabs>
        <w:rPr>
          <w:sz w:val="20"/>
          <w:szCs w:val="20"/>
          <w:color w:val="auto"/>
        </w:rPr>
      </w:pPr>
      <w:r>
        <w:rPr>
          <w:rFonts w:ascii="Arial" w:cs="Arial" w:eastAsia="Arial" w:hAnsi="Arial"/>
          <w:sz w:val="17"/>
          <w:szCs w:val="17"/>
          <w:color w:val="auto"/>
        </w:rPr>
        <w:t>8.2.3</w:t>
      </w:r>
      <w:r>
        <w:rPr>
          <w:sz w:val="20"/>
          <w:szCs w:val="20"/>
          <w:color w:val="auto"/>
        </w:rPr>
        <w:tab/>
      </w:r>
      <w:r>
        <w:rPr>
          <w:rFonts w:ascii="Arial" w:cs="Arial" w:eastAsia="Arial" w:hAnsi="Arial"/>
          <w:sz w:val="15"/>
          <w:szCs w:val="15"/>
          <w:color w:val="auto"/>
        </w:rPr>
        <w:t>Binding force</w:t>
      </w:r>
    </w:p>
    <w:p>
      <w:pPr>
        <w:spacing w:after="0" w:line="20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This Agreement shall be binding on the Parties hereto.</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3"/>
          <w:szCs w:val="13"/>
          <w:color w:val="auto"/>
        </w:rPr>
        <w:t>Language</w:t>
      </w:r>
    </w:p>
    <w:p>
      <w:pPr>
        <w:spacing w:after="0" w:line="20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This Agreement is written in Chinese and is executed in four (4) copies.</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color w:val="auto"/>
        </w:rPr>
        <w:t>Day and Working Day</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Day</w:t>
      </w:r>
      <w:r>
        <w:rPr>
          <w:rFonts w:ascii="Arial" w:cs="Arial" w:eastAsia="Arial" w:hAnsi="Arial"/>
          <w:sz w:val="17"/>
          <w:szCs w:val="17"/>
          <w:color w:val="auto"/>
        </w:rPr>
        <w:t>” referred to herein shall be the calendar day; “</w:t>
      </w:r>
      <w:r>
        <w:rPr>
          <w:rFonts w:ascii="Arial" w:cs="Arial" w:eastAsia="Arial" w:hAnsi="Arial"/>
          <w:sz w:val="17"/>
          <w:szCs w:val="17"/>
          <w:b w:val="1"/>
          <w:bCs w:val="1"/>
          <w:color w:val="auto"/>
        </w:rPr>
        <w:t>Working Day</w:t>
      </w:r>
      <w:r>
        <w:rPr>
          <w:rFonts w:ascii="Arial" w:cs="Arial" w:eastAsia="Arial" w:hAnsi="Arial"/>
          <w:sz w:val="17"/>
          <w:szCs w:val="17"/>
          <w:color w:val="auto"/>
        </w:rPr>
        <w:t>” referred to herein shall be any day from Monday to Friday.</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3"/>
          <w:szCs w:val="13"/>
          <w:color w:val="auto"/>
        </w:rPr>
        <w:t>Headings</w:t>
      </w:r>
    </w:p>
    <w:p>
      <w:pPr>
        <w:spacing w:after="0" w:line="20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headings hereunder are for reading convenience only and shall not be used for the interpretation of this Agreement.</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3"/>
          <w:szCs w:val="13"/>
          <w:color w:val="auto"/>
        </w:rPr>
        <w:t>Pending matters</w:t>
      </w:r>
    </w:p>
    <w:p>
      <w:pPr>
        <w:spacing w:after="0" w:line="20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Any matters not stipulated herein shall be resolved by the Parties hereto through friendly consultation in accordance with the laws of the PRC.</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Termination</w:t>
      </w:r>
    </w:p>
    <w:p>
      <w:pPr>
        <w:spacing w:after="0" w:line="203" w:lineRule="exact"/>
        <w:rPr>
          <w:sz w:val="20"/>
          <w:szCs w:val="20"/>
          <w:color w:val="auto"/>
        </w:rPr>
      </w:pPr>
    </w:p>
    <w:p>
      <w:pPr>
        <w:jc w:val="both"/>
        <w:ind w:left="860"/>
        <w:spacing w:after="0" w:line="278" w:lineRule="auto"/>
        <w:rPr>
          <w:sz w:val="20"/>
          <w:szCs w:val="20"/>
          <w:color w:val="auto"/>
        </w:rPr>
      </w:pPr>
      <w:r>
        <w:rPr>
          <w:rFonts w:ascii="Arial" w:cs="Arial" w:eastAsia="Arial" w:hAnsi="Arial"/>
          <w:sz w:val="16"/>
          <w:szCs w:val="16"/>
          <w:color w:val="auto"/>
        </w:rPr>
        <w:t>The Parties hereto acknowledge that, in case of any change of shareholding structure of Party C or any increase or decrease of shareholders, Party A, Party C and all existing shareholders of Party C shall re-sign this Agreement and that this Agreement shall be automatically terminated and become invalid from the effective date of the option agreement re-signed by the aforesaid Parties.</w:t>
      </w:r>
    </w:p>
    <w:p>
      <w:pPr>
        <w:spacing w:after="0" w:line="158"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187325</wp:posOffset>
            </wp:positionV>
            <wp:extent cx="7184390" cy="412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380"/>
          </w:cols>
          <w:pgMar w:left="1180" w:top="127" w:right="339" w:bottom="1440" w:gutter="0" w:footer="0" w:header="0"/>
        </w:sectPr>
      </w:pPr>
    </w:p>
    <w:bookmarkStart w:id="318" w:name="page319"/>
    <w:bookmarkEnd w:id="318"/>
    <w:p>
      <w:pPr>
        <w:jc w:val="right"/>
        <w:ind w:right="2579"/>
        <w:spacing w:after="0"/>
        <w:rPr>
          <w:sz w:val="20"/>
          <w:szCs w:val="20"/>
          <w:color w:val="auto"/>
        </w:rPr>
      </w:pPr>
      <w:r>
        <w:rPr>
          <w:rFonts w:ascii="Arial" w:cs="Arial" w:eastAsia="Arial" w:hAnsi="Arial"/>
          <w:sz w:val="17"/>
          <w:szCs w:val="17"/>
          <w:color w:val="auto"/>
        </w:rPr>
        <w:t>[This page is the signature page to the Option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JIAN Rongshan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JIAN Rongshan</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CHEN Baiyong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CHEN Baiyong</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JIAN Rongshan</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179705</wp:posOffset>
            </wp:positionV>
            <wp:extent cx="7184390" cy="412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319" w:name="page320"/>
    <w:bookmarkEnd w:id="319"/>
    <w:p>
      <w:pPr>
        <w:jc w:val="center"/>
        <w:ind w:right="40"/>
        <w:spacing w:after="0"/>
        <w:rPr>
          <w:sz w:val="20"/>
          <w:szCs w:val="20"/>
          <w:color w:val="auto"/>
        </w:rPr>
      </w:pPr>
      <w:r>
        <w:rPr>
          <w:rFonts w:ascii="Arial" w:cs="Arial" w:eastAsia="Arial" w:hAnsi="Arial"/>
          <w:sz w:val="17"/>
          <w:szCs w:val="17"/>
          <w:b w:val="1"/>
          <w:bCs w:val="1"/>
          <w:color w:val="auto"/>
        </w:rPr>
        <w:t>Annex I Party C’s Shareholders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40" w:type="dxa"/>
            <w:vAlign w:val="bottom"/>
            <w:tcBorders>
              <w:right w:val="single" w:sz="8" w:color="auto"/>
            </w:tcBorders>
          </w:tcPr>
          <w:p>
            <w:pPr>
              <w:spacing w:after="0"/>
              <w:rPr>
                <w:sz w:val="18"/>
                <w:szCs w:val="18"/>
                <w:color w:val="auto"/>
              </w:rPr>
            </w:pPr>
          </w:p>
        </w:tc>
        <w:tc>
          <w:tcPr>
            <w:tcW w:w="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Name of Shareholders</w:t>
            </w:r>
          </w:p>
        </w:tc>
        <w:tc>
          <w:tcPr>
            <w:tcW w:w="180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7"/>
                <w:szCs w:val="17"/>
                <w:color w:val="auto"/>
              </w:rPr>
              <w:t>ID Card No.</w:t>
            </w:r>
          </w:p>
        </w:tc>
        <w:tc>
          <w:tcPr>
            <w:tcW w:w="2840" w:type="dxa"/>
            <w:vAlign w:val="bottom"/>
          </w:tcPr>
          <w:p>
            <w:pPr>
              <w:spacing w:after="0"/>
              <w:rPr>
                <w:sz w:val="18"/>
                <w:szCs w:val="18"/>
                <w:color w:val="auto"/>
              </w:rPr>
            </w:pPr>
          </w:p>
        </w:tc>
      </w:tr>
      <w:tr>
        <w:trPr>
          <w:trHeight w:val="192"/>
        </w:trPr>
        <w:tc>
          <w:tcPr>
            <w:tcW w:w="2840" w:type="dxa"/>
            <w:vAlign w:val="bottom"/>
            <w:tcBorders>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33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JIAN Rongshan</w:t>
            </w:r>
          </w:p>
        </w:tc>
        <w:tc>
          <w:tcPr>
            <w:tcW w:w="1800" w:type="dxa"/>
            <w:vAlign w:val="bottom"/>
            <w:tcBorders>
              <w:bottom w:val="single" w:sz="8" w:color="auto"/>
              <w:right w:val="single" w:sz="8" w:color="auto"/>
            </w:tcBorders>
          </w:tcPr>
          <w:p>
            <w:pPr>
              <w:spacing w:after="0"/>
              <w:rPr>
                <w:sz w:val="16"/>
                <w:szCs w:val="16"/>
                <w:color w:val="auto"/>
              </w:rPr>
            </w:pPr>
          </w:p>
        </w:tc>
        <w:tc>
          <w:tcPr>
            <w:tcW w:w="2840" w:type="dxa"/>
            <w:vAlign w:val="bottom"/>
          </w:tcPr>
          <w:p>
            <w:pPr>
              <w:spacing w:after="0"/>
              <w:rPr>
                <w:sz w:val="16"/>
                <w:szCs w:val="16"/>
                <w:color w:val="auto"/>
              </w:rPr>
            </w:pPr>
          </w:p>
        </w:tc>
      </w:tr>
      <w:tr>
        <w:trPr>
          <w:trHeight w:val="192"/>
        </w:trPr>
        <w:tc>
          <w:tcPr>
            <w:tcW w:w="2840" w:type="dxa"/>
            <w:vAlign w:val="bottom"/>
            <w:tcBorders>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33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2"/>
              </w:rPr>
              <w:t>CHEN Baiyong</w:t>
            </w:r>
          </w:p>
        </w:tc>
        <w:tc>
          <w:tcPr>
            <w:tcW w:w="1800" w:type="dxa"/>
            <w:vAlign w:val="bottom"/>
            <w:tcBorders>
              <w:bottom w:val="single" w:sz="8" w:color="auto"/>
              <w:right w:val="single" w:sz="8" w:color="auto"/>
            </w:tcBorders>
          </w:tcPr>
          <w:p>
            <w:pPr>
              <w:spacing w:after="0"/>
              <w:rPr>
                <w:sz w:val="16"/>
                <w:szCs w:val="16"/>
                <w:color w:val="auto"/>
              </w:rPr>
            </w:pPr>
          </w:p>
        </w:tc>
        <w:tc>
          <w:tcPr>
            <w:tcW w:w="2840" w:type="dxa"/>
            <w:vAlign w:val="bottom"/>
          </w:tcPr>
          <w:p>
            <w:pPr>
              <w:spacing w:after="0"/>
              <w:rPr>
                <w:sz w:val="16"/>
                <w:szCs w:val="16"/>
                <w:color w:val="auto"/>
              </w:rPr>
            </w:pPr>
          </w:p>
        </w:tc>
      </w:tr>
      <w:tr>
        <w:trPr>
          <w:trHeight w:val="296"/>
        </w:trPr>
        <w:tc>
          <w:tcPr>
            <w:tcW w:w="2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7"/>
          <w:szCs w:val="17"/>
          <w:b w:val="1"/>
          <w:bCs w:val="1"/>
          <w:color w:val="auto"/>
        </w:rPr>
        <w:t>Annex II Party C’s Shareholding Structure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7"/>
                <w:szCs w:val="17"/>
                <w:color w:val="auto"/>
              </w:rPr>
              <w:t>Amount of Contribution (CNY</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10000)</w:t>
            </w: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72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JIAN Rongshan</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190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2"/>
              </w:rPr>
              <w:t>CHEN Baiyong</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Total</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200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7"/>
          <w:szCs w:val="17"/>
          <w:b w:val="1"/>
          <w:bCs w:val="1"/>
          <w:color w:val="auto"/>
        </w:rPr>
        <w:t>Exhibit 4.39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311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3" w:lineRule="exact"/>
        <w:rPr>
          <w:sz w:val="20"/>
          <w:szCs w:val="20"/>
          <w:color w:val="auto"/>
        </w:rPr>
      </w:pPr>
    </w:p>
    <w:p>
      <w:pPr>
        <w:jc w:val="both"/>
        <w:ind w:right="40"/>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Guangzhou Tianyong Online Education Technology Co., Ltd. (“</w:t>
      </w:r>
      <w:r>
        <w:rPr>
          <w:rFonts w:ascii="Arial" w:cs="Arial" w:eastAsia="Arial" w:hAnsi="Arial"/>
          <w:sz w:val="17"/>
          <w:szCs w:val="17"/>
          <w:b w:val="1"/>
          <w:bCs w:val="1"/>
          <w:color w:val="auto"/>
        </w:rPr>
        <w:t>Guangzhou Tianyong</w:t>
      </w:r>
      <w:r>
        <w:rPr>
          <w:rFonts w:ascii="Arial" w:cs="Arial" w:eastAsia="Arial" w:hAnsi="Arial"/>
          <w:sz w:val="17"/>
          <w:szCs w:val="17"/>
          <w:color w:val="auto"/>
        </w:rPr>
        <w:t>”) of any specific obligations required by them as the shareholders of Tianjin Shangde,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JIAN Rongshan, CHEN Baiyong,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Authorizers hereby irrevocably authorize to the maximum scope permitted by law Wuhan Studyvip Online Education Co., Limited ("</w:t>
      </w:r>
      <w:r>
        <w:rPr>
          <w:rFonts w:ascii="Arial" w:cs="Arial" w:eastAsia="Arial" w:hAnsi="Arial"/>
          <w:sz w:val="15"/>
          <w:szCs w:val="15"/>
          <w:b w:val="1"/>
          <w:bCs w:val="1"/>
          <w:color w:val="auto"/>
        </w:rPr>
        <w:t>WFOE</w:t>
      </w:r>
      <w:r>
        <w:rPr>
          <w:rFonts w:ascii="Arial" w:cs="Arial" w:eastAsia="Arial" w:hAnsi="Arial"/>
          <w:sz w:val="15"/>
          <w:szCs w:val="15"/>
          <w:color w:val="auto"/>
        </w:rPr>
        <w:t>") or its designated person or authorized representative (“</w:t>
      </w:r>
      <w:r>
        <w:rPr>
          <w:rFonts w:ascii="Arial" w:cs="Arial" w:eastAsia="Arial" w:hAnsi="Arial"/>
          <w:sz w:val="15"/>
          <w:szCs w:val="15"/>
          <w:b w:val="1"/>
          <w:bCs w:val="1"/>
          <w:color w:val="auto"/>
        </w:rPr>
        <w:t>Authorized Person</w:t>
      </w:r>
      <w:r>
        <w:rPr>
          <w:rFonts w:ascii="Arial" w:cs="Arial" w:eastAsia="Arial" w:hAnsi="Arial"/>
          <w:sz w:val="15"/>
          <w:szCs w:val="15"/>
          <w:color w:val="auto"/>
        </w:rPr>
        <w:t>”) to exercise all their shareholder rights corresponding to all voting shares (“</w:t>
      </w:r>
      <w:r>
        <w:rPr>
          <w:rFonts w:ascii="Arial" w:cs="Arial" w:eastAsia="Arial" w:hAnsi="Arial"/>
          <w:sz w:val="15"/>
          <w:szCs w:val="15"/>
          <w:b w:val="1"/>
          <w:bCs w:val="1"/>
          <w:color w:val="auto"/>
        </w:rPr>
        <w:t>Shares</w:t>
      </w:r>
      <w:r>
        <w:rPr>
          <w:rFonts w:ascii="Arial" w:cs="Arial" w:eastAsia="Arial" w:hAnsi="Arial"/>
          <w:sz w:val="15"/>
          <w:szCs w:val="15"/>
          <w:color w:val="auto"/>
        </w:rPr>
        <w:t>”) held by them in Guangzhou Tianyong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 (3) 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Guangzhou Tianyong at the meeting of shareholders of Guangzhou Tianyong.</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designated by the board of directors of the WFOE.</w:t>
      </w:r>
    </w:p>
    <w:p>
      <w:pPr>
        <w:spacing w:after="0" w:line="150"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Unless the Business Operation Agreement signed by Guangzhou Tianyong,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14</w:t>
      </w:r>
      <w:r>
        <w:rPr>
          <w:rFonts w:ascii="Arial" w:cs="Arial" w:eastAsia="Arial" w:hAnsi="Arial"/>
          <w:sz w:val="14"/>
          <w:szCs w:val="14"/>
          <w:color w:val="auto"/>
        </w:rPr>
        <w:t>th</w:t>
      </w:r>
      <w:r>
        <w:rPr>
          <w:rFonts w:ascii="Arial" w:cs="Arial" w:eastAsia="Arial" w:hAnsi="Arial"/>
          <w:sz w:val="17"/>
          <w:szCs w:val="17"/>
          <w:color w:val="auto"/>
        </w:rPr>
        <w:t xml:space="preserve"> day of September,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2" w:name="page323"/>
    <w:bookmarkEnd w:id="322"/>
    <w:p>
      <w:pPr>
        <w:spacing w:after="0"/>
        <w:rPr>
          <w:sz w:val="20"/>
          <w:szCs w:val="20"/>
          <w:color w:val="auto"/>
        </w:rPr>
      </w:pPr>
      <w:r>
        <w:rPr>
          <w:rFonts w:ascii="Arial" w:cs="Arial" w:eastAsia="Arial" w:hAnsi="Arial"/>
          <w:sz w:val="17"/>
          <w:szCs w:val="17"/>
          <w:b w:val="1"/>
          <w:bCs w:val="1"/>
          <w:color w:val="auto"/>
        </w:rPr>
        <w:t>Authorizers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JIAN Rongshan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Signature: /s/ JIAN Rongshan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-20955</wp:posOffset>
            </wp:positionV>
            <wp:extent cx="82867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828675" cy="762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CHEN Baiyong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CHEN Baiyong</w:t>
      </w:r>
    </w:p>
    <w:p>
      <w:pPr>
        <w:spacing w:after="0" w:line="390" w:lineRule="exact"/>
        <w:rPr>
          <w:sz w:val="20"/>
          <w:szCs w:val="20"/>
          <w:color w:val="auto"/>
        </w:rPr>
      </w:pPr>
    </w:p>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Studyvip Online Education Co., Limited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LIU Tongbo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Title: Authorized Representative</w:t>
      </w:r>
    </w:p>
    <w:p>
      <w:pPr>
        <w:sectPr>
          <w:pgSz w:w="11900" w:h="16838" w:orient="portrait"/>
          <w:cols w:equalWidth="0" w:num="1">
            <w:col w:w="10139"/>
          </w:cols>
          <w:pgMar w:left="320" w:top="123" w:right="1440"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Arial" w:cs="Arial" w:eastAsia="Arial" w:hAnsi="Arial"/>
                <w:sz w:val="17"/>
                <w:szCs w:val="17"/>
                <w:b w:val="1"/>
                <w:bCs w:val="1"/>
                <w:color w:val="auto"/>
              </w:rPr>
              <w:t>Exhibit 4.40</w:t>
            </w:r>
          </w:p>
        </w:tc>
      </w:tr>
      <w:tr>
        <w:trPr>
          <w:trHeight w:val="598"/>
        </w:trPr>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360" w:type="dxa"/>
            <w:vAlign w:val="bottom"/>
          </w:tcPr>
          <w:p>
            <w:pPr>
              <w:jc w:val="right"/>
              <w:ind w:right="4917"/>
              <w:spacing w:after="0"/>
              <w:rPr>
                <w:sz w:val="20"/>
                <w:szCs w:val="20"/>
                <w:color w:val="auto"/>
              </w:rPr>
            </w:pPr>
            <w:r>
              <w:rPr>
                <w:rFonts w:ascii="Arial" w:cs="Arial" w:eastAsia="Arial" w:hAnsi="Arial"/>
                <w:sz w:val="17"/>
                <w:szCs w:val="17"/>
                <w:b w:val="1"/>
                <w:bCs w:val="1"/>
                <w:color w:val="auto"/>
                <w:w w:val="90"/>
              </w:rPr>
              <w:t>Spousal Consents</w:t>
            </w:r>
          </w:p>
        </w:tc>
      </w:tr>
      <w:tr>
        <w:trPr>
          <w:trHeight w:val="382"/>
        </w:trPr>
        <w:tc>
          <w:tcPr>
            <w:tcW w:w="4880" w:type="dxa"/>
            <w:vAlign w:val="bottom"/>
            <w:gridSpan w:val="4"/>
          </w:tcPr>
          <w:p>
            <w:pPr>
              <w:spacing w:after="0"/>
              <w:rPr>
                <w:sz w:val="20"/>
                <w:szCs w:val="20"/>
                <w:color w:val="auto"/>
              </w:rPr>
            </w:pPr>
            <w:r>
              <w:rPr>
                <w:rFonts w:ascii="Arial" w:cs="Arial" w:eastAsia="Arial" w:hAnsi="Arial"/>
                <w:sz w:val="17"/>
                <w:szCs w:val="17"/>
                <w:color w:val="auto"/>
                <w:w w:val="93"/>
              </w:rPr>
              <w:t>I, LIU Jiamin, (Citizen of the People's Republic of China; ID Card No.:</w:t>
            </w:r>
          </w:p>
        </w:tc>
        <w:tc>
          <w:tcPr>
            <w:tcW w:w="6360" w:type="dxa"/>
            <w:vAlign w:val="bottom"/>
          </w:tcPr>
          <w:p>
            <w:pPr>
              <w:jc w:val="right"/>
              <w:spacing w:after="0"/>
              <w:rPr>
                <w:sz w:val="20"/>
                <w:szCs w:val="20"/>
                <w:color w:val="auto"/>
              </w:rPr>
            </w:pPr>
            <w:r>
              <w:rPr>
                <w:rFonts w:ascii="Arial" w:cs="Arial" w:eastAsia="Arial" w:hAnsi="Arial"/>
                <w:sz w:val="17"/>
                <w:szCs w:val="17"/>
                <w:color w:val="auto"/>
              </w:rPr>
              <w:t>), is the lawful spouse of CHEN Baiyong (Citizen of the People's Republic of China;</w:t>
            </w:r>
          </w:p>
        </w:tc>
      </w:tr>
      <w:tr>
        <w:trPr>
          <w:trHeight w:val="178"/>
        </w:trPr>
        <w:tc>
          <w:tcPr>
            <w:tcW w:w="1400" w:type="dxa"/>
            <w:vAlign w:val="bottom"/>
          </w:tcPr>
          <w:p>
            <w:pPr>
              <w:spacing w:after="0" w:line="179" w:lineRule="exact"/>
              <w:rPr>
                <w:sz w:val="20"/>
                <w:szCs w:val="20"/>
                <w:color w:val="auto"/>
              </w:rPr>
            </w:pPr>
            <w:r>
              <w:rPr>
                <w:rFonts w:ascii="Arial" w:cs="Arial" w:eastAsia="Arial" w:hAnsi="Arial"/>
                <w:sz w:val="17"/>
                <w:szCs w:val="17"/>
                <w:color w:val="auto"/>
              </w:rPr>
              <w:t>ID Card No.:</w:t>
            </w:r>
          </w:p>
        </w:tc>
        <w:tc>
          <w:tcPr>
            <w:tcW w:w="9840" w:type="dxa"/>
            <w:vAlign w:val="bottom"/>
            <w:gridSpan w:val="4"/>
          </w:tcPr>
          <w:p>
            <w:pPr>
              <w:jc w:val="right"/>
              <w:spacing w:after="0" w:line="179" w:lineRule="exact"/>
              <w:rPr>
                <w:sz w:val="20"/>
                <w:szCs w:val="20"/>
                <w:color w:val="auto"/>
              </w:rPr>
            </w:pPr>
            <w:r>
              <w:rPr>
                <w:rFonts w:ascii="Arial" w:cs="Arial" w:eastAsia="Arial" w:hAnsi="Arial"/>
                <w:sz w:val="17"/>
                <w:szCs w:val="17"/>
                <w:color w:val="auto"/>
                <w:w w:val="96"/>
              </w:rPr>
              <w:t>, the “</w:t>
            </w:r>
            <w:r>
              <w:rPr>
                <w:rFonts w:ascii="Arial" w:cs="Arial" w:eastAsia="Arial" w:hAnsi="Arial"/>
                <w:sz w:val="17"/>
                <w:szCs w:val="17"/>
                <w:b w:val="1"/>
                <w:bCs w:val="1"/>
                <w:color w:val="auto"/>
                <w:w w:val="96"/>
              </w:rPr>
              <w:t>My Spouse</w:t>
            </w:r>
            <w:r>
              <w:rPr>
                <w:rFonts w:ascii="Arial" w:cs="Arial" w:eastAsia="Arial" w:hAnsi="Arial"/>
                <w:sz w:val="17"/>
                <w:szCs w:val="17"/>
                <w:color w:val="auto"/>
                <w:w w:val="96"/>
              </w:rPr>
              <w:t>”). I hereby confirm and agree that the equity held by My Spouse presently and in the future (hereinafter referred to as</w:t>
            </w:r>
          </w:p>
        </w:tc>
      </w:tr>
      <w:tr>
        <w:trPr>
          <w:trHeight w:val="20"/>
        </w:trPr>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Equity and Interest</w:t>
      </w:r>
      <w:r>
        <w:rPr>
          <w:rFonts w:ascii="Arial" w:cs="Arial" w:eastAsia="Arial" w:hAnsi="Arial"/>
          <w:sz w:val="15"/>
          <w:szCs w:val="15"/>
          <w:color w:val="auto"/>
        </w:rPr>
        <w:t>”) is the personal property of My Spouse, do not form the common property of me and My Spouse and can be disposed solely by My Spouse: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Guangzhou Tianyong Online Education Technology Co., Ltd. (the “</w:t>
      </w:r>
      <w:r>
        <w:rPr>
          <w:rFonts w:ascii="Arial" w:cs="Arial" w:eastAsia="Arial" w:hAnsi="Arial"/>
          <w:sz w:val="17"/>
          <w:szCs w:val="17"/>
          <w:b w:val="1"/>
          <w:bCs w:val="1"/>
          <w:u w:val="single" w:color="auto"/>
          <w:color w:val="auto"/>
        </w:rPr>
        <w:t>Guangzhou Tianyong</w:t>
      </w:r>
      <w:r>
        <w:rPr>
          <w:rFonts w:ascii="Arial" w:cs="Arial" w:eastAsia="Arial" w:hAnsi="Arial"/>
          <w:sz w:val="17"/>
          <w:szCs w:val="17"/>
          <w:color w:val="auto"/>
        </w:rPr>
        <w: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Guangzhou Tianyong or affecting in any manner any decision made by My Spouse.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Guangzhou Tianyong and its shareholders and Wuhan Studyvip Online Education Co. Limited).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14</w:t>
      </w:r>
      <w:r>
        <w:rPr>
          <w:rFonts w:ascii="Arial" w:cs="Arial" w:eastAsia="Arial" w:hAnsi="Arial"/>
          <w:sz w:val="14"/>
          <w:szCs w:val="14"/>
          <w:color w:val="auto"/>
        </w:rPr>
        <w:t>th</w:t>
      </w:r>
      <w:r>
        <w:rPr>
          <w:rFonts w:ascii="Arial" w:cs="Arial" w:eastAsia="Arial" w:hAnsi="Arial"/>
          <w:sz w:val="17"/>
          <w:szCs w:val="17"/>
          <w:color w:val="auto"/>
        </w:rPr>
        <w:t xml:space="preserve"> day of September,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4" w:name="page325"/>
    <w:bookmarkEnd w:id="324"/>
    <w:p>
      <w:pPr>
        <w:jc w:val="right"/>
        <w:ind w:right="2619"/>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Jiamin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LIU Jiamin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CHEN Baiyong hereby agrees and accepts this Spousal Consents: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CHEN Baiyong</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CHEN Baiyong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Spousal Consents - Signature Page</w:t>
      </w:r>
    </w:p>
    <w:p>
      <w:pPr>
        <w:sectPr>
          <w:pgSz w:w="11900" w:h="16838" w:orient="portrait"/>
          <w:cols w:equalWidth="0" w:num="1">
            <w:col w:w="10139"/>
          </w:cols>
          <w:pgMar w:left="320" w:top="127" w:right="1440" w:bottom="1440" w:gutter="0" w:footer="0" w:header="0"/>
        </w:sectPr>
      </w:pPr>
    </w:p>
    <w:bookmarkStart w:id="325" w:name="page326"/>
    <w:bookmarkEnd w:id="325"/>
    <w:p>
      <w:pPr>
        <w:jc w:val="right"/>
        <w:spacing w:after="0"/>
        <w:rPr>
          <w:sz w:val="20"/>
          <w:szCs w:val="20"/>
          <w:color w:val="auto"/>
        </w:rPr>
      </w:pPr>
      <w:r>
        <w:rPr>
          <w:rFonts w:ascii="Arial" w:cs="Arial" w:eastAsia="Arial" w:hAnsi="Arial"/>
          <w:sz w:val="17"/>
          <w:szCs w:val="17"/>
          <w:b w:val="1"/>
          <w:bCs w:val="1"/>
          <w:color w:val="auto"/>
        </w:rPr>
        <w:t>Exhibit 4.41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Exclusive Technical Consultation and Service Agreement</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Exclusive Technical Consultation and Service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28th day of December,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r>
        <w:rPr>
          <w:rFonts w:ascii="Arial" w:cs="Arial" w:eastAsia="Arial" w:hAnsi="Arial"/>
          <w:sz w:val="17"/>
          <w:szCs w:val="17"/>
          <w:color w:val="auto"/>
        </w:rPr>
        <w:t>: Wuhan Fangtang Education Technology Co., Ltd.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Room 04, 3rd Floor, Building 3, Building 1, 2, 3, Contemporary China Venture Center, No. 20, Guannanyuan 1st Road, East Lake New Technology Development Zone, Wuhan (Wuhan Area, Free Trade Zone)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SHENG Heqiang</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420" w:hanging="420"/>
        <w:spacing w:after="0"/>
        <w:tabs>
          <w:tab w:leader="none" w:pos="42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ind w:left="420" w:hanging="420"/>
        <w:spacing w:after="0" w:line="264" w:lineRule="auto"/>
        <w:tabs>
          <w:tab w:leader="none" w:pos="42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Party A agrees to provide technical consultation and related services to Party B and Party B’s Subsidiaries, and Party B and Party B’s Subsidiaries agree to accept such technical consultation and related services provided by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184390" cy="412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6" w:name="page327"/>
    <w:bookmarkEnd w:id="326"/>
    <w:p>
      <w:pPr>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860" w:hanging="860"/>
        <w:spacing w:after="0"/>
        <w:tabs>
          <w:tab w:leader="none" w:pos="860" w:val="left"/>
        </w:tabs>
        <w:numPr>
          <w:ilvl w:val="0"/>
          <w:numId w:val="345"/>
        </w:numPr>
        <w:rPr>
          <w:rFonts w:ascii="Arial" w:cs="Arial" w:eastAsia="Arial" w:hAnsi="Arial"/>
          <w:sz w:val="17"/>
          <w:szCs w:val="17"/>
          <w:b w:val="1"/>
          <w:bCs w:val="1"/>
          <w:color w:val="auto"/>
        </w:rPr>
      </w:pPr>
      <w:r>
        <w:rPr>
          <w:rFonts w:ascii="Arial" w:cs="Arial" w:eastAsia="Arial" w:hAnsi="Arial"/>
          <w:sz w:val="17"/>
          <w:szCs w:val="17"/>
          <w:b w:val="1"/>
          <w:bCs w:val="1"/>
          <w:color w:val="auto"/>
        </w:rPr>
        <w:t>Technical Consultation and Services: Sole and Exclusive Rights and Interests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1.1</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Within the term of this Agreement, Party A agrees that it shall, as the exclusive technical consultation and services provider of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Party B’s Subsidiaries, provide Party B and Party B’s Subsidiaries with the relevant technical consultation and services (See Annex I for</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specific content) according to the terms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1.2</w:t>
            </w: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Party B and Party B’s Subsidiaries agree to accept the technical consultation and services provided by Party A within the term of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Agreement. In consideration of the value of the technical consultation and services provided by Party A and the good cooperative relationship</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among the Parties hereto, Party B and Party B’s Subsidiaries further agree that, unless they obtain the prior written consent of Party A, they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shall not accept any technical consultation and services provided by any third party in respect of the business scope involved herein within the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term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For all rights, titles, interests and intellectual property rights (including but not limited to any copyrights, patents, technical know-how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business secrets) arising out of the performance of this Agreement, whether developed by Party A or developed by Party B and Party B’s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Subsidiaries based on Party A’s intellectual property rights or developed by Party A based on any intellectual property rights of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Party B’s Subsidiaries, Party A shall enjoy any sole and exclusive rights and interests therein, and Party B and Party B’s Subsidiaries shall not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assert any rights, titles, interests and intellectual property rights to Party A.</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Provided that, if developed by Party A based on any intellectual property rights of Party B and Party B’s Subsidiaries, Party B and Party B’s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Subsidiaries shall ensure that such intellectual property rights are free from any defects, otherwise, any losses caused to Party A shall be borne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by Party B and Party B’s Subsidiaries. If Party A bear the compensation liability to any third party therefor, Party A shall have the right to</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recover all its losses from Party B and Party B’s Subsidiaries after Party A makes such compensation.</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consideration of the good cooperative relationship among the Parties hereto, Party B and Party B’s Subsidiaries undertake that, if they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intended to carry out any business cooperation with any other enterprises, they shall obtain the consent of Party A, and Party A or its affiliates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shall have the priority of cooperation under the same conditions.</w:t>
            </w:r>
          </w:p>
        </w:tc>
      </w:tr>
    </w:tbl>
    <w:p>
      <w:pPr>
        <w:spacing w:after="0" w:line="183" w:lineRule="exact"/>
        <w:rPr>
          <w:sz w:val="20"/>
          <w:szCs w:val="20"/>
          <w:color w:val="auto"/>
        </w:rPr>
      </w:pPr>
    </w:p>
    <w:p>
      <w:pPr>
        <w:ind w:left="860" w:hanging="860"/>
        <w:spacing w:after="0"/>
        <w:tabs>
          <w:tab w:leader="none" w:pos="860" w:val="left"/>
        </w:tabs>
        <w:numPr>
          <w:ilvl w:val="0"/>
          <w:numId w:val="346"/>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 and Payment of Technical Consultation and Service Fees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Service Fees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The Parties hereto agree that any Service Fees under this Agreement shall be determined and paid in such way as listed in Annex II hereto.</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If Party B and Party B’s Subsidiaries fail to pay any Service Fees and other expenses according to the provisions of this Agreement, Party B</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and Party B’s Subsidiaries shall separately pay to Party A a default fine on the basis of 0.05% of the amount owed per day.</w:t>
            </w:r>
          </w:p>
        </w:tc>
      </w:tr>
      <w:tr>
        <w:trPr>
          <w:trHeight w:val="38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2.3</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Party A shall have the right to assign its employees or certified public accountants of China or other countries (hereinafter referred to as “</w:t>
            </w:r>
            <w:r>
              <w:rPr>
                <w:rFonts w:ascii="Arial" w:cs="Arial" w:eastAsia="Arial" w:hAnsi="Arial"/>
                <w:sz w:val="17"/>
                <w:szCs w:val="17"/>
                <w:b w:val="1"/>
                <w:bCs w:val="1"/>
                <w:color w:val="auto"/>
                <w:w w:val="88"/>
              </w:rPr>
              <w:t>Party</w:t>
            </w:r>
          </w:p>
        </w:tc>
      </w:tr>
      <w:tr>
        <w:trPr>
          <w:trHeight w:val="203"/>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b w:val="1"/>
                <w:bCs w:val="1"/>
                <w:color w:val="auto"/>
                <w:w w:val="88"/>
              </w:rPr>
              <w:t>A’s Authorized Representative</w:t>
            </w:r>
            <w:r>
              <w:rPr>
                <w:rFonts w:ascii="Arial" w:cs="Arial" w:eastAsia="Arial" w:hAnsi="Arial"/>
                <w:sz w:val="17"/>
                <w:szCs w:val="17"/>
                <w:color w:val="auto"/>
                <w:w w:val="88"/>
              </w:rPr>
              <w:t>”) at its own expense to check the accounts of Party B and Party B’s Subsidiaries so as to audit the calculation</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method and amount of Service Fees. Therefore, Party B and Party B’s Subsidiaries shall provide Party A’s Authorized Representative with any</w:t>
            </w:r>
          </w:p>
        </w:tc>
      </w:tr>
    </w:tbl>
    <w:p>
      <w:pPr>
        <w:ind w:left="1720"/>
        <w:spacing w:after="0" w:line="279" w:lineRule="auto"/>
        <w:rPr>
          <w:sz w:val="20"/>
          <w:szCs w:val="20"/>
          <w:color w:val="auto"/>
        </w:rPr>
      </w:pPr>
      <w:r>
        <w:rPr>
          <w:rFonts w:ascii="Arial" w:cs="Arial" w:eastAsia="Arial" w:hAnsi="Arial"/>
          <w:sz w:val="16"/>
          <w:szCs w:val="16"/>
          <w:color w:val="auto"/>
        </w:rPr>
        <w:t>documents, accounts, records and data required by Party A’s Authorized Representative so that Party A’s Authorized Representative can audit the accounts of Party B and Party B’s Subsidiaries and determine the amount of Service Fees. Unless there are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184390" cy="412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27" w:name="page328"/>
    <w:bookmarkEnd w:id="327"/>
    <w:tbl>
      <w:tblPr>
        <w:tblLayout w:type="fixed"/>
        <w:tblInd w:w="86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gross errors, the amount of Service Fees shall be subject to the amount determined by Party A’s Authorized Representative.</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Unless the Parties hereto reach an agreement through further consultation, any Service Fees paid by Party B and Party B’s Subsidiaries to Party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 according to this Agreement shall not be deducted or offset. Party B and Party B’s Subsidiaries shall solely be responsible for any relevant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expenses (such as bank charges) incurred from the payment of Service Fees.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In addition, Party B and Party B’s Subsidiaries shall pay to Party A any actual expenses incurred from the provision by Party A of its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consultation and service under this Agreement while paying the Service Fees, including but not limited to any traveling expenses,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transportation fees, printing expenses and postage.</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2.6</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Parties hereto agree that all economic losses arising out of the performance of this Agreement shall be borne jointly by the Parties hereto.</w:t>
            </w:r>
          </w:p>
        </w:tc>
      </w:tr>
    </w:tbl>
    <w:p>
      <w:pPr>
        <w:spacing w:after="0" w:line="208" w:lineRule="exact"/>
        <w:rPr>
          <w:sz w:val="20"/>
          <w:szCs w:val="20"/>
          <w:color w:val="auto"/>
        </w:rPr>
      </w:pPr>
    </w:p>
    <w:p>
      <w:pPr>
        <w:ind w:left="860" w:hanging="860"/>
        <w:spacing w:after="0"/>
        <w:tabs>
          <w:tab w:leader="none" w:pos="860" w:val="left"/>
        </w:tabs>
        <w:numPr>
          <w:ilvl w:val="0"/>
          <w:numId w:val="347"/>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3"/>
          <w:szCs w:val="13"/>
          <w:color w:val="auto"/>
        </w:rPr>
        <w:t>Party A hereby represents and warrants as follows:</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Party A is a company legally incorporated and validly existing under the laws of the PRC;</w:t>
      </w:r>
    </w:p>
    <w:p>
      <w:pPr>
        <w:spacing w:after="0" w:line="228" w:lineRule="exact"/>
        <w:rPr>
          <w:sz w:val="20"/>
          <w:szCs w:val="20"/>
          <w:color w:val="auto"/>
        </w:rPr>
      </w:pPr>
    </w:p>
    <w:p>
      <w:pPr>
        <w:jc w:val="both"/>
        <w:ind w:left="2580" w:hanging="858"/>
        <w:spacing w:after="0" w:line="254"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Party A shall perform this Agreement within its corporate power and business scope, has obtained any necessary corporate authorizations and consents and approvals from any third party and government departments and has not breached any legal or contractual restrictions that are binding or influential on it; and</w:t>
      </w:r>
    </w:p>
    <w:p>
      <w:pPr>
        <w:spacing w:after="0" w:line="177"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This Agreement shall constitute a legal, effective, binding and enforceable legal document for Party A once signed.</w:t>
      </w:r>
    </w:p>
    <w:p>
      <w:pPr>
        <w:spacing w:after="0" w:line="22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3"/>
          <w:szCs w:val="13"/>
          <w:color w:val="auto"/>
        </w:rPr>
        <w:t>Party B and Party B’s Subsidiaries hereby represent and warrant as follows:</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Party B and Party B’s Subsidiaries are legal persons legally incorporated and validly existing under the laws of the PRC;</w:t>
      </w:r>
    </w:p>
    <w:p>
      <w:pPr>
        <w:spacing w:after="0" w:line="228" w:lineRule="exact"/>
        <w:rPr>
          <w:sz w:val="20"/>
          <w:szCs w:val="20"/>
          <w:color w:val="auto"/>
        </w:rPr>
      </w:pPr>
    </w:p>
    <w:p>
      <w:pPr>
        <w:jc w:val="both"/>
        <w:ind w:left="2580" w:hanging="858"/>
        <w:spacing w:after="0" w:line="304" w:lineRule="auto"/>
        <w:tabs>
          <w:tab w:leader="none" w:pos="25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Party B and Party B’s Subsidiaries shall sign and perform this Agreement within their corporate power and business scope, have obtained any necessary corporate authorizations and consents and approvals from any third party or government departments and have not breached any legal or contractual restrictions that are binding or influential on it; and</w:t>
      </w:r>
    </w:p>
    <w:p>
      <w:pPr>
        <w:spacing w:after="0" w:line="142"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This Agreement shall constitute a legal, effective, binding and enforceable legal document for Party B and Party B’s Subsidiaries once signed.</w:t>
      </w:r>
    </w:p>
    <w:p>
      <w:pPr>
        <w:spacing w:after="0" w:line="164" w:lineRule="exact"/>
        <w:rPr>
          <w:sz w:val="20"/>
          <w:szCs w:val="20"/>
          <w:color w:val="auto"/>
        </w:rPr>
      </w:pPr>
    </w:p>
    <w:p>
      <w:pPr>
        <w:ind w:left="860" w:hanging="860"/>
        <w:spacing w:after="0"/>
        <w:tabs>
          <w:tab w:leader="none" w:pos="860" w:val="left"/>
        </w:tabs>
        <w:numPr>
          <w:ilvl w:val="0"/>
          <w:numId w:val="348"/>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rFonts w:ascii="Arial" w:cs="Arial" w:eastAsia="Arial" w:hAnsi="Arial"/>
          <w:sz w:val="17"/>
          <w:szCs w:val="17"/>
          <w:b w:val="1"/>
          <w:bCs w:val="1"/>
          <w:color w:val="auto"/>
        </w:rPr>
      </w:pPr>
    </w:p>
    <w:p>
      <w:pPr>
        <w:ind w:left="1720" w:hanging="86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4.1</w:t>
      </w:r>
      <w:r>
        <w:rPr>
          <w:rFonts w:ascii="Arial" w:cs="Arial" w:eastAsia="Arial" w:hAnsi="Arial"/>
          <w:sz w:val="15"/>
          <w:szCs w:val="15"/>
          <w:color w:val="auto"/>
        </w:rPr>
        <w:t>The Parties agree that they shall try to take all reasonable security measures to keep in confidence any confidential data and information (hereinafter referred to as “Confidential Information”, the providing party of such data and information shall clearly notify in writing that such data and information shall be the Confidential Information when providing them) known or accessed by them due to the signing and performance of this Agreement. Without the prior written consent of the Confidential Information provider, such Confidential Information shall not be disclosed, provided or transferred to any third party (including any merger of the receiving party of such Confidential Information with or into any third party, and any direct or indirect control thereof by any third party). Once this Agreement is terminated, Party A and Party B and Party B’s Subsidiaries shall return any documents, data or software containing any Confidential Information to the original owner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7184390" cy="412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8" w:name="page329"/>
    <w:bookmarkEnd w:id="328"/>
    <w:p>
      <w:pPr>
        <w:jc w:val="both"/>
        <w:ind w:left="1720"/>
        <w:spacing w:after="0" w:line="266" w:lineRule="auto"/>
        <w:rPr>
          <w:sz w:val="20"/>
          <w:szCs w:val="20"/>
          <w:color w:val="auto"/>
        </w:rPr>
      </w:pPr>
      <w:r>
        <w:rPr>
          <w:rFonts w:ascii="Arial" w:cs="Arial" w:eastAsia="Arial" w:hAnsi="Arial"/>
          <w:sz w:val="16"/>
          <w:szCs w:val="16"/>
          <w:color w:val="auto"/>
        </w:rPr>
        <w:t>providing party of such Confidential Information or destroy them with the consent of the original owner or provider, including removing any Confidential Information from any related memory devices and shall not continue to use these Confidential Information. Party A and Party B and Party B’s Subsidiaries shall take any necessary measures to disclose any Confidential Information only to any staff members, agents or professional advisors of Party B and Party B’s Subsidiaries who need to know such Confidential Information and to cause such staff members, agents or professional advisors of Party B and Party B’s Subsidiaries to comply with any confidentiality obligations under this Agreement. Party A, Party B and Party B’s Subsidiaries and such staff members, agents or professional advisors of Party B and Party B’s Subsidiaries shall sign a specific non-disclosure agreement.</w:t>
      </w:r>
    </w:p>
    <w:p>
      <w:pPr>
        <w:spacing w:after="0" w:line="16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No restrictions mentioned above shall apply to:</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5"/>
          <w:szCs w:val="15"/>
          <w:color w:val="auto"/>
        </w:rPr>
        <w:t>any information that has become generally available to the public at the time of disclosure;</w:t>
      </w:r>
    </w:p>
    <w:p>
      <w:pPr>
        <w:spacing w:after="0" w:line="228"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any information that has become generally available to the public after disclosure through no fault of the receiving party of Confidential Information;</w:t>
      </w:r>
    </w:p>
    <w:p>
      <w:pPr>
        <w:spacing w:after="0" w:line="168" w:lineRule="exact"/>
        <w:rPr>
          <w:sz w:val="20"/>
          <w:szCs w:val="20"/>
          <w:color w:val="auto"/>
        </w:rPr>
      </w:pPr>
    </w:p>
    <w:p>
      <w:pPr>
        <w:jc w:val="both"/>
        <w:ind w:left="2580" w:hanging="858"/>
        <w:spacing w:after="0" w:line="254" w:lineRule="auto"/>
        <w:tabs>
          <w:tab w:leader="none" w:pos="256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any information that can be proved by the receiving party of Confidential Information to have been in the possession of the receiving party before disclosure and not to be directly or indirectly received from the providing party of Confidential Information; and</w:t>
      </w:r>
    </w:p>
    <w:p>
      <w:pPr>
        <w:spacing w:after="0" w:line="177" w:lineRule="exact"/>
        <w:rPr>
          <w:sz w:val="20"/>
          <w:szCs w:val="20"/>
          <w:color w:val="auto"/>
        </w:rPr>
      </w:pPr>
    </w:p>
    <w:p>
      <w:pPr>
        <w:jc w:val="both"/>
        <w:ind w:left="2580" w:hanging="858"/>
        <w:spacing w:after="0" w:line="304" w:lineRule="auto"/>
        <w:tabs>
          <w:tab w:leader="none" w:pos="256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color w:val="auto"/>
        </w:rPr>
        <w:t>any information required by law to be disclosed by the receiving party of Confidential Information to the relevant government departments, stock exchange and other institutions, or any of the above Confidential Information disclosed by the receiving party of Confidential Information to its direct legal advisors and financial consultants due to its normal business needs.</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3"/>
          <w:szCs w:val="13"/>
          <w:color w:val="auto"/>
        </w:rPr>
        <w:t>The Parties hereto agree that, whether this Agreement is modified, canceled or terminated, these provisions hereof shall remain in force.</w:t>
      </w:r>
    </w:p>
    <w:p>
      <w:pPr>
        <w:spacing w:after="0" w:line="224" w:lineRule="exact"/>
        <w:rPr>
          <w:sz w:val="20"/>
          <w:szCs w:val="20"/>
          <w:color w:val="auto"/>
        </w:rPr>
      </w:pPr>
    </w:p>
    <w:p>
      <w:pPr>
        <w:ind w:left="860" w:hanging="860"/>
        <w:spacing w:after="0"/>
        <w:tabs>
          <w:tab w:leader="none" w:pos="860" w:val="left"/>
        </w:tabs>
        <w:numPr>
          <w:ilvl w:val="0"/>
          <w:numId w:val="349"/>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5.1</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Except as otherwise stipulated herein, if any Party fails to fully perform or suspends the performance of its obligations under this Agreement,</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6"/>
              </w:rPr>
              <w:t>and such party fails to correct the above acts within Ten (10) days from receipt of a notice from the other party or makes any untrue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representations and warranties, such party shall be deemed to have breached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Party hereto breaches this Agreement or any representations and warranties made by such party in this Agreement, the non-breaching</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party may notify in writing the breaching party of correcting such breach within Ten (10) days from receipt of a notice, taking appropriate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measures to effectively and promptly avoid any damage and continuing to perform this Agreement. In case of any damage arising out of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breach, the breaching party shall make compensation to the non-breaching party to enable the non-breaching party to obtain all rights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interests that should have been obtained during the performance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5.3</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breach of this Agreement by any Party hereto renders the other party to bear any costs and liabilities or suffer any losses (including but</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not limited to any loss of profits), the breaching party shall make compensation to the non-breaching party in respect of any of the above costs,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liabilities or losses (including but not limited to any interest payment or loss and lawyer’s fees arising out of such breach). The total</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compensatory payment paid by the breaching party to the non-breaching party shall be the same as the losses arising out of such breach, and</w:t>
            </w:r>
          </w:p>
        </w:tc>
      </w:tr>
    </w:tbl>
    <w:p>
      <w:pPr>
        <w:ind w:left="1720"/>
        <w:spacing w:after="0" w:line="249" w:lineRule="auto"/>
        <w:rPr>
          <w:sz w:val="20"/>
          <w:szCs w:val="20"/>
          <w:color w:val="auto"/>
        </w:rPr>
      </w:pPr>
      <w:r>
        <w:rPr>
          <w:rFonts w:ascii="Arial" w:cs="Arial" w:eastAsia="Arial" w:hAnsi="Arial"/>
          <w:sz w:val="17"/>
          <w:szCs w:val="17"/>
          <w:color w:val="auto"/>
        </w:rPr>
        <w:t>the above compensatory payment shall include any interests that should have been obtained by the non-breaching party in the event that the Parties hereto normally perform this Agreement, provided that such compensatory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7184390" cy="412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9" w:name="page330"/>
    <w:bookmarkEnd w:id="329"/>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shall not exceed any losses reasonably expected by the Parties hereto at the time of the conclusion of this Agreement that may be caused by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such breach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5.4</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Party B and Party B’s Subsidiaries shall bear full responsibility for any claims made by any third party arising out of any failure by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Party B’s Subsidiaries to carry on their business according to Party A’s instructions or any improper use of Party A’s intellectual property rights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or any improper technical operation. If Party B and Party B’s Subsidiaries find that any third party uses any of Party A’s intellectual property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rights without the legal authorization, Party B and Party B’s Subsidiaries shall immediately notify Party A and cooperate with Party A in</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taking any actions.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both of the Parties hereto breach this Agreement, the respective amount of compensation payable by the Parties hereto shall be determined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according to the degree of their respective breach.</w:t>
            </w:r>
          </w:p>
        </w:tc>
      </w:tr>
    </w:tbl>
    <w:p>
      <w:pPr>
        <w:spacing w:after="0" w:line="183" w:lineRule="exact"/>
        <w:rPr>
          <w:sz w:val="20"/>
          <w:szCs w:val="20"/>
          <w:color w:val="auto"/>
        </w:rPr>
      </w:pPr>
    </w:p>
    <w:p>
      <w:pPr>
        <w:ind w:left="860" w:hanging="860"/>
        <w:spacing w:after="0"/>
        <w:tabs>
          <w:tab w:leader="none" w:pos="860"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Performance and Term</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shall be signed on the date first above written and become effective at the same time.</w:t>
            </w:r>
          </w:p>
        </w:tc>
      </w:tr>
      <w:tr>
        <w:trPr>
          <w:trHeight w:val="42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copies.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Unless Party A cancels this Agreement in advance, the term of this Agreement shall be terminated upon dissolution of both of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Party B’s Subsidiaries in accordance with the laws of the PRC. Upon Party A’s request prior to the expiration of this Agreement, the Parties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hereto shall either extend the term of this Agreement at Party A’s request so as to continue to perform this Agreement or sign a separate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exclusive technical consultation and service agreement at Party A’s request.</w:t>
            </w:r>
          </w:p>
        </w:tc>
      </w:tr>
    </w:tbl>
    <w:p>
      <w:pPr>
        <w:spacing w:after="0" w:line="183" w:lineRule="exact"/>
        <w:rPr>
          <w:sz w:val="20"/>
          <w:szCs w:val="20"/>
          <w:color w:val="auto"/>
        </w:rPr>
      </w:pPr>
    </w:p>
    <w:p>
      <w:pPr>
        <w:ind w:left="860" w:hanging="860"/>
        <w:spacing w:after="0"/>
        <w:tabs>
          <w:tab w:leader="none" w:pos="860" w:val="left"/>
        </w:tabs>
        <w:numPr>
          <w:ilvl w:val="0"/>
          <w:numId w:val="351"/>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07" w:lineRule="exact"/>
        <w:rPr>
          <w:rFonts w:ascii="Arial" w:cs="Arial" w:eastAsia="Arial" w:hAnsi="Arial"/>
          <w:sz w:val="17"/>
          <w:szCs w:val="17"/>
          <w:b w:val="1"/>
          <w:bCs w:val="1"/>
          <w:color w:val="auto"/>
        </w:rPr>
      </w:pPr>
    </w:p>
    <w:p>
      <w:pPr>
        <w:ind w:left="1720" w:right="40" w:hanging="8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7.1Unless renewed according to the relevant provisions hereof, this Agreement shall be terminated on the expiry date of the term of this Agreement.</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7.2</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Parties hereto may terminate this Agreement upon consensus through consultation. Party B and Party B’s Subsidiaries shall not terminate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this Agreement within the term of this Agreement without the written consent of Party A. Party A shall have the right to terminate this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8"/>
              </w:rPr>
              <w:t>Agreement at any time by giving a written notice to Party B, Party B's Subsidiaries and shareholders Thirty (30) days in advance.</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7.3</w:t>
            </w:r>
          </w:p>
        </w:tc>
        <w:tc>
          <w:tcPr>
            <w:tcW w:w="9840" w:type="dxa"/>
            <w:vAlign w:val="bottom"/>
          </w:tcPr>
          <w:p>
            <w:pPr>
              <w:ind w:left="320"/>
              <w:spacing w:after="0"/>
              <w:rPr>
                <w:sz w:val="20"/>
                <w:szCs w:val="20"/>
                <w:color w:val="auto"/>
              </w:rPr>
            </w:pPr>
            <w:r>
              <w:rPr>
                <w:rFonts w:ascii="Arial" w:cs="Arial" w:eastAsia="Arial" w:hAnsi="Arial"/>
                <w:sz w:val="17"/>
                <w:szCs w:val="17"/>
                <w:color w:val="auto"/>
                <w:w w:val="98"/>
              </w:rPr>
              <w:t>Any rights and obligations of the Parties hereto under the Articles 4 and 5 hereof shall survive the termination of this Agreement.</w:t>
            </w:r>
          </w:p>
        </w:tc>
      </w:tr>
    </w:tbl>
    <w:p>
      <w:pPr>
        <w:spacing w:after="0" w:line="208" w:lineRule="exact"/>
        <w:rPr>
          <w:sz w:val="20"/>
          <w:szCs w:val="20"/>
          <w:color w:val="auto"/>
        </w:rPr>
      </w:pPr>
    </w:p>
    <w:p>
      <w:pPr>
        <w:ind w:left="860" w:hanging="860"/>
        <w:spacing w:after="0"/>
        <w:tabs>
          <w:tab w:leader="none" w:pos="860" w:val="left"/>
        </w:tabs>
        <w:numPr>
          <w:ilvl w:val="0"/>
          <w:numId w:val="352"/>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resolve such disputes through consultation in good faith. If such disputes cannot be resolved through consultation, any Party may submit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disputes to China International Economic and Trade Arbitration Commission for resolution by arbitration in accordance with the existing</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proceedings shall be Chinese. Any arbitral award shall be final and binding upon the Parties. No provisions of this Article shall be affected by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8.2</w:t>
            </w: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330" w:name="page331"/>
    <w:bookmarkEnd w:id="330"/>
    <w:p>
      <w:pPr>
        <w:ind w:left="860" w:hanging="860"/>
        <w:spacing w:after="0"/>
        <w:tabs>
          <w:tab w:leader="none" w:pos="860" w:val="left"/>
        </w:tabs>
        <w:numPr>
          <w:ilvl w:val="0"/>
          <w:numId w:val="353"/>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3" w:lineRule="exact"/>
        <w:rPr>
          <w:rFonts w:ascii="Arial" w:cs="Arial" w:eastAsia="Arial" w:hAnsi="Arial"/>
          <w:sz w:val="17"/>
          <w:szCs w:val="17"/>
          <w:b w:val="1"/>
          <w:bCs w:val="1"/>
          <w:color w:val="auto"/>
        </w:rPr>
      </w:pPr>
    </w:p>
    <w:p>
      <w:pPr>
        <w:ind w:left="1720" w:hanging="86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9.1</w:t>
      </w:r>
      <w:r>
        <w:rPr>
          <w:rFonts w:ascii="Arial" w:cs="Arial" w:eastAsia="Arial" w:hAnsi="Arial"/>
          <w:sz w:val="16"/>
          <w:szCs w:val="16"/>
          <w:color w:val="auto"/>
        </w:rPr>
        <w:t>“</w:t>
      </w:r>
      <w:r>
        <w:rPr>
          <w:rFonts w:ascii="Arial" w:cs="Arial" w:eastAsia="Arial" w:hAnsi="Arial"/>
          <w:sz w:val="16"/>
          <w:szCs w:val="16"/>
          <w:b w:val="1"/>
          <w:bCs w:val="1"/>
          <w:color w:val="auto"/>
        </w:rPr>
        <w:t>Force Majeure Events</w:t>
      </w:r>
      <w:r>
        <w:rPr>
          <w:rFonts w:ascii="Arial" w:cs="Arial" w:eastAsia="Arial" w:hAnsi="Arial"/>
          <w:sz w:val="16"/>
          <w:szCs w:val="16"/>
          <w:color w:val="auto"/>
        </w:rPr>
        <w:t>” mean any events beyond the reasonable control of one party that are unavoidable by the affected party with reasonable care, including but not limited to any acts of government, natural force, fire, explosion, storm, flood, earthquake, tide, lightning or war, provided that any credit, capital or financing shortage shall not be deemed to be the event beyond the reasonable control of one party. The party affected by any Force Majeure Events (hereinafter referred to as “</w:t>
      </w:r>
      <w:r>
        <w:rPr>
          <w:rFonts w:ascii="Arial" w:cs="Arial" w:eastAsia="Arial" w:hAnsi="Arial"/>
          <w:sz w:val="16"/>
          <w:szCs w:val="16"/>
          <w:b w:val="1"/>
          <w:bCs w:val="1"/>
          <w:color w:val="auto"/>
        </w:rPr>
        <w:t>Affected Party</w:t>
      </w:r>
      <w:r>
        <w:rPr>
          <w:rFonts w:ascii="Arial" w:cs="Arial" w:eastAsia="Arial" w:hAnsi="Arial"/>
          <w:sz w:val="16"/>
          <w:szCs w:val="16"/>
          <w:color w:val="auto"/>
        </w:rPr>
        <w:t>”) shall be exempted from its responsibility in whole or in part according to the effects of such Force Majeure Events on this Agreement, and the Affected Party who seeks exemption from its responsibility for the performance of this Agreement due to such Force Majeure Events shall notify the other party of such Force Majeure Events not later than Ten (10) days after occurrence of such Force Majeure Events so that the Parties hereto negotiate about the amendment to this Agreement according to the effects of such Force Majeure Events and exempt in whole or in part the Affected Party from its obligations under this Agreement.</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performance of its obligations delayed or hindered by such Force Majeure Events. Once such Force Majeure Events are eliminated, the Parties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8"/>
              </w:rPr>
              <w:t>hereto agree that they shall use their best efforts to restore the performance of their rights and obligations under this Agreement.</w:t>
            </w:r>
          </w:p>
        </w:tc>
      </w:tr>
    </w:tbl>
    <w:p>
      <w:pPr>
        <w:spacing w:after="0" w:line="183" w:lineRule="exact"/>
        <w:rPr>
          <w:sz w:val="20"/>
          <w:szCs w:val="20"/>
          <w:color w:val="auto"/>
        </w:rPr>
      </w:pPr>
    </w:p>
    <w:p>
      <w:pPr>
        <w:ind w:left="860" w:hanging="860"/>
        <w:spacing w:after="0"/>
        <w:tabs>
          <w:tab w:leader="none" w:pos="860" w:val="left"/>
        </w:tabs>
        <w:numPr>
          <w:ilvl w:val="0"/>
          <w:numId w:val="354"/>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Address: Building No. 6, Chaolai Science and Technology Park, Laiguangying, Chaoyang District, Beijing,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Tel.:</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Attn.: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and Party B's Subsidiaries</w:t>
      </w:r>
    </w:p>
    <w:p>
      <w:pPr>
        <w:spacing w:after="0" w:line="207" w:lineRule="exact"/>
        <w:rPr>
          <w:sz w:val="20"/>
          <w:szCs w:val="20"/>
          <w:color w:val="auto"/>
        </w:rPr>
      </w:pPr>
    </w:p>
    <w:p>
      <w:pPr>
        <w:ind w:right="780"/>
        <w:spacing w:after="0" w:line="264" w:lineRule="auto"/>
        <w:rPr>
          <w:sz w:val="20"/>
          <w:szCs w:val="20"/>
          <w:color w:val="auto"/>
        </w:rPr>
      </w:pPr>
      <w:r>
        <w:rPr>
          <w:rFonts w:ascii="Arial" w:cs="Arial" w:eastAsia="Arial" w:hAnsi="Arial"/>
          <w:sz w:val="17"/>
          <w:szCs w:val="17"/>
          <w:color w:val="auto"/>
        </w:rPr>
        <w:t>Address: Room 04, 3rd Floor, Building 3, Building 1, 2, 3, Contemporary China Venture Center, No. 20, Guannanyuan 1st Road, East Lake New Technology Development Zone, Wuhan (Wuhan Area, Free Trade Zone)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Tel.: [•]</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Attn.: SHENG Heqiang</w:t>
      </w:r>
    </w:p>
    <w:p>
      <w:pPr>
        <w:spacing w:after="0" w:line="199" w:lineRule="exact"/>
        <w:rPr>
          <w:sz w:val="20"/>
          <w:szCs w:val="20"/>
          <w:color w:val="auto"/>
        </w:rPr>
      </w:pPr>
    </w:p>
    <w:p>
      <w:pPr>
        <w:ind w:left="860" w:hanging="860"/>
        <w:spacing w:after="0"/>
        <w:tabs>
          <w:tab w:leader="none" w:pos="860" w:val="left"/>
        </w:tabs>
        <w:numPr>
          <w:ilvl w:val="0"/>
          <w:numId w:val="355"/>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Unless any Party hereto obtains the prior written consent of the other party, such party shall not assign to any third party its rights or obligations under this Agreement except that Party A assigns its obligations under this Agreement to its affiliates. For the purpose as set forth in this Agreement, the aforesaid “affiliates” mean any enterprises controlled by Party A, controlling Party A or under common control of any third party with Party A. For the purpose as set forth in this Article, “control” means any possession by an enterprise of its influence power to directly or indirectly decide on and/or control the operating management of another enterprise, whether such influence power is formed by holding any shares of the controlled enterprise or formed by any contractual arrangement with the controlled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7184390" cy="412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1" w:name="page332"/>
    <w:bookmarkEnd w:id="331"/>
    <w:p>
      <w:pPr>
        <w:ind w:left="860" w:hanging="860"/>
        <w:spacing w:after="0"/>
        <w:tabs>
          <w:tab w:leader="none" w:pos="860" w:val="left"/>
        </w:tabs>
        <w:numPr>
          <w:ilvl w:val="0"/>
          <w:numId w:val="356"/>
        </w:numPr>
        <w:rPr>
          <w:rFonts w:ascii="Arial" w:cs="Arial" w:eastAsia="Arial" w:hAnsi="Arial"/>
          <w:sz w:val="17"/>
          <w:szCs w:val="17"/>
          <w:b w:val="1"/>
          <w:bCs w:val="1"/>
          <w:color w:val="auto"/>
        </w:rPr>
      </w:pPr>
      <w:r>
        <w:rPr>
          <w:rFonts w:ascii="Arial" w:cs="Arial" w:eastAsia="Arial" w:hAnsi="Arial"/>
          <w:sz w:val="17"/>
          <w:szCs w:val="17"/>
          <w:b w:val="1"/>
          <w:bCs w:val="1"/>
          <w:color w:val="auto"/>
        </w:rPr>
        <w:t>Newly Added Party B’s Subsidiaries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case of any newly added Party B’s Subsidiary at any time after the effective date of this Agreement, Party B shall urge such newly added Party B’s Subsidiary to sign a letter of acceptance of rights and obligations in such form and substance as shown in Annex III hereto and 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Subsidiaries shall be deemed to be a signatory to this Agreement. Any other Parties hereto hereby agree to and fully accept the foregoing arrangement.</w:t>
      </w:r>
    </w:p>
    <w:p>
      <w:pPr>
        <w:spacing w:after="0" w:line="163" w:lineRule="exact"/>
        <w:rPr>
          <w:sz w:val="20"/>
          <w:szCs w:val="20"/>
          <w:color w:val="auto"/>
        </w:rPr>
      </w:pPr>
    </w:p>
    <w:p>
      <w:pPr>
        <w:ind w:left="860" w:hanging="860"/>
        <w:spacing w:after="0"/>
        <w:tabs>
          <w:tab w:leader="none" w:pos="860" w:val="left"/>
        </w:tabs>
        <w:numPr>
          <w:ilvl w:val="0"/>
          <w:numId w:val="357"/>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0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Parties hereby acknowledge that this Agreement shall be a fair and reasonable agreement reached by the Parties hereto on the basis of equality and mutual benefit. If any provisions of this Agreement are invalid or unenforceable due to any inconsistencies between such provisions and the relevant laws, such provisions shall be invalid or unenforceable only to the extent of jurisdiction of the relevant laws and shall not affect the legal effect of any other provisions of this Agreement.</w:t>
      </w:r>
    </w:p>
    <w:p>
      <w:pPr>
        <w:spacing w:after="0" w:line="138" w:lineRule="exact"/>
        <w:rPr>
          <w:sz w:val="20"/>
          <w:szCs w:val="20"/>
          <w:color w:val="auto"/>
        </w:rPr>
      </w:pPr>
    </w:p>
    <w:p>
      <w:pPr>
        <w:ind w:left="860" w:hanging="860"/>
        <w:spacing w:after="0"/>
        <w:tabs>
          <w:tab w:leader="none" w:pos="860" w:val="left"/>
        </w:tabs>
        <w:numPr>
          <w:ilvl w:val="0"/>
          <w:numId w:val="358"/>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Supplements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Parties hereto shall make in writing any amendments and supplements to this Agreement. Any amendment and supplementary agreements duly signed by the Parties in relation to this Agreement shall form an integral part of this Agreement and be equally authentic as this Agreement.</w:t>
      </w:r>
    </w:p>
    <w:p>
      <w:pPr>
        <w:spacing w:after="0" w:line="164" w:lineRule="exact"/>
        <w:rPr>
          <w:sz w:val="20"/>
          <w:szCs w:val="20"/>
          <w:color w:val="auto"/>
        </w:rPr>
      </w:pPr>
    </w:p>
    <w:p>
      <w:pPr>
        <w:ind w:left="860" w:hanging="860"/>
        <w:spacing w:after="0"/>
        <w:tabs>
          <w:tab w:leader="none" w:pos="860" w:val="left"/>
        </w:tabs>
        <w:numPr>
          <w:ilvl w:val="0"/>
          <w:numId w:val="359"/>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sz w:val="20"/>
          <w:szCs w:val="20"/>
          <w:color w:val="auto"/>
        </w:rPr>
      </w:pPr>
    </w:p>
    <w:p>
      <w:pPr>
        <w:ind w:left="860" w:hanging="860"/>
        <w:spacing w:after="0"/>
        <w:tabs>
          <w:tab w:leader="none" w:pos="860" w:val="left"/>
        </w:tabs>
        <w:numPr>
          <w:ilvl w:val="0"/>
          <w:numId w:val="360"/>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Except for any written amendments, supplements or modifications to this Agreement after the signing of this Agreement, this Agreement shall constitute an entire agreement among the Parties hereto in respect of the subject matter of this Agreement and supersede all prior oral and written negotiations, representations and agreements among the Parties in respect of the subject matter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authorized representative as of the date first above written.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195580</wp:posOffset>
            </wp:positionV>
            <wp:extent cx="7184390" cy="412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2" w:name="page333"/>
    <w:bookmarkEnd w:id="332"/>
    <w:p>
      <w:pPr>
        <w:jc w:val="right"/>
        <w:ind w:right="1299"/>
        <w:spacing w:after="0"/>
        <w:rPr>
          <w:sz w:val="20"/>
          <w:szCs w:val="20"/>
          <w:color w:val="auto"/>
        </w:rPr>
      </w:pPr>
      <w:r>
        <w:rPr>
          <w:rFonts w:ascii="Arial" w:cs="Arial" w:eastAsia="Arial" w:hAnsi="Arial"/>
          <w:sz w:val="17"/>
          <w:szCs w:val="17"/>
          <w:color w:val="auto"/>
        </w:rPr>
        <w:t>[This page is the signature page to the Exclusive Technical Consultation and Service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-10160</wp:posOffset>
            </wp:positionV>
            <wp:extent cx="26035"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SHENG Heqiang</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179705</wp:posOffset>
            </wp:positionV>
            <wp:extent cx="7184390" cy="412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333" w:name="page334"/>
    <w:bookmarkEnd w:id="333"/>
    <w:p>
      <w:pPr>
        <w:jc w:val="center"/>
        <w:spacing w:after="0"/>
        <w:rPr>
          <w:sz w:val="20"/>
          <w:szCs w:val="20"/>
          <w:color w:val="auto"/>
        </w:rPr>
      </w:pPr>
      <w:r>
        <w:rPr>
          <w:rFonts w:ascii="Arial" w:cs="Arial" w:eastAsia="Arial" w:hAnsi="Arial"/>
          <w:sz w:val="20"/>
          <w:szCs w:val="20"/>
          <w:b w:val="1"/>
          <w:bCs w:val="1"/>
          <w:color w:val="auto"/>
        </w:rPr>
        <w:t>Annex I List of Technical Consultation and Services</w:t>
      </w:r>
    </w:p>
    <w:p>
      <w:pPr>
        <w:spacing w:after="0" w:line="207" w:lineRule="exact"/>
        <w:rPr>
          <w:sz w:val="20"/>
          <w:szCs w:val="20"/>
          <w:color w:val="auto"/>
        </w:rPr>
      </w:pPr>
    </w:p>
    <w:p>
      <w:pPr>
        <w:ind w:left="420" w:hanging="420"/>
        <w:spacing w:after="0"/>
        <w:tabs>
          <w:tab w:leader="none" w:pos="4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Provide the development and research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Provide website design and design, installation, commissioning and maintenance services of computer network systems.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Provide database support and software services.</w:t>
      </w:r>
    </w:p>
    <w:p>
      <w:pPr>
        <w:spacing w:after="0" w:line="203" w:lineRule="exact"/>
        <w:rPr>
          <w:rFonts w:ascii="Arial" w:cs="Arial" w:eastAsia="Arial" w:hAnsi="Arial"/>
          <w:sz w:val="17"/>
          <w:szCs w:val="17"/>
          <w:color w:val="auto"/>
        </w:rPr>
      </w:pPr>
    </w:p>
    <w:p>
      <w:pPr>
        <w:ind w:left="420" w:hanging="420"/>
        <w:spacing w:after="0" w:line="264" w:lineRule="auto"/>
        <w:tabs>
          <w:tab w:leader="none" w:pos="4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Provide economic information consultation, project investment consultation, scientific and technological information consultation, enterprise management consultation and other consultation services.</w:t>
      </w:r>
    </w:p>
    <w:p>
      <w:pPr>
        <w:spacing w:after="0" w:line="167" w:lineRule="exact"/>
        <w:rPr>
          <w:rFonts w:ascii="Arial" w:cs="Arial" w:eastAsia="Arial" w:hAnsi="Arial"/>
          <w:sz w:val="17"/>
          <w:szCs w:val="17"/>
          <w:color w:val="auto"/>
        </w:rPr>
      </w:pPr>
    </w:p>
    <w:p>
      <w:pPr>
        <w:ind w:left="420" w:hanging="420"/>
        <w:spacing w:after="0"/>
        <w:tabs>
          <w:tab w:leader="none" w:pos="4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Provide pre-job training and in-service training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Provide technical development, consultation and technology transfer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Provide public relations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Provide market survey and research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Provide the services of developing medium and short term market development plans and market planning service.</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Provide technical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20"/>
          <w:szCs w:val="20"/>
          <w:b w:val="1"/>
          <w:bCs w:val="1"/>
          <w:color w:val="auto"/>
        </w:rPr>
        <w:t>Annex II Calculation and Payment Methods of Service Fees</w:t>
      </w:r>
    </w:p>
    <w:p>
      <w:pPr>
        <w:spacing w:after="0" w:line="207" w:lineRule="exact"/>
        <w:rPr>
          <w:sz w:val="20"/>
          <w:szCs w:val="20"/>
          <w:color w:val="auto"/>
        </w:rPr>
      </w:pPr>
    </w:p>
    <w:p>
      <w:pPr>
        <w:jc w:val="both"/>
        <w:ind w:left="420" w:hanging="420"/>
        <w:spacing w:after="0" w:line="251" w:lineRule="auto"/>
        <w:tabs>
          <w:tab w:leader="none" w:pos="42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Service Fees under this Agreement shall be calculated on the basis of 10% to 100% of the monthly total business income of Party B and/or Party B’s Subsidiaries, and the specific proportion of the above Service Fees (limited to 10% to 100%) shall be determined and notified in writing by Party A to Party B and/or Party B’s Subsidiaries according to the actual technical support service provided by Party A as required by Party B and/or Party B’s Subsidiaries and based on the number of persons and number of days invested by Party A.</w:t>
      </w:r>
    </w:p>
    <w:p>
      <w:pPr>
        <w:spacing w:after="0" w:line="179" w:lineRule="exact"/>
        <w:rPr>
          <w:sz w:val="20"/>
          <w:szCs w:val="20"/>
          <w:color w:val="auto"/>
        </w:rPr>
      </w:pPr>
    </w:p>
    <w:p>
      <w:pPr>
        <w:ind w:left="420" w:hanging="420"/>
        <w:spacing w:after="0"/>
        <w:tabs>
          <w:tab w:leader="none" w:pos="42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Party B shall determine the amount of Service Fees according to the following factors:</w:t>
      </w:r>
    </w:p>
    <w:p>
      <w:pPr>
        <w:spacing w:after="0" w:line="203" w:lineRule="exact"/>
        <w:rPr>
          <w:rFonts w:ascii="Arial" w:cs="Arial" w:eastAsia="Arial" w:hAnsi="Arial"/>
          <w:sz w:val="17"/>
          <w:szCs w:val="17"/>
          <w:color w:val="auto"/>
        </w:rPr>
      </w:pPr>
    </w:p>
    <w:p>
      <w:pPr>
        <w:ind w:left="840" w:hanging="417"/>
        <w:spacing w:after="0"/>
        <w:tabs>
          <w:tab w:leader="none" w:pos="84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Technical difficulty and complexity of the technical consultation and services;</w:t>
      </w:r>
    </w:p>
    <w:p>
      <w:pPr>
        <w:spacing w:after="0" w:line="228" w:lineRule="exact"/>
        <w:rPr>
          <w:rFonts w:ascii="Arial" w:cs="Arial" w:eastAsia="Arial" w:hAnsi="Arial"/>
          <w:sz w:val="17"/>
          <w:szCs w:val="17"/>
          <w:color w:val="auto"/>
        </w:rPr>
      </w:pPr>
    </w:p>
    <w:p>
      <w:pPr>
        <w:ind w:left="840" w:hanging="417"/>
        <w:spacing w:after="0"/>
        <w:tabs>
          <w:tab w:leader="none" w:pos="84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Time spent by Party A’s employees in the technical consultation and services;</w:t>
      </w:r>
    </w:p>
    <w:p>
      <w:pPr>
        <w:spacing w:after="0" w:line="228" w:lineRule="exact"/>
        <w:rPr>
          <w:rFonts w:ascii="Arial" w:cs="Arial" w:eastAsia="Arial" w:hAnsi="Arial"/>
          <w:sz w:val="17"/>
          <w:szCs w:val="17"/>
          <w:color w:val="auto"/>
        </w:rPr>
      </w:pPr>
    </w:p>
    <w:p>
      <w:pPr>
        <w:ind w:left="840" w:hanging="417"/>
        <w:spacing w:after="0"/>
        <w:tabs>
          <w:tab w:leader="none" w:pos="84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Specific content and commercial value of the technical consultation and services;</w:t>
      </w:r>
    </w:p>
    <w:p>
      <w:pPr>
        <w:spacing w:after="0" w:line="228" w:lineRule="exact"/>
        <w:rPr>
          <w:rFonts w:ascii="Arial" w:cs="Arial" w:eastAsia="Arial" w:hAnsi="Arial"/>
          <w:sz w:val="17"/>
          <w:szCs w:val="17"/>
          <w:color w:val="auto"/>
        </w:rPr>
      </w:pPr>
    </w:p>
    <w:p>
      <w:pPr>
        <w:ind w:left="840" w:hanging="417"/>
        <w:spacing w:after="0"/>
        <w:tabs>
          <w:tab w:leader="none" w:pos="84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Market reference price of similar technical consultation and services.</w:t>
      </w:r>
    </w:p>
    <w:p>
      <w:pPr>
        <w:spacing w:after="0" w:line="228" w:lineRule="exact"/>
        <w:rPr>
          <w:sz w:val="20"/>
          <w:szCs w:val="20"/>
          <w:color w:val="auto"/>
        </w:rPr>
      </w:pPr>
    </w:p>
    <w:p>
      <w:pPr>
        <w:jc w:val="both"/>
        <w:ind w:left="420" w:hanging="420"/>
        <w:spacing w:after="0" w:line="295" w:lineRule="auto"/>
        <w:tabs>
          <w:tab w:leader="none" w:pos="420" w:val="left"/>
        </w:tabs>
        <w:numPr>
          <w:ilvl w:val="0"/>
          <w:numId w:val="364"/>
        </w:numPr>
        <w:rPr>
          <w:rFonts w:ascii="Arial" w:cs="Arial" w:eastAsia="Arial" w:hAnsi="Arial"/>
          <w:sz w:val="15"/>
          <w:szCs w:val="15"/>
          <w:color w:val="auto"/>
        </w:rPr>
      </w:pPr>
      <w:r>
        <w:rPr>
          <w:rFonts w:ascii="Arial" w:cs="Arial" w:eastAsia="Arial" w:hAnsi="Arial"/>
          <w:sz w:val="15"/>
          <w:szCs w:val="15"/>
          <w:color w:val="auto"/>
        </w:rPr>
        <w:t>Party A shall summarize and calculate the Service Fees on a quarterly basis and shall, within Thirty (30) days from the start date of any quarter, send a bill of technical Service Fees for the last quarter to Party B and/or Party B’s Subsidiaries so as to give a notice to Party B and/or Party B’s Subsidiaries. Within Ten (10) working days after receipt of such notice, Party B and/or Party B’s Subsidiaries shall pay such Service Fees to the bank account designated by Party A. Party B and/or Party B’s Subsidiaries shall send by fax or by mail a copy of the remittance voucher to Party A within Ten (10) working days after remittance.</w:t>
      </w:r>
    </w:p>
    <w:p>
      <w:pPr>
        <w:spacing w:after="0" w:line="149" w:lineRule="exact"/>
        <w:rPr>
          <w:sz w:val="20"/>
          <w:szCs w:val="20"/>
          <w:color w:val="auto"/>
        </w:rPr>
      </w:pPr>
    </w:p>
    <w:p>
      <w:pPr>
        <w:jc w:val="both"/>
        <w:ind w:left="420" w:hanging="419"/>
        <w:spacing w:after="0" w:line="254" w:lineRule="auto"/>
        <w:tabs>
          <w:tab w:leader="none" w:pos="400" w:val="left"/>
        </w:tabs>
        <w:rPr>
          <w:sz w:val="20"/>
          <w:szCs w:val="20"/>
          <w:color w:val="auto"/>
        </w:rPr>
      </w:pPr>
      <w:r>
        <w:rPr>
          <w:rFonts w:ascii="Arial" w:cs="Arial" w:eastAsia="Arial" w:hAnsi="Arial"/>
          <w:sz w:val="17"/>
          <w:szCs w:val="17"/>
          <w:color w:val="auto"/>
        </w:rPr>
        <w:t>IV.</w:t>
        <w:tab/>
        <w:t>If Party A considers that it is necessary to adjust the service pricing mechanism as stipulated herein that is not continuously applicable for some reason, Party A shall give a prompt written notice to Party B and/or Party B’s Subsidiaries, and such written notice shall take effect when it is served to Party B and/or Party B’s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170815</wp:posOffset>
            </wp:positionV>
            <wp:extent cx="7184390" cy="412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20"/>
          <w:szCs w:val="20"/>
          <w:b w:val="1"/>
          <w:bCs w:val="1"/>
          <w:color w:val="auto"/>
        </w:rPr>
        <w:t>Annex III Letter of Acceptance of Rights and Obligations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Our company</w:t>
      </w:r>
      <w:r>
        <w:rPr>
          <w:rFonts w:ascii="Arial" w:cs="Arial" w:eastAsia="Arial" w:hAnsi="Arial"/>
          <w:sz w:val="15"/>
          <w:szCs w:val="15"/>
          <w:b w:val="1"/>
          <w:bCs w:val="1"/>
          <w:color w:val="auto"/>
        </w:rPr>
        <w:t>, ______, is a subsidiary of ______ Co., Ltd. (hereinafter referred to as “______”) incorporated with ______on the ______day of , and Tianjin</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Shangde holds % of ______ the shares/equity of our company. In accordance with the Exclusive Technical Consultation and Service Agreement (hereinafter</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referred to as “Agreement”) entered into by ______________Co., Limited and other parties on the day of ______, our company as a newly added “Party B’s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 under the Agreement shall join the Agreement pursuant to Article 12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114"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ind w:left="10380"/>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114" w:right="339" w:bottom="1440" w:gutter="0" w:footer="0" w:header="0"/>
        </w:sectPr>
      </w:pPr>
    </w:p>
    <w:bookmarkStart w:id="336" w:name="page337"/>
    <w:bookmarkEnd w:id="336"/>
    <w:p>
      <w:pPr>
        <w:ind w:left="10340"/>
        <w:spacing w:after="0"/>
        <w:rPr>
          <w:sz w:val="20"/>
          <w:szCs w:val="20"/>
          <w:color w:val="auto"/>
        </w:rPr>
      </w:pPr>
      <w:r>
        <w:rPr>
          <w:rFonts w:ascii="Arial" w:cs="Arial" w:eastAsia="Arial" w:hAnsi="Arial"/>
          <w:sz w:val="16"/>
          <w:szCs w:val="16"/>
          <w:b w:val="1"/>
          <w:bCs w:val="1"/>
          <w:color w:val="auto"/>
        </w:rPr>
        <w:t>Exhibit 4.42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 Operation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This Business Operation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28th day of December, 2020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Wuhan Fangtang Education Technology Co., Ltd.</w:t>
      </w: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Registered Address: Room 04, 3rd Floor, Building 3, Building 1, 2, 3, Contemporary China Venture Center, No. 20, Guannanyuan 1st Road, East Lake New Technology Development Zone, Wuhan (Wuhan Area, Free Trade Zone)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SHENG Heqiang</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or more of the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860" w:hanging="860"/>
        <w:spacing w:after="0"/>
        <w:tabs>
          <w:tab w:leader="none" w:pos="86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ind w:left="860" w:right="120" w:hanging="860"/>
        <w:spacing w:after="0" w:line="304" w:lineRule="auto"/>
        <w:tabs>
          <w:tab w:leader="none" w:pos="86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Party A has established the business relationship with Party B and Party B’s Subsidiaries by signing the Exclusive Technical Consultation and Service Agreement and other agreements; Party B and Party B’s Subsidiaries shall pay various amounts to Party A under such agreements, and therefore any daily operating activities of Party B and Party B’s Subsidiaries will have a substantial impact on their ability to pay the corresponding amounts to Party A.</w:t>
      </w:r>
    </w:p>
    <w:p>
      <w:pPr>
        <w:spacing w:after="0" w:line="141" w:lineRule="exact"/>
        <w:rPr>
          <w:rFonts w:ascii="Arial" w:cs="Arial" w:eastAsia="Arial" w:hAnsi="Arial"/>
          <w:sz w:val="15"/>
          <w:szCs w:val="15"/>
          <w:color w:val="auto"/>
        </w:rPr>
      </w:pPr>
    </w:p>
    <w:p>
      <w:pPr>
        <w:ind w:left="860" w:hanging="860"/>
        <w:spacing w:after="0"/>
        <w:tabs>
          <w:tab w:leader="none" w:pos="86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Any interests held by Party C in Party B and the shareholding structure are shown in Annex II hereto.</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860" w:hanging="860"/>
        <w:spacing w:after="0"/>
        <w:tabs>
          <w:tab w:leader="none" w:pos="860" w:val="left"/>
        </w:tabs>
        <w:numPr>
          <w:ilvl w:val="0"/>
          <w:numId w:val="366"/>
        </w:numPr>
        <w:rPr>
          <w:rFonts w:ascii="Arial" w:cs="Arial" w:eastAsia="Arial" w:hAnsi="Arial"/>
          <w:sz w:val="17"/>
          <w:szCs w:val="17"/>
          <w:color w:val="auto"/>
        </w:rPr>
      </w:pPr>
      <w:r>
        <w:rPr>
          <w:rFonts w:ascii="Arial" w:cs="Arial" w:eastAsia="Arial" w:hAnsi="Arial"/>
          <w:sz w:val="17"/>
          <w:szCs w:val="17"/>
          <w:b w:val="1"/>
          <w:bCs w:val="1"/>
          <w:color w:val="auto"/>
        </w:rPr>
        <w:t>Obligation of omission</w:t>
      </w:r>
    </w:p>
    <w:p>
      <w:pPr>
        <w:spacing w:after="0" w:line="207" w:lineRule="exact"/>
        <w:rPr>
          <w:rFonts w:ascii="Arial" w:cs="Arial" w:eastAsia="Arial" w:hAnsi="Arial"/>
          <w:sz w:val="17"/>
          <w:szCs w:val="17"/>
          <w:color w:val="auto"/>
        </w:rPr>
      </w:pPr>
    </w:p>
    <w:p>
      <w:pPr>
        <w:ind w:left="860"/>
        <w:spacing w:after="0" w:line="278" w:lineRule="auto"/>
        <w:rPr>
          <w:rFonts w:ascii="Arial" w:cs="Arial" w:eastAsia="Arial" w:hAnsi="Arial"/>
          <w:sz w:val="17"/>
          <w:szCs w:val="17"/>
          <w:color w:val="auto"/>
        </w:rPr>
      </w:pPr>
      <w:r>
        <w:rPr>
          <w:rFonts w:ascii="Arial" w:cs="Arial" w:eastAsia="Arial" w:hAnsi="Arial"/>
          <w:sz w:val="16"/>
          <w:szCs w:val="16"/>
          <w:color w:val="auto"/>
        </w:rPr>
        <w:t>In order to ensure that Party B and Party B’s Subsidiaries perform any agreements signed with Party A and their obligations to Party A, Party B, Party B’s Subsidiaries and Party C hereby acknowledge and agree that, unless they obtain the prior written consent of Party A or any other parties designated by Party A, Party B and Party B’s Subsidiaries shall not conduct any transactions and actions that may have substantial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37" w:name="page338"/>
    <w:bookmarkEnd w:id="337"/>
    <w:p>
      <w:pPr>
        <w:ind w:left="860"/>
        <w:spacing w:after="0"/>
        <w:rPr>
          <w:sz w:val="20"/>
          <w:szCs w:val="20"/>
          <w:color w:val="auto"/>
        </w:rPr>
      </w:pPr>
      <w:r>
        <w:rPr>
          <w:rFonts w:ascii="Arial" w:cs="Arial" w:eastAsia="Arial" w:hAnsi="Arial"/>
          <w:sz w:val="17"/>
          <w:szCs w:val="17"/>
          <w:color w:val="auto"/>
        </w:rPr>
        <w:t>adverse effects on their assets, business, personnel, obligations, rights or company operations, including but not limited to: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1.1</w:t>
            </w:r>
          </w:p>
        </w:tc>
        <w:tc>
          <w:tcPr>
            <w:tcW w:w="9760" w:type="dxa"/>
            <w:vAlign w:val="bottom"/>
          </w:tcPr>
          <w:p>
            <w:pPr>
              <w:ind w:left="280"/>
              <w:spacing w:after="0"/>
              <w:rPr>
                <w:sz w:val="20"/>
                <w:szCs w:val="20"/>
                <w:color w:val="auto"/>
              </w:rPr>
            </w:pPr>
            <w:r>
              <w:rPr>
                <w:rFonts w:ascii="Arial" w:cs="Arial" w:eastAsia="Arial" w:hAnsi="Arial"/>
                <w:sz w:val="17"/>
                <w:szCs w:val="17"/>
                <w:color w:val="auto"/>
                <w:w w:val="88"/>
              </w:rPr>
              <w:t>Carrying out any activities beyond the normal business scope of the company or failure to operate company business in any way as consistent</w:t>
            </w:r>
          </w:p>
        </w:tc>
      </w:tr>
      <w:tr>
        <w:trPr>
          <w:trHeight w:val="212"/>
        </w:trPr>
        <w:tc>
          <w:tcPr>
            <w:tcW w:w="58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7"/>
                <w:szCs w:val="17"/>
                <w:color w:val="auto"/>
              </w:rPr>
              <w:t>and usual as those in the past;</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1.2</w:t>
            </w:r>
          </w:p>
        </w:tc>
        <w:tc>
          <w:tcPr>
            <w:tcW w:w="9760" w:type="dxa"/>
            <w:vAlign w:val="bottom"/>
          </w:tcPr>
          <w:p>
            <w:pPr>
              <w:ind w:left="280"/>
              <w:spacing w:after="0"/>
              <w:rPr>
                <w:sz w:val="20"/>
                <w:szCs w:val="20"/>
                <w:color w:val="auto"/>
              </w:rPr>
            </w:pPr>
            <w:r>
              <w:rPr>
                <w:rFonts w:ascii="Arial" w:cs="Arial" w:eastAsia="Arial" w:hAnsi="Arial"/>
                <w:sz w:val="17"/>
                <w:szCs w:val="17"/>
                <w:color w:val="auto"/>
              </w:rPr>
              <w:t>Borrowing money from any third party or assuming any debts;</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1.3</w:t>
            </w:r>
          </w:p>
        </w:tc>
        <w:tc>
          <w:tcPr>
            <w:tcW w:w="9760" w:type="dxa"/>
            <w:vAlign w:val="bottom"/>
          </w:tcPr>
          <w:p>
            <w:pPr>
              <w:ind w:left="280"/>
              <w:spacing w:after="0"/>
              <w:rPr>
                <w:sz w:val="20"/>
                <w:szCs w:val="20"/>
                <w:color w:val="auto"/>
              </w:rPr>
            </w:pPr>
            <w:r>
              <w:rPr>
                <w:rFonts w:ascii="Arial" w:cs="Arial" w:eastAsia="Arial" w:hAnsi="Arial"/>
                <w:sz w:val="17"/>
                <w:szCs w:val="17"/>
                <w:color w:val="auto"/>
              </w:rPr>
              <w:t>Changing or removing any directors of the company or dismissing and replacing any senior managers of the company;</w:t>
            </w:r>
          </w:p>
        </w:tc>
      </w:tr>
      <w:tr>
        <w:trPr>
          <w:trHeight w:val="386"/>
        </w:trPr>
        <w:tc>
          <w:tcPr>
            <w:tcW w:w="580" w:type="dxa"/>
            <w:vAlign w:val="bottom"/>
          </w:tcPr>
          <w:p>
            <w:pPr>
              <w:spacing w:after="0"/>
              <w:rPr>
                <w:sz w:val="20"/>
                <w:szCs w:val="20"/>
                <w:color w:val="auto"/>
              </w:rPr>
            </w:pPr>
            <w:r>
              <w:rPr>
                <w:rFonts w:ascii="Arial" w:cs="Arial" w:eastAsia="Arial" w:hAnsi="Arial"/>
                <w:sz w:val="17"/>
                <w:szCs w:val="17"/>
                <w:color w:val="auto"/>
              </w:rPr>
              <w:t>1.4</w:t>
            </w:r>
          </w:p>
        </w:tc>
        <w:tc>
          <w:tcPr>
            <w:tcW w:w="9760" w:type="dxa"/>
            <w:vAlign w:val="bottom"/>
          </w:tcPr>
          <w:p>
            <w:pPr>
              <w:ind w:left="280"/>
              <w:spacing w:after="0"/>
              <w:rPr>
                <w:sz w:val="20"/>
                <w:szCs w:val="20"/>
                <w:color w:val="auto"/>
              </w:rPr>
            </w:pPr>
            <w:r>
              <w:rPr>
                <w:rFonts w:ascii="Arial" w:cs="Arial" w:eastAsia="Arial" w:hAnsi="Arial"/>
                <w:sz w:val="17"/>
                <w:szCs w:val="17"/>
                <w:color w:val="auto"/>
                <w:w w:val="90"/>
              </w:rPr>
              <w:t>Selling to or acquiring from any third party or otherwise disposing of any assets or rights (including but not limited to any intellectual property</w:t>
            </w:r>
          </w:p>
        </w:tc>
      </w:tr>
      <w:tr>
        <w:trPr>
          <w:trHeight w:val="212"/>
        </w:trPr>
        <w:tc>
          <w:tcPr>
            <w:tcW w:w="58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7"/>
                <w:szCs w:val="17"/>
                <w:color w:val="auto"/>
              </w:rPr>
              <w:t>rights) with the total value of RMB 0.05 million or more;</w:t>
            </w:r>
          </w:p>
        </w:tc>
      </w:tr>
      <w:tr>
        <w:trPr>
          <w:trHeight w:val="386"/>
        </w:trPr>
        <w:tc>
          <w:tcPr>
            <w:tcW w:w="580" w:type="dxa"/>
            <w:vAlign w:val="bottom"/>
          </w:tcPr>
          <w:p>
            <w:pPr>
              <w:spacing w:after="0"/>
              <w:rPr>
                <w:sz w:val="20"/>
                <w:szCs w:val="20"/>
                <w:color w:val="auto"/>
              </w:rPr>
            </w:pPr>
            <w:r>
              <w:rPr>
                <w:rFonts w:ascii="Arial" w:cs="Arial" w:eastAsia="Arial" w:hAnsi="Arial"/>
                <w:sz w:val="17"/>
                <w:szCs w:val="17"/>
                <w:color w:val="auto"/>
              </w:rPr>
              <w:t>1.5</w:t>
            </w:r>
          </w:p>
        </w:tc>
        <w:tc>
          <w:tcPr>
            <w:tcW w:w="9760" w:type="dxa"/>
            <w:vAlign w:val="bottom"/>
          </w:tcPr>
          <w:p>
            <w:pPr>
              <w:ind w:left="280"/>
              <w:spacing w:after="0"/>
              <w:rPr>
                <w:sz w:val="20"/>
                <w:szCs w:val="20"/>
                <w:color w:val="auto"/>
              </w:rPr>
            </w:pPr>
            <w:r>
              <w:rPr>
                <w:rFonts w:ascii="Arial" w:cs="Arial" w:eastAsia="Arial" w:hAnsi="Arial"/>
                <w:sz w:val="17"/>
                <w:szCs w:val="17"/>
                <w:color w:val="auto"/>
                <w:w w:val="91"/>
              </w:rPr>
              <w:t>Providing any third party with any form of guarantees or creating any form of encumbrances on any assets of the company (including any</w:t>
            </w:r>
          </w:p>
        </w:tc>
      </w:tr>
      <w:tr>
        <w:trPr>
          <w:trHeight w:val="212"/>
        </w:trPr>
        <w:tc>
          <w:tcPr>
            <w:tcW w:w="58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7"/>
                <w:szCs w:val="17"/>
                <w:color w:val="auto"/>
              </w:rPr>
              <w:t>intellectual property rights);</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1.6</w:t>
            </w:r>
          </w:p>
        </w:tc>
        <w:tc>
          <w:tcPr>
            <w:tcW w:w="9760" w:type="dxa"/>
            <w:vAlign w:val="bottom"/>
          </w:tcPr>
          <w:p>
            <w:pPr>
              <w:ind w:left="280"/>
              <w:spacing w:after="0"/>
              <w:rPr>
                <w:sz w:val="20"/>
                <w:szCs w:val="20"/>
                <w:color w:val="auto"/>
              </w:rPr>
            </w:pPr>
            <w:r>
              <w:rPr>
                <w:rFonts w:ascii="Arial" w:cs="Arial" w:eastAsia="Arial" w:hAnsi="Arial"/>
                <w:sz w:val="17"/>
                <w:szCs w:val="17"/>
                <w:color w:val="auto"/>
              </w:rPr>
              <w:t>Amending the articles of association or changing the business scope of the company;</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1.7</w:t>
            </w:r>
          </w:p>
        </w:tc>
        <w:tc>
          <w:tcPr>
            <w:tcW w:w="9760" w:type="dxa"/>
            <w:vAlign w:val="bottom"/>
          </w:tcPr>
          <w:p>
            <w:pPr>
              <w:ind w:left="280"/>
              <w:spacing w:after="0"/>
              <w:rPr>
                <w:sz w:val="20"/>
                <w:szCs w:val="20"/>
                <w:color w:val="auto"/>
              </w:rPr>
            </w:pPr>
            <w:r>
              <w:rPr>
                <w:rFonts w:ascii="Arial" w:cs="Arial" w:eastAsia="Arial" w:hAnsi="Arial"/>
                <w:sz w:val="17"/>
                <w:szCs w:val="17"/>
                <w:color w:val="auto"/>
                <w:w w:val="97"/>
              </w:rPr>
              <w:t>Changing the normal business procedures of the company or modifying any major internal rules and regulations of the company;</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1.8</w:t>
            </w:r>
          </w:p>
        </w:tc>
        <w:tc>
          <w:tcPr>
            <w:tcW w:w="9760" w:type="dxa"/>
            <w:vAlign w:val="bottom"/>
          </w:tcPr>
          <w:p>
            <w:pPr>
              <w:ind w:left="280"/>
              <w:spacing w:after="0"/>
              <w:rPr>
                <w:sz w:val="20"/>
                <w:szCs w:val="20"/>
                <w:color w:val="auto"/>
              </w:rPr>
            </w:pPr>
            <w:r>
              <w:rPr>
                <w:rFonts w:ascii="Arial" w:cs="Arial" w:eastAsia="Arial" w:hAnsi="Arial"/>
                <w:sz w:val="17"/>
                <w:szCs w:val="17"/>
                <w:color w:val="auto"/>
              </w:rPr>
              <w:t>Transferring their rights and obligations under this Agreement to any third party;</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1.9</w:t>
            </w:r>
          </w:p>
        </w:tc>
        <w:tc>
          <w:tcPr>
            <w:tcW w:w="9760" w:type="dxa"/>
            <w:vAlign w:val="bottom"/>
          </w:tcPr>
          <w:p>
            <w:pPr>
              <w:ind w:left="280"/>
              <w:spacing w:after="0"/>
              <w:rPr>
                <w:sz w:val="20"/>
                <w:szCs w:val="20"/>
                <w:color w:val="auto"/>
              </w:rPr>
            </w:pPr>
            <w:r>
              <w:rPr>
                <w:rFonts w:ascii="Arial" w:cs="Arial" w:eastAsia="Arial" w:hAnsi="Arial"/>
                <w:sz w:val="17"/>
                <w:szCs w:val="17"/>
                <w:color w:val="auto"/>
                <w:w w:val="95"/>
              </w:rPr>
              <w:t>Making any major adjustments to their business operation model, marketing strategy, management policy or customer relations; and</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1.10</w:t>
            </w:r>
          </w:p>
        </w:tc>
        <w:tc>
          <w:tcPr>
            <w:tcW w:w="9760" w:type="dxa"/>
            <w:vAlign w:val="bottom"/>
          </w:tcPr>
          <w:p>
            <w:pPr>
              <w:ind w:left="280"/>
              <w:spacing w:after="0"/>
              <w:rPr>
                <w:sz w:val="20"/>
                <w:szCs w:val="20"/>
                <w:color w:val="auto"/>
              </w:rPr>
            </w:pPr>
            <w:r>
              <w:rPr>
                <w:rFonts w:ascii="Arial" w:cs="Arial" w:eastAsia="Arial" w:hAnsi="Arial"/>
                <w:sz w:val="17"/>
                <w:szCs w:val="17"/>
                <w:color w:val="auto"/>
              </w:rPr>
              <w:t>Distributing any bonus and dividend in any form.</w:t>
            </w:r>
          </w:p>
        </w:tc>
      </w:tr>
    </w:tbl>
    <w:p>
      <w:pPr>
        <w:spacing w:after="0" w:line="183" w:lineRule="exact"/>
        <w:rPr>
          <w:sz w:val="20"/>
          <w:szCs w:val="20"/>
          <w:color w:val="auto"/>
        </w:rPr>
      </w:pPr>
    </w:p>
    <w:p>
      <w:pPr>
        <w:ind w:left="860" w:hanging="860"/>
        <w:spacing w:after="0"/>
        <w:tabs>
          <w:tab w:leader="none" w:pos="860"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Management and Personnel Arrangement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Party B’s Subsidiaries and Party C hereby agree to accept any appointment and dismissal of employees of the company provided by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A from time to time and any opinions and instructions on the daily operating management, financial management system, etc., of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company and strictly implement them.</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B, Party B’s Subsidiaries and Party C hereby agree that Party C shall, in accordance with the laws and regulations and the articles of</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association, elect or appoint any persons designated by Party A as director (or executive director) or supervisor of Party B and Party B’s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Subsidiaries and cause such persons elected as director to elect the chairman of the company (if the company has a board of directors)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according to Party A’s recommendation of candidate and shall appoint any persons designated by Party A as general manager, chief financial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officer and other senior managers of Party B and Party B’s Subsidiaries.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When the aforesaid directors or senior managers designated by Party A leave Party A for any reasons whatsoever (including but not limited to</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any voluntary resignation and dismissal by Party A), they will be disqualified from holding a post in Party B and Party B’s Subsidiaries. In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such a case, Party B, Party B’s Subsidiaries and Party C shall immediately dismiss the aforesaid persons from any post in Party B and Party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B’s Subsidiaries and immediately elect or employ any other persons otherwise designated by Party A to hold such post.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2.4</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For the purpose of the Section 2.3 above, Party B, Party B’s Subsidiaries and Party C shall, in accordance with the laws, articles of association</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this Agreement, take all necessary internal</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5" w:right="299" w:bottom="1440" w:gutter="0" w:footer="0" w:header="0"/>
        </w:sectPr>
      </w:pPr>
    </w:p>
    <w:bookmarkStart w:id="338" w:name="page339"/>
    <w:bookmarkEnd w:id="338"/>
    <w:tbl>
      <w:tblPr>
        <w:tblLayout w:type="fixed"/>
        <w:tblInd w:w="86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and external procedures of the company to complete the above dismissal and appointment procedures.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2.5</w:t>
            </w: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Party C hereby agrees that, when signing this Agreement, it shall sign a power of attorney in such form and substance as shown in Annex III</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hereto and shall, according to such power of attorney, irrevocably authorize any persons designated by Party A to exercise its shareholder</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rights on its behalf and exercise all shareholders’ voting rights in the name of shareholders at any meeting of shareholders held by Party B and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Party B’s Subsidiaries. Party C further agrees that it shall replace at any time the designated authorized persons in the forgoing power of</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attorney according to Party A’s requirements.</w:t>
            </w:r>
          </w:p>
        </w:tc>
      </w:tr>
    </w:tbl>
    <w:p>
      <w:pPr>
        <w:spacing w:after="0" w:line="183" w:lineRule="exact"/>
        <w:rPr>
          <w:sz w:val="20"/>
          <w:szCs w:val="20"/>
          <w:color w:val="auto"/>
        </w:rPr>
      </w:pPr>
    </w:p>
    <w:p>
      <w:pPr>
        <w:ind w:left="860" w:hanging="860"/>
        <w:spacing w:after="0"/>
        <w:tabs>
          <w:tab w:leader="none" w:pos="860" w:val="left"/>
        </w:tabs>
        <w:numPr>
          <w:ilvl w:val="0"/>
          <w:numId w:val="36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of the agreements among Party A and Party B and Party B’s Subsidiaries is terminated or expires, Party A shall have the right to decide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whether to terminate all agreements among Party A and Party B and Party B’s Subsidiaries, including but not limited to any Exclusive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Technical Consultation and Service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Considering that Party A has established the business relationship with Party B and Party B’s Subsidiaries by signing an Exclusive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Consultation and Service Agreement and other agreements, any daily operating activities of Party B and Party B’s Subsidiaries will have a</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substantial impact on their ability to pay the corresponding amounts to Party A. Party C agrees that, subject to the provisions of Article 1</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hereof, any incomes or interests shall be immediately paid or transferred without compensation to Party A when they are realized, under no</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conditions, out of any bonuses, dividend distributions or any other similar incomes or interests (regardless of their specific form) that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received by Party C from Party B and Party B’s Subsidiaries in the capacity of a shareholder of Party B and Party B’s Subsidiaries and that it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shall, according to Party A’s requirements, provide all necessary documents or take all necessary actions to realize such payment or transfer.</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3.3</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added Party B’s Subsidiary at any time after the effective date of this Agreement, Party B and Party C shall cause such newly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added Party B’s Subsidiary to sign a letter of acceptance of rights and obligations in such form and substance as shown in Annex IV hereto and</w:t>
            </w:r>
          </w:p>
        </w:tc>
      </w:tr>
    </w:tbl>
    <w:p>
      <w:pPr>
        <w:jc w:val="both"/>
        <w:ind w:left="1720"/>
        <w:spacing w:after="0" w:line="245" w:lineRule="auto"/>
        <w:rPr>
          <w:sz w:val="20"/>
          <w:szCs w:val="20"/>
          <w:color w:val="auto"/>
        </w:rPr>
      </w:pPr>
      <w:r>
        <w:rPr>
          <w:rFonts w:ascii="Arial" w:cs="Arial" w:eastAsia="Arial" w:hAnsi="Arial"/>
          <w:sz w:val="17"/>
          <w:szCs w:val="17"/>
          <w:color w:val="auto"/>
        </w:rPr>
        <w:t>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Subsidiary shall be deemed to be a signatory to this Agreement. Any other Parties hereto hereby agree to and fully accept the foregoing arrangement.</w:t>
      </w:r>
    </w:p>
    <w:p>
      <w:pPr>
        <w:spacing w:after="0" w:line="182" w:lineRule="exact"/>
        <w:rPr>
          <w:sz w:val="20"/>
          <w:szCs w:val="20"/>
          <w:color w:val="auto"/>
        </w:rPr>
      </w:pPr>
    </w:p>
    <w:p>
      <w:pPr>
        <w:ind w:left="860" w:hanging="860"/>
        <w:spacing w:after="0"/>
        <w:tabs>
          <w:tab w:leader="none" w:pos="860" w:val="left"/>
        </w:tabs>
        <w:numPr>
          <w:ilvl w:val="0"/>
          <w:numId w:val="36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and Amendment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This Agreement and all agreements and/or documents referred to or expressly contained herein shall constitute an entire agreement among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Parties in respect of the subject matter of this Agreement and supersede all prior oral and written agreements, contracts, understandings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communications among the Parties in relation to the subject matter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No amendments to this Agreement shall be valid unless a written agreement is signed by the Parties. Any amendment and supplementary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agreements duly signed by the Parties in relation to this Agreement shall form an integral part of this Agreement and be equally authentic as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w:t>
            </w:r>
          </w:p>
        </w:tc>
      </w:tr>
    </w:tbl>
    <w:p>
      <w:pPr>
        <w:spacing w:after="0" w:line="183" w:lineRule="exact"/>
        <w:rPr>
          <w:sz w:val="20"/>
          <w:szCs w:val="20"/>
          <w:color w:val="auto"/>
        </w:rPr>
      </w:pPr>
    </w:p>
    <w:p>
      <w:pPr>
        <w:ind w:left="860" w:hanging="860"/>
        <w:spacing w:after="0"/>
        <w:tabs>
          <w:tab w:leader="none" w:pos="860"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39" w:name="page340"/>
    <w:bookmarkEnd w:id="339"/>
    <w:p>
      <w:pPr>
        <w:ind w:left="860" w:hanging="860"/>
        <w:spacing w:after="0"/>
        <w:tabs>
          <w:tab w:leader="none" w:pos="860" w:val="left"/>
        </w:tabs>
        <w:numPr>
          <w:ilvl w:val="0"/>
          <w:numId w:val="371"/>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resolve such disputes through consultation in good faith. If such disputes can not be resolved through consultation, any Party may submit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proceedings shall be Chinese. Any arbitral award shall be final and binding upon the Parties. No provisions of this Article shall be affected by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372"/>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rFonts w:ascii="Arial" w:cs="Arial" w:eastAsia="Arial" w:hAnsi="Arial"/>
          <w:sz w:val="17"/>
          <w:szCs w:val="17"/>
          <w:b w:val="1"/>
          <w:bCs w:val="1"/>
          <w:color w:val="auto"/>
        </w:rPr>
      </w:pPr>
    </w:p>
    <w:p>
      <w:pPr>
        <w:jc w:val="both"/>
        <w:ind w:left="860" w:right="4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2"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A,</w:t>
      </w:r>
    </w:p>
    <w:p>
      <w:pPr>
        <w:spacing w:after="0" w:line="207" w:lineRule="exact"/>
        <w:rPr>
          <w:rFonts w:ascii="Arial" w:cs="Arial" w:eastAsia="Arial" w:hAnsi="Arial"/>
          <w:sz w:val="17"/>
          <w:szCs w:val="17"/>
          <w:b w:val="1"/>
          <w:bCs w:val="1"/>
          <w:color w:val="auto"/>
        </w:rPr>
      </w:pPr>
    </w:p>
    <w:p>
      <w:pPr>
        <w:ind w:left="860" w:right="360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Address: Building 6, Chaolai Science and Technology Park, Laiguangying, Chaoyang District, Beijing Tel.:[•]</w:t>
      </w:r>
    </w:p>
    <w:p>
      <w:pPr>
        <w:spacing w:after="0" w:line="16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LIU Botong</w:t>
      </w:r>
    </w:p>
    <w:p>
      <w:pPr>
        <w:spacing w:after="0" w:line="19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B and Party B’s Subsidiaries</w:t>
      </w:r>
    </w:p>
    <w:p>
      <w:pPr>
        <w:spacing w:after="0" w:line="207" w:lineRule="exact"/>
        <w:rPr>
          <w:rFonts w:ascii="Arial" w:cs="Arial" w:eastAsia="Arial" w:hAnsi="Arial"/>
          <w:sz w:val="17"/>
          <w:szCs w:val="17"/>
          <w:b w:val="1"/>
          <w:bCs w:val="1"/>
          <w:color w:val="auto"/>
        </w:rPr>
      </w:pPr>
    </w:p>
    <w:p>
      <w:pPr>
        <w:ind w:left="860" w:right="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Address: Room 04, 3rd Floor, Building 3, Building 1, 2, 3, Contemporary China Venture Center, No. 20, Guannanyuan 1st Road, East Lake New Technology Development Zone, Wuhan (Wuhan Area, Free Trade Zone)</w:t>
      </w:r>
    </w:p>
    <w:p>
      <w:pPr>
        <w:spacing w:after="0" w:line="16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Tel.: [•]</w:t>
      </w:r>
    </w:p>
    <w:p>
      <w:pPr>
        <w:spacing w:after="0" w:line="203"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SHENG Heqiang</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372"/>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Term and Miscellaneous Provisions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Any written consents, suggestions and designations of Party A involved herein and any other decisions that have a substantial impact on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daily operation of Party B and Party B’s Subsidiaries shall be made by Party A’s board of directors and/or executive director.</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8.2</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This Agreement is executed by the parties hereto and take effect as of the date first written above herein. Unless Party A cancels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Agreement in advance, the term of this Agreement shall be terminated upon dissolution of both of Party B and Party B’s Subsidiaries in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accordance with the laws of the PRC. Upon Party A’s request prior to the expiration of this Agreement, the Parties shall extend the term of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Agreement at Party A’s request and shall sign a separate business operation agreement or continue to perform this Agreement according to</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Party A’s requirements.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8.3</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Notwithstanding the above, the Parties acknowledge that, in case of any change of Party B’s shareholding structure or any increase or decrease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of shareholders and other circumstances, Party A, Party B, Party B’s Subsidiaries and all existing shareholders of Party B shall re-sign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Agreement, and this Agreement shall automatically be terminated and become invalid from the effective date of the business operation</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agreement re-signed by the foregoing Parties.</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4</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1" w:right="299" w:bottom="1440" w:gutter="0" w:footer="0" w:header="0"/>
        </w:sectPr>
      </w:pPr>
    </w:p>
    <w:bookmarkStart w:id="340" w:name="page341"/>
    <w:bookmarkEnd w:id="340"/>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Within the term of this Agreement, Party B, Party B’s Subsidiaries and Party C shall not terminate this Agreement in advance. Party A shall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have the right to terminate this Agreement at any time by giving a written notice to Party B, Party B’s Subsidiaries and shareholders Thirty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(30) days in advance.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Parties hereby acknowledge that this Agreement shall be a fair and reasonable agreement reached by the Parties hereto on the basis of</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equality and mutual benefit. If any provisions of this Agreement are deemed to be illegal or unenforceable by any applicable law,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provisions shall be deemed to have been deleted from this Agreement and become invalid, provided that any other provisions of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Agreement shall remain in force, and this Agreement shall be deemed to have not contained such provisions from the beginning. The Parties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hereto shall mutually negotiate about the replacement of such provisions that are deemed to have been deleted with any legal and valid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provisions acceptable to the Parties.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8.6</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No failure by any Party to exercise its rights, powers or privileges under this Agreement shall be treated as a waiver of such rights, powers or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privileges by such Party. No single or partial exercise by any Party of its rights, powers or privileges under this Agreement shall exclude any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exercise by such Party of its other rights, powers or privileges under this Agreement.</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8.7</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8.8</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Party B, Party B’s Subsidiaries and Party C shall not transfer to any third party their rights and obligations under this Agreement unless they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obtain the prior written consent of Party A.</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duly authorized representative as of the date first above written.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41" w:name="page342"/>
    <w:bookmarkEnd w:id="341"/>
    <w:p>
      <w:pPr>
        <w:jc w:val="right"/>
        <w:ind w:right="2159"/>
        <w:spacing w:after="0"/>
        <w:rPr>
          <w:sz w:val="20"/>
          <w:szCs w:val="20"/>
          <w:color w:val="auto"/>
        </w:rPr>
      </w:pPr>
      <w:r>
        <w:rPr>
          <w:rFonts w:ascii="Arial" w:cs="Arial" w:eastAsia="Arial" w:hAnsi="Arial"/>
          <w:sz w:val="17"/>
          <w:szCs w:val="17"/>
          <w:color w:val="auto"/>
        </w:rPr>
        <w:t>[This page is the signature page to the Business Operation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 /s/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-20955</wp:posOffset>
            </wp:positionV>
            <wp:extent cx="67500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4">
                      <a:extLst>
                        <a:ext uri="{28A0092B-C50C-407E-A947-70E740481C1C}"/>
                      </a:extLst>
                    </a:blip>
                    <a:srcRect/>
                    <a:stretch>
                      <a:fillRect/>
                    </a:stretch>
                  </pic:blipFill>
                  <pic:spPr bwMode="auto">
                    <a:xfrm>
                      <a:off x="0" y="0"/>
                      <a:ext cx="675005" cy="762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SHENG Heqiang</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6" w:right="1440" w:bottom="1440" w:gutter="0" w:footer="0" w:header="0"/>
        </w:sectPr>
      </w:pPr>
    </w:p>
    <w:bookmarkStart w:id="342" w:name="page343"/>
    <w:bookmarkEnd w:id="342"/>
    <w:p>
      <w:pPr>
        <w:jc w:val="center"/>
        <w:ind w:right="40"/>
        <w:spacing w:after="0"/>
        <w:rPr>
          <w:sz w:val="20"/>
          <w:szCs w:val="20"/>
          <w:color w:val="auto"/>
        </w:rPr>
      </w:pPr>
      <w:r>
        <w:rPr>
          <w:rFonts w:ascii="Arial" w:cs="Arial" w:eastAsia="Arial" w:hAnsi="Arial"/>
          <w:sz w:val="17"/>
          <w:szCs w:val="17"/>
          <w:b w:val="1"/>
          <w:bCs w:val="1"/>
          <w:color w:val="auto"/>
        </w:rPr>
        <w:t>[This page is intentionally left blank as the signature page of the Business Operation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SHENG Heqiang</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1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SHENG Heqiang</w:t>
            </w:r>
          </w:p>
        </w:tc>
        <w:tc>
          <w:tcPr>
            <w:tcW w:w="8300" w:type="dxa"/>
            <w:vAlign w:val="bottom"/>
          </w:tcPr>
          <w:p>
            <w:pPr>
              <w:spacing w:after="0"/>
              <w:rPr>
                <w:sz w:val="17"/>
                <w:szCs w:val="17"/>
                <w:color w:val="auto"/>
              </w:rPr>
            </w:pPr>
          </w:p>
        </w:tc>
      </w:tr>
      <w:tr>
        <w:trPr>
          <w:trHeight w:val="379"/>
        </w:trPr>
        <w:tc>
          <w:tcPr>
            <w:tcW w:w="2980" w:type="dxa"/>
            <w:vAlign w:val="bottom"/>
            <w:gridSpan w:val="2"/>
          </w:tcPr>
          <w:p>
            <w:pPr>
              <w:spacing w:after="0"/>
              <w:rPr>
                <w:sz w:val="20"/>
                <w:szCs w:val="20"/>
                <w:color w:val="auto"/>
              </w:rPr>
            </w:pPr>
            <w:r>
              <w:rPr>
                <w:rFonts w:ascii="Arial" w:cs="Arial" w:eastAsia="Arial" w:hAnsi="Arial"/>
                <w:sz w:val="17"/>
                <w:szCs w:val="17"/>
                <w:color w:val="auto"/>
              </w:rPr>
              <w:t>ZHANG Shaobin</w:t>
            </w:r>
          </w:p>
        </w:tc>
        <w:tc>
          <w:tcPr>
            <w:tcW w:w="8300" w:type="dxa"/>
            <w:vAlign w:val="bottom"/>
          </w:tcPr>
          <w:p>
            <w:pPr>
              <w:spacing w:after="0"/>
              <w:rPr>
                <w:sz w:val="24"/>
                <w:szCs w:val="24"/>
                <w:color w:val="auto"/>
              </w:rPr>
            </w:pPr>
          </w:p>
        </w:tc>
      </w:tr>
      <w:tr>
        <w:trPr>
          <w:trHeight w:val="212"/>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1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ZHANG Shaobin</w:t>
            </w:r>
          </w:p>
        </w:tc>
        <w:tc>
          <w:tcPr>
            <w:tcW w:w="8300" w:type="dxa"/>
            <w:vAlign w:val="bottom"/>
          </w:tcPr>
          <w:p>
            <w:pPr>
              <w:spacing w:after="0"/>
              <w:rPr>
                <w:sz w:val="18"/>
                <w:szCs w:val="18"/>
                <w:color w:val="auto"/>
              </w:rPr>
            </w:pPr>
          </w:p>
        </w:tc>
      </w:tr>
      <w:tr>
        <w:trPr>
          <w:trHeight w:val="496"/>
        </w:trPr>
        <w:tc>
          <w:tcPr>
            <w:tcW w:w="10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343" w:name="page344"/>
    <w:bookmarkEnd w:id="343"/>
    <w:p>
      <w:pPr>
        <w:jc w:val="center"/>
        <w:ind w:right="40"/>
        <w:spacing w:after="0"/>
        <w:rPr>
          <w:sz w:val="20"/>
          <w:szCs w:val="20"/>
          <w:color w:val="auto"/>
        </w:rPr>
      </w:pPr>
      <w:r>
        <w:rPr>
          <w:rFonts w:ascii="Arial" w:cs="Arial" w:eastAsia="Arial" w:hAnsi="Arial"/>
          <w:sz w:val="20"/>
          <w:szCs w:val="20"/>
          <w:b w:val="1"/>
          <w:bCs w:val="1"/>
          <w:color w:val="auto"/>
        </w:rPr>
        <w:t>Annex I Party B’s Shareholders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ID Card No.</w:t>
            </w:r>
          </w:p>
        </w:tc>
        <w:tc>
          <w:tcPr>
            <w:tcW w:w="2840" w:type="dxa"/>
            <w:vAlign w:val="bottom"/>
          </w:tcPr>
          <w:p>
            <w:pPr>
              <w:spacing w:after="0"/>
              <w:rPr>
                <w:sz w:val="20"/>
                <w:szCs w:val="20"/>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SHNEG Heqiang</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ZHANG Shaobin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695"/>
        </w:trPr>
        <w:tc>
          <w:tcPr>
            <w:tcW w:w="2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344" w:name="page345"/>
    <w:bookmarkEnd w:id="344"/>
    <w:p>
      <w:pPr>
        <w:jc w:val="center"/>
        <w:ind w:right="40"/>
        <w:spacing w:after="0"/>
        <w:rPr>
          <w:sz w:val="20"/>
          <w:szCs w:val="20"/>
          <w:color w:val="auto"/>
        </w:rPr>
      </w:pPr>
      <w:r>
        <w:rPr>
          <w:rFonts w:ascii="Arial" w:cs="Arial" w:eastAsia="Arial" w:hAnsi="Arial"/>
          <w:sz w:val="20"/>
          <w:szCs w:val="20"/>
          <w:b w:val="1"/>
          <w:bCs w:val="1"/>
          <w:color w:val="auto"/>
        </w:rPr>
        <w:t>Annex II Party B’s Shareholding Structure</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Amount of Contribution</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(CNY10000)</w:t>
            </w:r>
          </w:p>
        </w:tc>
        <w:tc>
          <w:tcPr>
            <w:tcW w:w="248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0" w:type="dxa"/>
            <w:vAlign w:val="bottom"/>
            <w:tcBorders>
              <w:left w:val="single" w:sz="8" w:color="auto"/>
              <w:right w:val="single" w:sz="8" w:color="auto"/>
            </w:tcBorders>
          </w:tcPr>
          <w:p>
            <w:pPr>
              <w:spacing w:after="0"/>
              <w:rPr>
                <w:sz w:val="8"/>
                <w:szCs w:val="8"/>
                <w:color w:val="auto"/>
              </w:rPr>
            </w:pPr>
          </w:p>
        </w:tc>
        <w:tc>
          <w:tcPr>
            <w:tcW w:w="572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SHENG Heqiang</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190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ZHANG Shaobin</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Total</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200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4" w:right="299" w:bottom="1440" w:gutter="0" w:footer="0" w:header="0"/>
        </w:sectPr>
      </w:pPr>
    </w:p>
    <w:bookmarkStart w:id="345" w:name="page346"/>
    <w:bookmarkEnd w:id="345"/>
    <w:p>
      <w:pPr>
        <w:jc w:val="center"/>
        <w:ind w:right="-59"/>
        <w:spacing w:after="0"/>
        <w:rPr>
          <w:sz w:val="20"/>
          <w:szCs w:val="20"/>
          <w:color w:val="auto"/>
        </w:rPr>
      </w:pPr>
      <w:r>
        <w:rPr>
          <w:rFonts w:ascii="Arial" w:cs="Arial" w:eastAsia="Arial" w:hAnsi="Arial"/>
          <w:sz w:val="20"/>
          <w:szCs w:val="20"/>
          <w:b w:val="1"/>
          <w:bCs w:val="1"/>
          <w:color w:val="auto"/>
        </w:rPr>
        <w:t>Annex III Power of Attorney</w:t>
      </w:r>
    </w:p>
    <w:p>
      <w:pPr>
        <w:spacing w:after="0" w:line="27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Wuhan Fangtang Education Technology Co., Ltd. (“</w:t>
      </w:r>
      <w:r>
        <w:rPr>
          <w:rFonts w:ascii="Arial" w:cs="Arial" w:eastAsia="Arial" w:hAnsi="Arial"/>
          <w:sz w:val="17"/>
          <w:szCs w:val="17"/>
          <w:b w:val="1"/>
          <w:bCs w:val="1"/>
          <w:color w:val="auto"/>
        </w:rPr>
        <w:t>Wuhan Fangtang</w:t>
      </w:r>
      <w:r>
        <w:rPr>
          <w:rFonts w:ascii="Arial" w:cs="Arial" w:eastAsia="Arial" w:hAnsi="Arial"/>
          <w:sz w:val="17"/>
          <w:szCs w:val="17"/>
          <w:color w:val="auto"/>
        </w:rPr>
        <w:t>”) of any specific obligations required by them as the shareholders of Wuhan Fangtang,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SHENG Heqiang, ZHANG Shaobin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Authorizers hereby irrevocably authorize to the maximum scope permitted by law Tianjin Studyvip Education Co., Limited ("</w:t>
      </w:r>
      <w:r>
        <w:rPr>
          <w:rFonts w:ascii="Arial" w:cs="Arial" w:eastAsia="Arial" w:hAnsi="Arial"/>
          <w:sz w:val="16"/>
          <w:szCs w:val="16"/>
          <w:b w:val="1"/>
          <w:bCs w:val="1"/>
          <w:color w:val="auto"/>
        </w:rPr>
        <w:t>WFOE</w:t>
      </w:r>
      <w:r>
        <w:rPr>
          <w:rFonts w:ascii="Arial" w:cs="Arial" w:eastAsia="Arial" w:hAnsi="Arial"/>
          <w:sz w:val="16"/>
          <w:szCs w:val="16"/>
          <w:color w:val="auto"/>
        </w:rPr>
        <w:t>") or its designated person or authorized representative (“</w:t>
      </w:r>
      <w:r>
        <w:rPr>
          <w:rFonts w:ascii="Arial" w:cs="Arial" w:eastAsia="Arial" w:hAnsi="Arial"/>
          <w:sz w:val="16"/>
          <w:szCs w:val="16"/>
          <w:b w:val="1"/>
          <w:bCs w:val="1"/>
          <w:color w:val="auto"/>
        </w:rPr>
        <w:t>Authorized Person</w:t>
      </w:r>
      <w:r>
        <w:rPr>
          <w:rFonts w:ascii="Arial" w:cs="Arial" w:eastAsia="Arial" w:hAnsi="Arial"/>
          <w:sz w:val="16"/>
          <w:szCs w:val="16"/>
          <w:color w:val="auto"/>
        </w:rPr>
        <w:t>”) to exercise all their shareholder rights corresponding to all voting shares (“</w:t>
      </w:r>
      <w:r>
        <w:rPr>
          <w:rFonts w:ascii="Arial" w:cs="Arial" w:eastAsia="Arial" w:hAnsi="Arial"/>
          <w:sz w:val="16"/>
          <w:szCs w:val="16"/>
          <w:b w:val="1"/>
          <w:bCs w:val="1"/>
          <w:color w:val="auto"/>
        </w:rPr>
        <w:t>Shares</w:t>
      </w:r>
      <w:r>
        <w:rPr>
          <w:rFonts w:ascii="Arial" w:cs="Arial" w:eastAsia="Arial" w:hAnsi="Arial"/>
          <w:sz w:val="16"/>
          <w:szCs w:val="16"/>
          <w:color w:val="auto"/>
        </w:rPr>
        <w:t>”) held by them in Wuhan Fangtang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 (3) 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Wuhan Fangtang at the meeting of shareholders of Wuhan Fangtang.</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the WFOE.</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Unless the Business Operation Agreement signed by Wuhan Fangtang,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the 28</w:t>
      </w:r>
      <w:r>
        <w:rPr>
          <w:rFonts w:ascii="Arial" w:cs="Arial" w:eastAsia="Arial" w:hAnsi="Arial"/>
          <w:sz w:val="14"/>
          <w:szCs w:val="14"/>
          <w:color w:val="auto"/>
        </w:rPr>
        <w:t>th</w:t>
      </w:r>
      <w:r>
        <w:rPr>
          <w:rFonts w:ascii="Arial" w:cs="Arial" w:eastAsia="Arial" w:hAnsi="Arial"/>
          <w:sz w:val="17"/>
          <w:szCs w:val="17"/>
          <w:color w:val="auto"/>
        </w:rPr>
        <w:t xml:space="preserve"> day of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441325</wp:posOffset>
            </wp:positionV>
            <wp:extent cx="7184390" cy="412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80"/>
          </w:cols>
          <w:pgMar w:left="320" w:top="314" w:right="399" w:bottom="1440" w:gutter="0" w:footer="0" w:header="0"/>
        </w:sectPr>
      </w:pPr>
    </w:p>
    <w:bookmarkStart w:id="346" w:name="page347"/>
    <w:bookmarkEnd w:id="346"/>
    <w:p>
      <w:pPr>
        <w:jc w:val="center"/>
        <w:ind w:right="40"/>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SHENG Heqiang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3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SHENG Heqiang</w:t>
            </w:r>
          </w:p>
        </w:tc>
        <w:tc>
          <w:tcPr>
            <w:tcW w:w="7060" w:type="dxa"/>
            <w:vAlign w:val="bottom"/>
          </w:tcPr>
          <w:p>
            <w:pPr>
              <w:spacing w:after="0"/>
              <w:rPr>
                <w:sz w:val="17"/>
                <w:szCs w:val="17"/>
                <w:color w:val="auto"/>
              </w:rPr>
            </w:pPr>
          </w:p>
        </w:tc>
      </w:tr>
      <w:tr>
        <w:trPr>
          <w:trHeight w:val="379"/>
        </w:trPr>
        <w:tc>
          <w:tcPr>
            <w:tcW w:w="4220" w:type="dxa"/>
            <w:vAlign w:val="bottom"/>
            <w:gridSpan w:val="2"/>
          </w:tcPr>
          <w:p>
            <w:pPr>
              <w:spacing w:after="0"/>
              <w:rPr>
                <w:sz w:val="20"/>
                <w:szCs w:val="20"/>
                <w:color w:val="auto"/>
              </w:rPr>
            </w:pPr>
            <w:r>
              <w:rPr>
                <w:rFonts w:ascii="Arial" w:cs="Arial" w:eastAsia="Arial" w:hAnsi="Arial"/>
                <w:sz w:val="17"/>
                <w:szCs w:val="17"/>
                <w:color w:val="auto"/>
              </w:rPr>
              <w:t>ZHANG Shaobin</w:t>
            </w:r>
          </w:p>
        </w:tc>
        <w:tc>
          <w:tcPr>
            <w:tcW w:w="7060" w:type="dxa"/>
            <w:vAlign w:val="bottom"/>
          </w:tcPr>
          <w:p>
            <w:pPr>
              <w:spacing w:after="0"/>
              <w:rPr>
                <w:sz w:val="24"/>
                <w:szCs w:val="24"/>
                <w:color w:val="auto"/>
              </w:rPr>
            </w:pPr>
          </w:p>
        </w:tc>
      </w:tr>
      <w:tr>
        <w:trPr>
          <w:trHeight w:val="212"/>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3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ZHANG Shaobin</w:t>
            </w:r>
          </w:p>
        </w:tc>
        <w:tc>
          <w:tcPr>
            <w:tcW w:w="7060" w:type="dxa"/>
            <w:vAlign w:val="bottom"/>
          </w:tcPr>
          <w:p>
            <w:pPr>
              <w:spacing w:after="0"/>
              <w:rPr>
                <w:sz w:val="18"/>
                <w:szCs w:val="18"/>
                <w:color w:val="auto"/>
              </w:rPr>
            </w:pPr>
          </w:p>
        </w:tc>
      </w:tr>
      <w:tr>
        <w:trPr>
          <w:trHeight w:val="695"/>
        </w:trPr>
        <w:tc>
          <w:tcPr>
            <w:tcW w:w="10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347" w:name="page348"/>
    <w:bookmarkEnd w:id="347"/>
    <w:p>
      <w:pPr>
        <w:jc w:val="right"/>
        <w:ind w:right="2479"/>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Tianjin Studyvip Education Co., Limited</w:t>
      </w:r>
    </w:p>
    <w:p>
      <w:pPr>
        <w:spacing w:after="0" w:line="20"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2540</wp:posOffset>
            </wp:positionV>
            <wp:extent cx="204851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5">
                      <a:extLst>
                        <a:ext uri="{28A0092B-C50C-407E-A947-70E740481C1C}"/>
                      </a:extLst>
                    </a:blip>
                    <a:srcRect/>
                    <a:stretch>
                      <a:fillRect/>
                    </a:stretch>
                  </pic:blipFill>
                  <pic:spPr bwMode="auto">
                    <a:xfrm>
                      <a:off x="0" y="0"/>
                      <a:ext cx="2048510"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LIU Tongbo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Position: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432435</wp:posOffset>
            </wp:positionV>
            <wp:extent cx="7184390" cy="412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348" w:name="page349"/>
    <w:bookmarkEnd w:id="348"/>
    <w:p>
      <w:pPr>
        <w:jc w:val="center"/>
        <w:spacing w:after="0"/>
        <w:rPr>
          <w:sz w:val="20"/>
          <w:szCs w:val="20"/>
          <w:color w:val="auto"/>
        </w:rPr>
      </w:pPr>
      <w:r>
        <w:rPr>
          <w:rFonts w:ascii="Arial" w:cs="Arial" w:eastAsia="Arial" w:hAnsi="Arial"/>
          <w:sz w:val="20"/>
          <w:szCs w:val="20"/>
          <w:b w:val="1"/>
          <w:bCs w:val="1"/>
          <w:color w:val="auto"/>
        </w:rPr>
        <w:t>Annex IV Letter of Acceptance of Rights and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company , </w:t>
      </w:r>
      <w:r>
        <w:rPr>
          <w:rFonts w:ascii="Arial" w:cs="Arial" w:eastAsia="Arial" w:hAnsi="Arial"/>
          <w:sz w:val="15"/>
          <w:szCs w:val="15"/>
          <w:b w:val="1"/>
          <w:bCs w:val="1"/>
          <w:color w:val="auto"/>
        </w:rPr>
        <w:t>______, is a subsidiary of (hereinafter referred to as “______ ”) incorporated with on the____ day of_______ , and Wuhan Fangtang holds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 of the shares/equity of _____% of the shares/equity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accordance with the Exclusive Technical Consultation and Service Agreement (hereinafter referred to as “Agreement”) entered into by ______ Co., Limited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 other parties on the ______ day of______ , our company as a newly added “Party B’s Subsidiary” under the Agreement shall join the Agreement pursuant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Section 3.3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313"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314" w:right="3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7"/>
          <w:szCs w:val="17"/>
          <w:b w:val="1"/>
          <w:bCs w:val="1"/>
          <w:color w:val="auto"/>
        </w:rPr>
        <w:t>Exhibit 4.43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Equity Interest Pledge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This Equity Interest Pledge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28</w:t>
      </w:r>
      <w:r>
        <w:rPr>
          <w:rFonts w:ascii="Arial" w:cs="Arial" w:eastAsia="Arial" w:hAnsi="Arial"/>
          <w:sz w:val="12"/>
          <w:szCs w:val="12"/>
          <w:color w:val="auto"/>
        </w:rPr>
        <w:t>th</w:t>
      </w:r>
      <w:r>
        <w:rPr>
          <w:rFonts w:ascii="Arial" w:cs="Arial" w:eastAsia="Arial" w:hAnsi="Arial"/>
          <w:sz w:val="15"/>
          <w:szCs w:val="15"/>
          <w:color w:val="auto"/>
        </w:rPr>
        <w:t xml:space="preserve"> day of December, 2020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 (hereinafter referred to as the “</w:t>
      </w:r>
      <w:r>
        <w:rPr>
          <w:rFonts w:ascii="Arial" w:cs="Arial" w:eastAsia="Arial" w:hAnsi="Arial"/>
          <w:sz w:val="17"/>
          <w:szCs w:val="17"/>
          <w:b w:val="1"/>
          <w:bCs w:val="1"/>
          <w:color w:val="auto"/>
        </w:rPr>
        <w:t>Pledgors</w:t>
      </w:r>
      <w:r>
        <w:rPr>
          <w:rFonts w:ascii="Arial" w:cs="Arial" w:eastAsia="Arial" w:hAnsi="Arial"/>
          <w:sz w:val="17"/>
          <w:szCs w:val="17"/>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Wuhan Fangtang Education Technology Co., Ltd.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Room 04, 3rd Floor, Building 3, Building 1, 2, 3, Contemporary China Venture Center, No. 20, Guannanyuan 1st Road, East Lake New Technology Development Zone, Wuhan (Wuhan Area, Free Trade Zone)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SHENG Heqiang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580" w:hanging="580"/>
        <w:spacing w:after="0"/>
        <w:tabs>
          <w:tab w:leader="none" w:pos="58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203" w:lineRule="exact"/>
        <w:rPr>
          <w:rFonts w:ascii="Arial" w:cs="Arial" w:eastAsia="Arial" w:hAnsi="Arial"/>
          <w:sz w:val="17"/>
          <w:szCs w:val="17"/>
          <w:color w:val="auto"/>
        </w:rPr>
      </w:pPr>
    </w:p>
    <w:p>
      <w:pPr>
        <w:ind w:left="580" w:hanging="580"/>
        <w:spacing w:after="0"/>
        <w:tabs>
          <w:tab w:leader="none" w:pos="58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Party C is a limited liability company legally incorporated and existing under the law of the PRC.</w:t>
      </w:r>
    </w:p>
    <w:p>
      <w:pPr>
        <w:spacing w:after="0" w:line="203" w:lineRule="exact"/>
        <w:rPr>
          <w:rFonts w:ascii="Arial" w:cs="Arial" w:eastAsia="Arial" w:hAnsi="Arial"/>
          <w:sz w:val="17"/>
          <w:szCs w:val="17"/>
          <w:color w:val="auto"/>
        </w:rPr>
      </w:pPr>
    </w:p>
    <w:p>
      <w:pPr>
        <w:ind w:left="580" w:hanging="580"/>
        <w:spacing w:after="0"/>
        <w:tabs>
          <w:tab w:leader="none" w:pos="5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Pledgors as a whole holds one hundred (100) percent of the equity of Party C, with the shareholding structure be listed in Annex II hereto.</w:t>
      </w:r>
    </w:p>
    <w:p>
      <w:pPr>
        <w:spacing w:after="0" w:line="213" w:lineRule="exact"/>
        <w:rPr>
          <w:rFonts w:ascii="Arial" w:cs="Arial" w:eastAsia="Arial" w:hAnsi="Arial"/>
          <w:sz w:val="16"/>
          <w:szCs w:val="16"/>
          <w:color w:val="auto"/>
        </w:rPr>
      </w:pPr>
    </w:p>
    <w:p>
      <w:pPr>
        <w:ind w:left="580" w:hanging="580"/>
        <w:spacing w:after="0" w:line="265" w:lineRule="auto"/>
        <w:tabs>
          <w:tab w:leader="none" w:pos="58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Exclusive Technical Consultation and Service Agreement, the Business Operation Agreement and the Option Agreement were made as of 28</w:t>
      </w:r>
      <w:r>
        <w:rPr>
          <w:rFonts w:ascii="Arial" w:cs="Arial" w:eastAsia="Arial" w:hAnsi="Arial"/>
          <w:sz w:val="14"/>
          <w:szCs w:val="14"/>
          <w:color w:val="auto"/>
        </w:rPr>
        <w:t>th</w:t>
      </w:r>
      <w:r>
        <w:rPr>
          <w:rFonts w:ascii="Arial" w:cs="Arial" w:eastAsia="Arial" w:hAnsi="Arial"/>
          <w:sz w:val="17"/>
          <w:szCs w:val="17"/>
          <w:color w:val="auto"/>
        </w:rPr>
        <w:t xml:space="preserve"> day of December, 2020 by and among the Pledgee, the Pledgors and Party C.</w:t>
      </w:r>
    </w:p>
    <w:p>
      <w:pPr>
        <w:spacing w:after="0" w:line="166" w:lineRule="exact"/>
        <w:rPr>
          <w:rFonts w:ascii="Arial" w:cs="Arial" w:eastAsia="Arial" w:hAnsi="Arial"/>
          <w:sz w:val="17"/>
          <w:szCs w:val="17"/>
          <w:color w:val="auto"/>
        </w:rPr>
      </w:pPr>
    </w:p>
    <w:p>
      <w:pPr>
        <w:jc w:val="both"/>
        <w:ind w:left="580" w:hanging="580"/>
        <w:spacing w:after="0" w:line="254" w:lineRule="auto"/>
        <w:tabs>
          <w:tab w:leader="none" w:pos="58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For the purpose of guaranteeing the collection by the Pledgee from Party C the service costs under the Exclusive Technical Consultation and Service Agreement and guaranteeing the performance of Individual Agreements (defined below), the Pledgors jointly and severally use all of the equity they hold in Party C as the pledge security for such Agreement, and the Pledgee shall be Party A.</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7"/>
          <w:szCs w:val="17"/>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4" w:lineRule="exact"/>
        <w:rPr>
          <w:sz w:val="20"/>
          <w:szCs w:val="20"/>
          <w:color w:val="auto"/>
        </w:rPr>
      </w:pPr>
    </w:p>
    <w:p>
      <w:pPr>
        <w:ind w:left="580" w:hanging="580"/>
        <w:spacing w:after="0"/>
        <w:tabs>
          <w:tab w:leader="none" w:pos="580"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shall be interpreted as defined below unless otherwise provided herein:</w:t>
      </w:r>
    </w:p>
    <w:p>
      <w:pPr>
        <w:spacing w:after="0" w:line="19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3"/>
          <w:szCs w:val="13"/>
          <w:b w:val="1"/>
          <w:bCs w:val="1"/>
          <w:color w:val="auto"/>
        </w:rPr>
        <w:t xml:space="preserve">Pledge Right </w:t>
      </w:r>
      <w:r>
        <w:rPr>
          <w:rFonts w:ascii="Arial" w:cs="Arial" w:eastAsia="Arial" w:hAnsi="Arial"/>
          <w:sz w:val="13"/>
          <w:szCs w:val="13"/>
          <w:color w:val="auto"/>
        </w:rPr>
        <w:t>shall refer to all the contents as described in Section 2 below.</w:t>
      </w:r>
    </w:p>
    <w:p>
      <w:pPr>
        <w:spacing w:after="0" w:line="203" w:lineRule="exact"/>
        <w:rPr>
          <w:sz w:val="20"/>
          <w:szCs w:val="20"/>
          <w:color w:val="auto"/>
        </w:rPr>
      </w:pPr>
    </w:p>
    <w:p>
      <w:pPr>
        <w:ind w:left="1180" w:hanging="584"/>
        <w:spacing w:after="0" w:line="269" w:lineRule="auto"/>
        <w:tabs>
          <w:tab w:leader="none" w:pos="11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b w:val="1"/>
          <w:bCs w:val="1"/>
          <w:color w:val="auto"/>
        </w:rPr>
        <w:t xml:space="preserve">Equity </w:t>
      </w:r>
      <w:r>
        <w:rPr>
          <w:rFonts w:ascii="Arial" w:cs="Arial" w:eastAsia="Arial" w:hAnsi="Arial"/>
          <w:sz w:val="17"/>
          <w:szCs w:val="17"/>
          <w:color w:val="auto"/>
        </w:rPr>
        <w:t>shall refer to the one hundred (100) percent of the equity legally held by the Pledgors as a whole and any and all the current and future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and benefits arising out of the foregoing.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50" w:name="page351"/>
    <w:bookmarkEnd w:id="350"/>
    <w:p>
      <w:pPr>
        <w:ind w:left="1180" w:hanging="584"/>
        <w:spacing w:after="0" w:line="301" w:lineRule="auto"/>
        <w:tabs>
          <w:tab w:leader="none" w:pos="116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6"/>
          <w:szCs w:val="16"/>
          <w:b w:val="1"/>
          <w:bCs w:val="1"/>
          <w:color w:val="auto"/>
        </w:rPr>
        <w:t xml:space="preserve">Individual Agreements </w:t>
      </w:r>
      <w:r>
        <w:rPr>
          <w:rFonts w:ascii="Arial" w:cs="Arial" w:eastAsia="Arial" w:hAnsi="Arial"/>
          <w:sz w:val="16"/>
          <w:szCs w:val="16"/>
          <w:color w:val="auto"/>
        </w:rPr>
        <w:t>shall refer to the Exclusive Technical Consultation and Service Agreement, the Business Operation Agreement and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made as of the 28</w:t>
      </w:r>
      <w:r>
        <w:rPr>
          <w:rFonts w:ascii="Arial" w:cs="Arial" w:eastAsia="Arial" w:hAnsi="Arial"/>
          <w:sz w:val="13"/>
          <w:szCs w:val="13"/>
          <w:color w:val="auto"/>
        </w:rPr>
        <w:t>th</w:t>
      </w:r>
      <w:r>
        <w:rPr>
          <w:rFonts w:ascii="Arial" w:cs="Arial" w:eastAsia="Arial" w:hAnsi="Arial"/>
          <w:sz w:val="16"/>
          <w:szCs w:val="16"/>
          <w:color w:val="auto"/>
        </w:rPr>
        <w:t xml:space="preserve"> day of December, 2020 by and among the Pledgee, Party C and other parties.</w:t>
      </w:r>
    </w:p>
    <w:p>
      <w:pPr>
        <w:spacing w:after="0" w:line="13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b w:val="1"/>
          <w:bCs w:val="1"/>
          <w:color w:val="auto"/>
        </w:rPr>
        <w:t xml:space="preserve">A Default Event </w:t>
      </w:r>
      <w:r>
        <w:rPr>
          <w:rFonts w:ascii="Arial" w:cs="Arial" w:eastAsia="Arial" w:hAnsi="Arial"/>
          <w:sz w:val="15"/>
          <w:szCs w:val="15"/>
          <w:color w:val="auto"/>
        </w:rPr>
        <w:t>shall refer to any of the circumstances described in Section 7 below.</w:t>
      </w:r>
    </w:p>
    <w:p>
      <w:pPr>
        <w:spacing w:after="0" w:line="20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b w:val="1"/>
          <w:bCs w:val="1"/>
          <w:color w:val="auto"/>
        </w:rPr>
        <w:t xml:space="preserve">Default Notice </w:t>
      </w:r>
      <w:r>
        <w:rPr>
          <w:rFonts w:ascii="Arial" w:cs="Arial" w:eastAsia="Arial" w:hAnsi="Arial"/>
          <w:sz w:val="15"/>
          <w:szCs w:val="15"/>
          <w:color w:val="auto"/>
        </w:rPr>
        <w:t>shall refer to a notice declaring a Default Event which is issued by a Pledgor pursuant to this Agreement.</w:t>
      </w:r>
    </w:p>
    <w:p>
      <w:pPr>
        <w:spacing w:after="0" w:line="203" w:lineRule="exact"/>
        <w:rPr>
          <w:sz w:val="20"/>
          <w:szCs w:val="20"/>
          <w:color w:val="auto"/>
        </w:rPr>
      </w:pPr>
    </w:p>
    <w:p>
      <w:pPr>
        <w:ind w:left="580" w:hanging="580"/>
        <w:spacing w:after="0"/>
        <w:tabs>
          <w:tab w:leader="none" w:pos="580" w:val="left"/>
        </w:tabs>
        <w:numPr>
          <w:ilvl w:val="0"/>
          <w:numId w:val="375"/>
        </w:numPr>
        <w:rPr>
          <w:rFonts w:ascii="Arial" w:cs="Arial" w:eastAsia="Arial" w:hAnsi="Arial"/>
          <w:sz w:val="17"/>
          <w:szCs w:val="17"/>
          <w:b w:val="1"/>
          <w:bCs w:val="1"/>
          <w:color w:val="auto"/>
        </w:rPr>
      </w:pPr>
      <w:r>
        <w:rPr>
          <w:rFonts w:ascii="Arial" w:cs="Arial" w:eastAsia="Arial" w:hAnsi="Arial"/>
          <w:sz w:val="17"/>
          <w:szCs w:val="17"/>
          <w:b w:val="1"/>
          <w:bCs w:val="1"/>
          <w:color w:val="auto"/>
        </w:rPr>
        <w:t>Pledge</w:t>
      </w:r>
    </w:p>
    <w:p>
      <w:pPr>
        <w:spacing w:after="0" w:line="207"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2.1The Pledgors pledge to the Pledgee as the security of the Pledgee’s rights and benefits under the Individual Agreements all the Equity owned by the Pledgors and the dividends which arise from the Equity during the effective term of this Agreement.</w:t>
      </w:r>
    </w:p>
    <w:p>
      <w:pPr>
        <w:spacing w:after="0" w:line="167" w:lineRule="exact"/>
        <w:rPr>
          <w:rFonts w:ascii="Arial" w:cs="Arial" w:eastAsia="Arial" w:hAnsi="Arial"/>
          <w:sz w:val="17"/>
          <w:szCs w:val="17"/>
          <w:b w:val="1"/>
          <w:bCs w:val="1"/>
          <w:color w:val="auto"/>
        </w:rPr>
      </w:pPr>
    </w:p>
    <w:p>
      <w:pPr>
        <w:ind w:left="1180" w:hanging="585"/>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2.2</w:t>
      </w:r>
      <w:r>
        <w:rPr>
          <w:rFonts w:ascii="Arial" w:cs="Arial" w:eastAsia="Arial" w:hAnsi="Arial"/>
          <w:sz w:val="16"/>
          <w:szCs w:val="16"/>
          <w:color w:val="auto"/>
        </w:rPr>
        <w:t>The scope guaranteed by the pledge of the Equity hereunder shall be all fees, costs and expenses (including legal costs) payable by Party C and/or the Pledgors, and the losses, interest, liquidated damages, compensation, the costs for realizing the claims, and the liability that Party C and/or the Pledgors shall bear in case of entire or partial invalidation of any of Individual Agreements for any reason.</w:t>
      </w:r>
    </w:p>
    <w:p>
      <w:pPr>
        <w:spacing w:after="0" w:line="157" w:lineRule="exact"/>
        <w:rPr>
          <w:rFonts w:ascii="Arial" w:cs="Arial" w:eastAsia="Arial" w:hAnsi="Arial"/>
          <w:sz w:val="17"/>
          <w:szCs w:val="17"/>
          <w:b w:val="1"/>
          <w:bCs w:val="1"/>
          <w:color w:val="auto"/>
        </w:rPr>
      </w:pPr>
    </w:p>
    <w:p>
      <w:pPr>
        <w:jc w:val="both"/>
        <w:ind w:left="580"/>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In case the competent industrial and commercial administration expressly requires a definite amount of the guaranteed claims during the handling of the Equity pledge registration process, the parties hereto agree, for the sole purpose of handling the Equity pledge registration, to register as the amount of the claims under the Individual Agreements CNY 5,000,000 and any and all breach-of-contract liability and damages under the related agreements. The parties further acknowledge that for the purpose of handling the Equity pledge registration, the foregoing amount shall not diminish or limit any rights or interest that Party A has under the Individual Agreements and this Equity Pledge Agreement.</w:t>
      </w:r>
    </w:p>
    <w:p>
      <w:pPr>
        <w:spacing w:after="0" w:line="181"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2.3The Pledge Rights hereunder shall refer to the rights for the Pledgee to be paid from in priority the money gained from the conversion into money, auction or sale of the Equity pledged by the Pledgors to the Pledgee.</w:t>
      </w:r>
    </w:p>
    <w:p>
      <w:pPr>
        <w:spacing w:after="0" w:line="167" w:lineRule="exact"/>
        <w:rPr>
          <w:rFonts w:ascii="Arial" w:cs="Arial" w:eastAsia="Arial" w:hAnsi="Arial"/>
          <w:sz w:val="17"/>
          <w:szCs w:val="17"/>
          <w:b w:val="1"/>
          <w:bCs w:val="1"/>
          <w:color w:val="auto"/>
        </w:rPr>
      </w:pPr>
    </w:p>
    <w:p>
      <w:pPr>
        <w:ind w:left="1180" w:hanging="585"/>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2.4</w:t>
      </w:r>
      <w:r>
        <w:rPr>
          <w:rFonts w:ascii="Arial" w:cs="Arial" w:eastAsia="Arial" w:hAnsi="Arial"/>
          <w:sz w:val="16"/>
          <w:szCs w:val="16"/>
          <w:color w:val="auto"/>
        </w:rPr>
        <w:t>After this Agreement takes effect, unless expressly agreed by the Pledgee in writing, the pledge hereunder may be relieved only after Party C and the Pledgors have properly and fully performed all of their obligations under the Individual Agreements and the performance thereof has been recognized by the Pledgee in writing. In case Party C or any of the Pledgors fails to fully perform any of its obligations under the Individual Agreements upon expiration of the period described thereunder, the Pledgors shall still has the Pledge Rights herein; and the pledge will be relieved until the foregoing obligations and liability have been fully performed to the Pledgee’s satisfaction.</w:t>
      </w:r>
    </w:p>
    <w:p>
      <w:pPr>
        <w:spacing w:after="0" w:line="160" w:lineRule="exact"/>
        <w:rPr>
          <w:rFonts w:ascii="Arial" w:cs="Arial" w:eastAsia="Arial" w:hAnsi="Arial"/>
          <w:sz w:val="17"/>
          <w:szCs w:val="17"/>
          <w:b w:val="1"/>
          <w:bCs w:val="1"/>
          <w:color w:val="auto"/>
        </w:rPr>
      </w:pPr>
    </w:p>
    <w:p>
      <w:pPr>
        <w:ind w:left="580" w:hanging="580"/>
        <w:spacing w:after="0"/>
        <w:tabs>
          <w:tab w:leader="none" w:pos="580" w:val="left"/>
        </w:tabs>
        <w:numPr>
          <w:ilvl w:val="0"/>
          <w:numId w:val="375"/>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207" w:lineRule="exact"/>
        <w:rPr>
          <w:rFonts w:ascii="Arial" w:cs="Arial" w:eastAsia="Arial" w:hAnsi="Arial"/>
          <w:sz w:val="17"/>
          <w:szCs w:val="17"/>
          <w:b w:val="1"/>
          <w:bCs w:val="1"/>
          <w:color w:val="auto"/>
        </w:rPr>
      </w:pPr>
    </w:p>
    <w:p>
      <w:pPr>
        <w:ind w:left="1180" w:hanging="585"/>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3.1This Agreement shall be formed and take effect as of the date of being signed and/or sealed by the parties hereto. The Pledge Rights hereunder shall be set up and take effect as of the date when the registration formalities regarding the Equity pledge have been completed at Party C’s competent industrial and commercial administration.</w:t>
      </w:r>
    </w:p>
    <w:p>
      <w:pPr>
        <w:spacing w:after="0" w:line="176" w:lineRule="exact"/>
        <w:rPr>
          <w:rFonts w:ascii="Arial" w:cs="Arial" w:eastAsia="Arial" w:hAnsi="Arial"/>
          <w:sz w:val="17"/>
          <w:szCs w:val="17"/>
          <w:b w:val="1"/>
          <w:bCs w:val="1"/>
          <w:color w:val="auto"/>
        </w:rPr>
      </w:pPr>
    </w:p>
    <w:p>
      <w:pPr>
        <w:ind w:left="1180" w:hanging="585"/>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3.2During the effective term of this Agreement, in case Party C fails to pay the service costs subject to the Exclusive Technical Consultation and Service Agreement or perform any other obligations thereunder, the Pledgee shall have the right to exercise the Pledge Rights hereunder after issuing a reasonable notice.</w:t>
      </w:r>
    </w:p>
    <w:p>
      <w:pPr>
        <w:spacing w:after="0" w:line="172" w:lineRule="exact"/>
        <w:rPr>
          <w:rFonts w:ascii="Arial" w:cs="Arial" w:eastAsia="Arial" w:hAnsi="Arial"/>
          <w:sz w:val="17"/>
          <w:szCs w:val="17"/>
          <w:b w:val="1"/>
          <w:bCs w:val="1"/>
          <w:color w:val="auto"/>
        </w:rPr>
      </w:pPr>
    </w:p>
    <w:p>
      <w:pPr>
        <w:ind w:left="580" w:hanging="580"/>
        <w:spacing w:after="0"/>
        <w:tabs>
          <w:tab w:leader="none" w:pos="580" w:val="left"/>
        </w:tabs>
        <w:numPr>
          <w:ilvl w:val="0"/>
          <w:numId w:val="375"/>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and Custody of the Pledge Rights Receipts; Registration of Pledge Rights</w:t>
      </w:r>
    </w:p>
    <w:p>
      <w:pPr>
        <w:spacing w:after="0" w:line="207"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4.1The Pledgors shall, within Ten (10) business days after the execution of this Agreement or any other date mutually negotiated and fixed by the Parties hereto, deliver to the Pledgee the Equity Contribution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351" w:name="page352"/>
    <w:bookmarkEnd w:id="351"/>
    <w:p>
      <w:pPr>
        <w:jc w:val="both"/>
        <w:ind w:left="1180"/>
        <w:spacing w:after="0" w:line="251" w:lineRule="auto"/>
        <w:rPr>
          <w:sz w:val="20"/>
          <w:szCs w:val="20"/>
          <w:color w:val="auto"/>
        </w:rPr>
      </w:pPr>
      <w:r>
        <w:rPr>
          <w:rFonts w:ascii="Arial" w:cs="Arial" w:eastAsia="Arial" w:hAnsi="Arial"/>
          <w:sz w:val="17"/>
          <w:szCs w:val="17"/>
          <w:color w:val="auto"/>
        </w:rPr>
        <w:t>Certificate (Original) for the pledge’s custody, submit to the Pledgee the certification that the pledge hereunder has been properly registered in Party C’s Shareholders’ Register, and handle any and all examinations and approvals and registration and filing formalities (including but not limited to, handling the Equity pledge registration formalities at Party C’s competent industrial and commercial administration subject to the laws of China) required by the laws and regulations of China.</w:t>
      </w:r>
    </w:p>
    <w:p>
      <w:pPr>
        <w:spacing w:after="0" w:line="179" w:lineRule="exact"/>
        <w:rPr>
          <w:sz w:val="20"/>
          <w:szCs w:val="20"/>
          <w:color w:val="auto"/>
        </w:rPr>
      </w:pPr>
    </w:p>
    <w:p>
      <w:pPr>
        <w:jc w:val="both"/>
        <w:ind w:left="1180" w:hanging="584"/>
        <w:spacing w:after="0" w:line="304" w:lineRule="auto"/>
        <w:tabs>
          <w:tab w:leader="none" w:pos="11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In case of any change of particulars and the registration needs to be legally changed accordingly, the Pledgee and the Pledgors shall, within Five (5) business days as of the date of change of particulars, carry out the change of registration accordingly, submit the applicable change of registration documents and handle the applicable change registration formalities at Party C’s competent industrial and commercial administration.</w:t>
      </w:r>
    </w:p>
    <w:p>
      <w:pPr>
        <w:spacing w:after="0" w:line="142" w:lineRule="exact"/>
        <w:rPr>
          <w:sz w:val="20"/>
          <w:szCs w:val="20"/>
          <w:color w:val="auto"/>
        </w:rPr>
      </w:pPr>
    </w:p>
    <w:p>
      <w:pPr>
        <w:jc w:val="both"/>
        <w:ind w:left="1180" w:hanging="584"/>
        <w:spacing w:after="0" w:line="272" w:lineRule="auto"/>
        <w:tabs>
          <w:tab w:leader="none" w:pos="116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color w:val="auto"/>
        </w:rPr>
        <w:t>During the Equity pledge period, the Pledgors shall instruct Party C not to distribute any dividend or bonus or approve any profit distribution program; or in case the Pledgors shall obtain any economic interest of any nature from the pledged Equity other than dividend or bonus or any other profit distribution program, the Pledgors shall remit, as required and instructed by the Pledgee, to the banking account specified by the Pledgee the applicable (realized) amount, which shall not be used by the Pledgors without the Pledgee’s prior written consent.</w:t>
      </w:r>
    </w:p>
    <w:p>
      <w:pPr>
        <w:spacing w:after="0" w:line="162" w:lineRule="exact"/>
        <w:rPr>
          <w:sz w:val="20"/>
          <w:szCs w:val="20"/>
          <w:color w:val="auto"/>
        </w:rPr>
      </w:pPr>
    </w:p>
    <w:p>
      <w:pPr>
        <w:jc w:val="both"/>
        <w:ind w:left="1180" w:hanging="584"/>
        <w:spacing w:after="0" w:line="249" w:lineRule="auto"/>
        <w:tabs>
          <w:tab w:leader="none" w:pos="11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During the Equity pledge period, in case the any of the Pledgors subscribe for or purchase any of Party C’s new registered capital or any of Party C’s Equity held by any other Pledgor (the “</w:t>
      </w:r>
      <w:r>
        <w:rPr>
          <w:rFonts w:ascii="Arial" w:cs="Arial" w:eastAsia="Arial" w:hAnsi="Arial"/>
          <w:sz w:val="17"/>
          <w:szCs w:val="17"/>
          <w:b w:val="1"/>
          <w:bCs w:val="1"/>
          <w:color w:val="auto"/>
        </w:rPr>
        <w:t>New Equity</w:t>
      </w:r>
      <w:r>
        <w:rPr>
          <w:rFonts w:ascii="Arial" w:cs="Arial" w:eastAsia="Arial" w:hAnsi="Arial"/>
          <w:sz w:val="17"/>
          <w:szCs w:val="17"/>
          <w:color w:val="auto"/>
        </w:rPr>
        <w:t>”), the New Equity will then automatically form part of the pledged Equity hereunder, and such Pledgor shall complete any and all formalities regarding the pledge of the New Equity within Ten (10) business days following its acquisition of the New Equity. In case the Pledgor fails to complete the applicable formalities as required in the preceding sentence, the Pledgee may promptly have the Pledge Rights realized pursuant to Section 8 below.</w:t>
      </w:r>
    </w:p>
    <w:p>
      <w:pPr>
        <w:spacing w:after="0" w:line="178" w:lineRule="exact"/>
        <w:rPr>
          <w:sz w:val="20"/>
          <w:szCs w:val="20"/>
          <w:color w:val="auto"/>
        </w:rPr>
      </w:pPr>
    </w:p>
    <w:p>
      <w:pPr>
        <w:ind w:left="580" w:hanging="580"/>
        <w:spacing w:after="0"/>
        <w:tabs>
          <w:tab w:leader="none" w:pos="580" w:val="left"/>
        </w:tabs>
        <w:numPr>
          <w:ilvl w:val="0"/>
          <w:numId w:val="376"/>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Pledgors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Upon the execution of this Agreement, the Pledgors make to the Pledgee the following representations and warranties and confirm that this Agreement is signed and performed by the Pledgee by them in reliance of such representations and warranties:</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The Pledgors lawfully hold the Equity hereunder and have the right to use such Equity to provide pledge security to the Pledgee.</w:t>
      </w:r>
    </w:p>
    <w:p>
      <w:pPr>
        <w:spacing w:after="0" w:line="203" w:lineRule="exact"/>
        <w:rPr>
          <w:sz w:val="20"/>
          <w:szCs w:val="20"/>
          <w:color w:val="auto"/>
        </w:rPr>
      </w:pPr>
    </w:p>
    <w:p>
      <w:pPr>
        <w:jc w:val="both"/>
        <w:ind w:left="1180" w:hanging="584"/>
        <w:spacing w:after="0" w:line="254" w:lineRule="auto"/>
        <w:tabs>
          <w:tab w:leader="none" w:pos="11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After this Agreement is executed, during the period when the Pledgee has the Pledge Rights subject to Section 2.4 above, when the Pledgee exercises, at any time, its rights or has the Pledge Rights realized pursuant to this Agreement, there shall be no lawful claim or proper intervention from or by any third party.</w:t>
      </w:r>
    </w:p>
    <w:p>
      <w:pPr>
        <w:spacing w:after="0" w:line="17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3"/>
          <w:szCs w:val="13"/>
          <w:color w:val="auto"/>
        </w:rPr>
        <w:t>The Pledgee shall have the right to exercise the Pledge Rights as per the method described herein or otherwise permitted by the laws and regulations.</w:t>
      </w:r>
    </w:p>
    <w:p>
      <w:pPr>
        <w:spacing w:after="0" w:line="203" w:lineRule="exact"/>
        <w:rPr>
          <w:sz w:val="20"/>
          <w:szCs w:val="20"/>
          <w:color w:val="auto"/>
        </w:rPr>
      </w:pPr>
    </w:p>
    <w:p>
      <w:pPr>
        <w:jc w:val="both"/>
        <w:ind w:left="1180" w:hanging="584"/>
        <w:spacing w:after="0" w:line="254" w:lineRule="auto"/>
        <w:tabs>
          <w:tab w:leader="none" w:pos="116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color w:val="auto"/>
        </w:rPr>
        <w:t>The Pledgors have obtained all necessary corporate authorization to sign this Agreement and perform its obligations hereunder, which does not violate any provisions of any applicable laws and regulations. The authorized representative signatories of this Agreement have obtained legal and effective authorization.</w:t>
      </w:r>
    </w:p>
    <w:p>
      <w:pPr>
        <w:spacing w:after="0" w:line="177" w:lineRule="exact"/>
        <w:rPr>
          <w:sz w:val="20"/>
          <w:szCs w:val="20"/>
          <w:color w:val="auto"/>
        </w:rPr>
      </w:pPr>
    </w:p>
    <w:p>
      <w:pPr>
        <w:jc w:val="both"/>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There is no encumbrance or security interest of any nature for any third person (including but not limited to pledge) except for the pledge hereunder in connection with the Equity held by the Pledgors.</w:t>
      </w:r>
    </w:p>
    <w:p>
      <w:pPr>
        <w:spacing w:after="0" w:line="168" w:lineRule="exact"/>
        <w:rPr>
          <w:sz w:val="20"/>
          <w:szCs w:val="20"/>
          <w:color w:val="auto"/>
        </w:rPr>
      </w:pPr>
    </w:p>
    <w:p>
      <w:pPr>
        <w:jc w:val="both"/>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color w:val="auto"/>
        </w:rPr>
        <w:t>There are no pending or threatened civil, administrative or criminal proceedings, administrative punishment or arbitration in connection with the Equity.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52" w:name="page353"/>
    <w:bookmarkEnd w:id="352"/>
    <w:p>
      <w:pPr>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7"/>
          <w:szCs w:val="17"/>
          <w:color w:val="auto"/>
        </w:rPr>
        <w:t>There are no tax or fee due but unpaid, or legal procedures or formalities that should have been completed but have not been completed, in connection with the Equity.</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5"/>
          <w:szCs w:val="15"/>
          <w:color w:val="auto"/>
        </w:rPr>
        <w:t>Any and all provisions hereof are the expression of the Pledgors’ true intention and are binding upon the Pledgors.</w:t>
      </w:r>
    </w:p>
    <w:p>
      <w:pPr>
        <w:spacing w:after="0" w:line="199" w:lineRule="exact"/>
        <w:rPr>
          <w:sz w:val="20"/>
          <w:szCs w:val="20"/>
          <w:color w:val="auto"/>
        </w:rPr>
      </w:pPr>
    </w:p>
    <w:p>
      <w:pPr>
        <w:ind w:left="580" w:hanging="580"/>
        <w:spacing w:after="0"/>
        <w:tabs>
          <w:tab w:leader="none" w:pos="580"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 of the Pledgors</w:t>
      </w:r>
    </w:p>
    <w:p>
      <w:pPr>
        <w:spacing w:after="0" w:line="20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3"/>
          <w:szCs w:val="13"/>
          <w:color w:val="auto"/>
        </w:rPr>
        <w:t>During the effective term of this Agreement, the Pledgors undertake to the Pledgee that the Pledgors:</w:t>
      </w:r>
    </w:p>
    <w:p>
      <w:pPr>
        <w:spacing w:after="0" w:line="203" w:lineRule="exact"/>
        <w:rPr>
          <w:sz w:val="20"/>
          <w:szCs w:val="20"/>
          <w:color w:val="auto"/>
        </w:rPr>
      </w:pPr>
    </w:p>
    <w:p>
      <w:pPr>
        <w:jc w:val="both"/>
        <w:ind w:left="1760" w:hanging="584"/>
        <w:spacing w:after="0" w:line="269" w:lineRule="auto"/>
        <w:tabs>
          <w:tab w:leader="none" w:pos="174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6"/>
          <w:szCs w:val="16"/>
          <w:color w:val="auto"/>
        </w:rPr>
        <w:t>Except for the transfer of the Equity to the Pledgee or any other person specified by the Pledgee as required by the Pledgee, prior to the full performance of their obligations thereunder, without the Pledgee’s prior written consent, will not transfer the Equity or create, or permit, any pledge or any other encumbrance that may affect the Pledgee’s rights or interest or any third-person security interest of any form. Without the Pledgee’s prior written consent, the Pledgors shall not take any action which will or may result in change to the Equity or any rights incidental to the Equity, which will or may then result in substantially adverse effects upon the Pledgee’s rights.</w:t>
      </w:r>
    </w:p>
    <w:p>
      <w:pPr>
        <w:spacing w:after="0" w:line="165" w:lineRule="exact"/>
        <w:rPr>
          <w:sz w:val="20"/>
          <w:szCs w:val="20"/>
          <w:color w:val="auto"/>
        </w:rPr>
      </w:pPr>
    </w:p>
    <w:p>
      <w:pPr>
        <w:jc w:val="both"/>
        <w:ind w:left="1760" w:hanging="584"/>
        <w:spacing w:after="0" w:line="278" w:lineRule="auto"/>
        <w:tabs>
          <w:tab w:leader="none" w:pos="174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6"/>
          <w:szCs w:val="16"/>
          <w:color w:val="auto"/>
        </w:rPr>
        <w:t>Comply with and implement the provisions of all applicable laws and regulations, and within Five (5) business days upon receipt of any notice, order or suggestion issued or prepared by the relevant competent authority in connection with the Pledge Rights, produce to the Pledgee such notice, order or suggestion and take action as reasonably instructed by the Pledgee.</w:t>
      </w:r>
    </w:p>
    <w:p>
      <w:pPr>
        <w:spacing w:after="0" w:line="158" w:lineRule="exact"/>
        <w:rPr>
          <w:sz w:val="20"/>
          <w:szCs w:val="20"/>
          <w:color w:val="auto"/>
        </w:rPr>
      </w:pPr>
    </w:p>
    <w:p>
      <w:pPr>
        <w:jc w:val="both"/>
        <w:ind w:left="1760" w:hanging="584"/>
        <w:spacing w:after="0" w:line="254" w:lineRule="auto"/>
        <w:tabs>
          <w:tab w:leader="none" w:pos="174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7"/>
          <w:szCs w:val="17"/>
          <w:color w:val="auto"/>
        </w:rPr>
        <w:t>Timely notify the Pledgee any event or notice received that may affect the Pledgors’ Equity or other rights hereunder, any event or notice received that may affect any of the Pledgors’ obligations hereunder or affect the Pledgors’ performance of any of their obligations hereunder, and take action as reasonably instructed by the Pledgee.</w:t>
      </w:r>
    </w:p>
    <w:p>
      <w:pPr>
        <w:spacing w:after="0" w:line="177" w:lineRule="exact"/>
        <w:rPr>
          <w:sz w:val="20"/>
          <w:szCs w:val="20"/>
          <w:color w:val="auto"/>
        </w:rPr>
      </w:pPr>
    </w:p>
    <w:p>
      <w:pPr>
        <w:jc w:val="both"/>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The Pledgors agree that they will procure that the exercise by the Pledgee of any of its rights pursuant to the provisions of this Agreement will not be interrupted or prevented by the Pledgors or their successors or assignees or any other persons.</w:t>
      </w:r>
    </w:p>
    <w:p>
      <w:pPr>
        <w:spacing w:after="0" w:line="168" w:lineRule="exact"/>
        <w:rPr>
          <w:sz w:val="20"/>
          <w:szCs w:val="20"/>
          <w:color w:val="auto"/>
        </w:rPr>
      </w:pPr>
    </w:p>
    <w:p>
      <w:pPr>
        <w:jc w:val="both"/>
        <w:ind w:left="1180" w:hanging="584"/>
        <w:spacing w:after="0" w:line="288" w:lineRule="auto"/>
        <w:tabs>
          <w:tab w:leader="none" w:pos="11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The Pledgors warrant to the Pledgee that for the purpose of protecting or perfecting the security of the Pledgors and/or Party C’s obligations under the Individual Agreements, the Pledgors will make all necessary amendments to Party C’s Articles of Association (if applicable), honestly sign, and procure any other persons who has interest in Pledge Rights to sign all title or right certificates and deeds as requested by the Pledgee, and/or perform, and procure any other persons who has interest therein to perform, the acts as reasonably requested by the Pledgee, facilitate the exercise by the Pledgee of the Pledge Rights, sign all documents related to the Equity certificate change with the Pledgee or any third party appointed by the Pledgee, and provide to the Pledgee within a reasonable period all the documents related to the Pledge Rights as needed by the Pledgee.</w:t>
      </w:r>
    </w:p>
    <w:p>
      <w:pPr>
        <w:spacing w:after="0" w:line="153" w:lineRule="exact"/>
        <w:rPr>
          <w:sz w:val="20"/>
          <w:szCs w:val="20"/>
          <w:color w:val="auto"/>
        </w:rPr>
      </w:pPr>
    </w:p>
    <w:p>
      <w:pPr>
        <w:jc w:val="both"/>
        <w:ind w:left="1180" w:hanging="584"/>
        <w:spacing w:after="0" w:line="278" w:lineRule="auto"/>
        <w:tabs>
          <w:tab w:leader="none" w:pos="116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6"/>
          <w:szCs w:val="16"/>
          <w:color w:val="auto"/>
        </w:rPr>
        <w:t>The Pledgors warrant to the Pledgee that for the protection of the Pledgee’s interest, the Pledgors will comply with and perform all warranties, undertaking, covenants and representations. In case the Pledgors fail to perform, or partially perform, their warranties, undertaking, covenants or representations, the Pledgors shall indemnify all the loss suffered by the Pledgee arising out thereof or in connection therewith.</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53" w:name="page354"/>
    <w:bookmarkEnd w:id="353"/>
    <w:p>
      <w:pPr>
        <w:ind w:left="580" w:hanging="580"/>
        <w:spacing w:after="0"/>
        <w:tabs>
          <w:tab w:leader="none" w:pos="580" w:val="left"/>
        </w:tabs>
        <w:numPr>
          <w:ilvl w:val="0"/>
          <w:numId w:val="378"/>
        </w:numPr>
        <w:rPr>
          <w:rFonts w:ascii="Arial" w:cs="Arial" w:eastAsia="Arial" w:hAnsi="Arial"/>
          <w:sz w:val="17"/>
          <w:szCs w:val="17"/>
          <w:b w:val="1"/>
          <w:bCs w:val="1"/>
          <w:color w:val="auto"/>
        </w:rPr>
      </w:pPr>
      <w:r>
        <w:rPr>
          <w:rFonts w:ascii="Arial" w:cs="Arial" w:eastAsia="Arial" w:hAnsi="Arial"/>
          <w:sz w:val="17"/>
          <w:szCs w:val="17"/>
          <w:b w:val="1"/>
          <w:bCs w:val="1"/>
          <w:color w:val="auto"/>
        </w:rPr>
        <w:t>Default Event</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7.1</w:t>
      </w:r>
      <w:r>
        <w:rPr>
          <w:rFonts w:ascii="Arial" w:cs="Arial" w:eastAsia="Arial" w:hAnsi="Arial"/>
          <w:sz w:val="15"/>
          <w:szCs w:val="15"/>
          <w:color w:val="auto"/>
        </w:rPr>
        <w:t>Any of the following events will be deemed to be a Default Event:</w:t>
      </w:r>
    </w:p>
    <w:p>
      <w:pPr>
        <w:spacing w:after="0" w:line="203" w:lineRule="exact"/>
        <w:rPr>
          <w:sz w:val="20"/>
          <w:szCs w:val="20"/>
          <w:color w:val="auto"/>
        </w:rPr>
      </w:pPr>
    </w:p>
    <w:p>
      <w:pPr>
        <w:jc w:val="both"/>
        <w:ind w:left="1760" w:hanging="584"/>
        <w:spacing w:after="0" w:line="296" w:lineRule="auto"/>
        <w:tabs>
          <w:tab w:leader="none" w:pos="174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6"/>
          <w:szCs w:val="16"/>
          <w:color w:val="auto"/>
        </w:rPr>
        <w:t>Party C or any of its successors or assignees fails to fully pay on schedule any amounts payable under the Individual Agreements, or the Pledgors or their successors or assignees fail to perform any of their obligations under the Individual Agreements.</w:t>
      </w:r>
    </w:p>
    <w:p>
      <w:pPr>
        <w:spacing w:after="0" w:line="144" w:lineRule="exact"/>
        <w:rPr>
          <w:sz w:val="20"/>
          <w:szCs w:val="20"/>
          <w:color w:val="auto"/>
        </w:rPr>
      </w:pPr>
    </w:p>
    <w:p>
      <w:pPr>
        <w:jc w:val="both"/>
        <w:ind w:left="1760" w:hanging="584"/>
        <w:spacing w:after="0" w:line="296" w:lineRule="auto"/>
        <w:tabs>
          <w:tab w:leader="none" w:pos="174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6"/>
          <w:szCs w:val="16"/>
          <w:color w:val="auto"/>
        </w:rPr>
        <w:t>Any representation, warranty or undertaking made by the Pledgors under Section 5 or 6 above is substantially misleading or incorrect, and/or the Pledgors violates any representation, warranty or undertaking made by the Pledgors under Section 5 or 6 above.</w:t>
      </w:r>
    </w:p>
    <w:p>
      <w:pPr>
        <w:spacing w:after="0" w:line="144"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5"/>
          <w:szCs w:val="15"/>
          <w:color w:val="auto"/>
        </w:rPr>
        <w:t>The Pledgors or Party C violates any provision of this Agreement.</w:t>
      </w:r>
    </w:p>
    <w:p>
      <w:pPr>
        <w:spacing w:after="0" w:line="203"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7.1.4</w:t>
      </w:r>
      <w:r>
        <w:rPr>
          <w:sz w:val="20"/>
          <w:szCs w:val="20"/>
          <w:color w:val="auto"/>
        </w:rPr>
        <w:tab/>
      </w:r>
      <w:r>
        <w:rPr>
          <w:rFonts w:ascii="Arial" w:cs="Arial" w:eastAsia="Arial" w:hAnsi="Arial"/>
          <w:sz w:val="17"/>
          <w:szCs w:val="17"/>
          <w:color w:val="auto"/>
        </w:rPr>
        <w:t>Except as otherwise agreed in Section 6.1.1 above, the Pledgors transfer or otherwise dispose the pledged Equity without the Pledgee’s written consent.</w:t>
      </w:r>
    </w:p>
    <w:p>
      <w:pPr>
        <w:spacing w:after="0" w:line="168" w:lineRule="exact"/>
        <w:rPr>
          <w:sz w:val="20"/>
          <w:szCs w:val="20"/>
          <w:color w:val="auto"/>
        </w:rPr>
      </w:pPr>
    </w:p>
    <w:p>
      <w:pPr>
        <w:jc w:val="both"/>
        <w:ind w:left="1760" w:hanging="584"/>
        <w:spacing w:after="0" w:line="254" w:lineRule="auto"/>
        <w:tabs>
          <w:tab w:leader="none" w:pos="1740" w:val="left"/>
        </w:tabs>
        <w:rPr>
          <w:sz w:val="20"/>
          <w:szCs w:val="20"/>
          <w:color w:val="auto"/>
        </w:rPr>
      </w:pPr>
      <w:r>
        <w:rPr>
          <w:rFonts w:ascii="Arial" w:cs="Arial" w:eastAsia="Arial" w:hAnsi="Arial"/>
          <w:sz w:val="17"/>
          <w:szCs w:val="17"/>
          <w:color w:val="auto"/>
        </w:rPr>
        <w:t>7.1.5</w:t>
      </w:r>
      <w:r>
        <w:rPr>
          <w:sz w:val="20"/>
          <w:szCs w:val="20"/>
          <w:color w:val="auto"/>
        </w:rPr>
        <w:tab/>
      </w:r>
      <w:r>
        <w:rPr>
          <w:rFonts w:ascii="Arial" w:cs="Arial" w:eastAsia="Arial" w:hAnsi="Arial"/>
          <w:sz w:val="17"/>
          <w:szCs w:val="17"/>
          <w:color w:val="auto"/>
        </w:rPr>
        <w:t>Any of the Pledgors’ external borrowings, security, compensation, undertaking or other debt or liability shall be repaid or performed in advance or is due but cannot be repaid or performed on schedule, which makes the Pledgee reasonably believe that the Pledgors’ ability to perform any of their obligations is affected, which further affect the Pledgee’s interest.</w:t>
      </w:r>
    </w:p>
    <w:p>
      <w:pPr>
        <w:spacing w:after="0" w:line="177"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7.1.6</w:t>
      </w:r>
      <w:r>
        <w:rPr>
          <w:sz w:val="20"/>
          <w:szCs w:val="20"/>
          <w:color w:val="auto"/>
        </w:rPr>
        <w:tab/>
      </w:r>
      <w:r>
        <w:rPr>
          <w:rFonts w:ascii="Arial" w:cs="Arial" w:eastAsia="Arial" w:hAnsi="Arial"/>
          <w:sz w:val="13"/>
          <w:szCs w:val="13"/>
          <w:color w:val="auto"/>
        </w:rPr>
        <w:t>The Pledgors cannot perform any of their general debt or other debt, which further affects the Pledgee’s interest.</w:t>
      </w:r>
    </w:p>
    <w:p>
      <w:pPr>
        <w:spacing w:after="0" w:line="203"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7.1.7</w:t>
      </w:r>
      <w:r>
        <w:rPr>
          <w:sz w:val="20"/>
          <w:szCs w:val="20"/>
          <w:color w:val="auto"/>
        </w:rPr>
        <w:tab/>
      </w:r>
      <w:r>
        <w:rPr>
          <w:rFonts w:ascii="Arial" w:cs="Arial" w:eastAsia="Arial" w:hAnsi="Arial"/>
          <w:sz w:val="17"/>
          <w:szCs w:val="17"/>
          <w:color w:val="auto"/>
        </w:rPr>
        <w:t>The promulgation of any law results in invalidation of this Agreement or inability of the Pledgors to continuously perform any of their obligations hereunder.</w:t>
      </w:r>
    </w:p>
    <w:p>
      <w:pPr>
        <w:spacing w:after="0" w:line="168"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7.1.8</w:t>
      </w:r>
      <w:r>
        <w:rPr>
          <w:sz w:val="20"/>
          <w:szCs w:val="20"/>
          <w:color w:val="auto"/>
        </w:rPr>
        <w:tab/>
      </w:r>
      <w:r>
        <w:rPr>
          <w:rFonts w:ascii="Arial" w:cs="Arial" w:eastAsia="Arial" w:hAnsi="Arial"/>
          <w:sz w:val="17"/>
          <w:szCs w:val="17"/>
          <w:color w:val="auto"/>
        </w:rPr>
        <w:t>The consent, permit, approval or authorization of any governmental department necessary to legalize, validate or enforce this Agreement is withdrawn, suspended, invalidated or substantially amended.</w:t>
      </w:r>
    </w:p>
    <w:p>
      <w:pPr>
        <w:spacing w:after="0" w:line="168"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7.1.9</w:t>
      </w:r>
      <w:r>
        <w:rPr>
          <w:sz w:val="20"/>
          <w:szCs w:val="20"/>
          <w:color w:val="auto"/>
        </w:rPr>
        <w:tab/>
      </w:r>
      <w:r>
        <w:rPr>
          <w:rFonts w:ascii="Arial" w:cs="Arial" w:eastAsia="Arial" w:hAnsi="Arial"/>
          <w:sz w:val="17"/>
          <w:szCs w:val="17"/>
          <w:color w:val="auto"/>
        </w:rPr>
        <w:t>There occurs any adverse change to any of the assets owned by the Pledgors, which makes the Pledgee believe that the Pledgors’ ability to perform any of their obligations is affected.</w:t>
      </w:r>
    </w:p>
    <w:p>
      <w:pPr>
        <w:spacing w:after="0" w:line="168"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7.1.10</w:t>
      </w:r>
      <w:r>
        <w:rPr>
          <w:sz w:val="20"/>
          <w:szCs w:val="20"/>
          <w:color w:val="auto"/>
        </w:rPr>
        <w:tab/>
      </w:r>
      <w:r>
        <w:rPr>
          <w:rFonts w:ascii="Arial" w:cs="Arial" w:eastAsia="Arial" w:hAnsi="Arial"/>
          <w:sz w:val="13"/>
          <w:szCs w:val="13"/>
          <w:color w:val="auto"/>
        </w:rPr>
        <w:t>Any other event that the Pledgee cannot exercise or otherwise dispose of the Pledge Rights under the applicable laws.</w:t>
      </w:r>
    </w:p>
    <w:p>
      <w:pPr>
        <w:spacing w:after="0" w:line="203" w:lineRule="exact"/>
        <w:rPr>
          <w:sz w:val="20"/>
          <w:szCs w:val="20"/>
          <w:color w:val="auto"/>
        </w:rPr>
      </w:pPr>
    </w:p>
    <w:p>
      <w:pPr>
        <w:jc w:val="both"/>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The Pledgors and/or Party C shall immediately notify the Pledgee in writing any of the events described in Section 7.1 above or the occurrence or potential occurrence thereof the Pledgors and/or Party C becomes aware of or discovers.</w:t>
      </w:r>
    </w:p>
    <w:p>
      <w:pPr>
        <w:spacing w:after="0" w:line="168" w:lineRule="exact"/>
        <w:rPr>
          <w:sz w:val="20"/>
          <w:szCs w:val="20"/>
          <w:color w:val="auto"/>
        </w:rPr>
      </w:pPr>
    </w:p>
    <w:p>
      <w:pPr>
        <w:jc w:val="both"/>
        <w:ind w:left="1180" w:hanging="584"/>
        <w:spacing w:after="0" w:line="248" w:lineRule="auto"/>
        <w:tabs>
          <w:tab w:leader="none" w:pos="116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Unless the default events listed in Section 7.1 above have been perfectly settled to the Pledgee’s satisfaction, the Pledgee may, upon the occurrence of such default event or at any time following the occurrence thereof, issue a written default notice to the Pledgors and/or Party C, requesting the Pledgors and/or Party C to immediately pay the money owned or other payables under the Exclusive Technical Consultation and Service Agreement or to timely perform the obligations under the Individual Agreements. In case the Pledgors or Party C fails to timely correct their defaults, or take necessary remedies, within Ten (10) business days following the issuance of such written notice, the Pledgee may exercise the Pledge Rights pursuant to Section 8 below.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354" w:name="page355"/>
    <w:bookmarkEnd w:id="354"/>
    <w:p>
      <w:pPr>
        <w:ind w:left="580" w:hanging="580"/>
        <w:spacing w:after="0"/>
        <w:tabs>
          <w:tab w:leader="none" w:pos="580" w:val="left"/>
        </w:tabs>
        <w:numPr>
          <w:ilvl w:val="0"/>
          <w:numId w:val="379"/>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Pledge Rights</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8.1</w:t>
      </w:r>
      <w:r>
        <w:rPr>
          <w:rFonts w:ascii="Arial" w:cs="Arial" w:eastAsia="Arial" w:hAnsi="Arial"/>
          <w:sz w:val="13"/>
          <w:szCs w:val="13"/>
          <w:color w:val="auto"/>
        </w:rPr>
        <w:t>The Pledgee shall issue a default notice to the Pledgors as described in Section 7.3 above upon its exercise of the Pledge Rights.</w:t>
      </w:r>
    </w:p>
    <w:p>
      <w:pPr>
        <w:spacing w:after="0" w:line="203"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8.2Subject to Section 7.3 above, the Pledgee may exercise the Pledge Rights at any time following its issuance of the default notice as described in Section 7.3.</w:t>
      </w:r>
    </w:p>
    <w:p>
      <w:pPr>
        <w:spacing w:after="0" w:line="167" w:lineRule="exact"/>
        <w:rPr>
          <w:rFonts w:ascii="Arial" w:cs="Arial" w:eastAsia="Arial" w:hAnsi="Arial"/>
          <w:sz w:val="17"/>
          <w:szCs w:val="17"/>
          <w:b w:val="1"/>
          <w:bCs w:val="1"/>
          <w:color w:val="auto"/>
        </w:rPr>
      </w:pPr>
    </w:p>
    <w:p>
      <w:pPr>
        <w:ind w:left="1180" w:hanging="585"/>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8.3The Pledgee shall have the right to convert into money and sell all or part of the Equity hereunder subject to the statutory procedures, or to be paid in priority from the money gained from auction or sale of such Equity, until full offset of the service costs and other payables unpaid under the Individual Agreements and full performance of other obligations under the Individual Agreements.</w:t>
      </w:r>
    </w:p>
    <w:p>
      <w:pPr>
        <w:spacing w:after="0" w:line="176"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8.4When the Pledgee exercises the Pledge Rights pursuant to this Agreement, the Pledgors and/or Party C shall not create any barrier or hindrance but shall offer necessary assistance, so as to facilitate the Pledgee’s realization of its Pledge Rights.</w:t>
      </w:r>
    </w:p>
    <w:p>
      <w:pPr>
        <w:spacing w:after="0" w:line="163" w:lineRule="exact"/>
        <w:rPr>
          <w:rFonts w:ascii="Arial" w:cs="Arial" w:eastAsia="Arial" w:hAnsi="Arial"/>
          <w:sz w:val="17"/>
          <w:szCs w:val="17"/>
          <w:b w:val="1"/>
          <w:bCs w:val="1"/>
          <w:color w:val="auto"/>
        </w:rPr>
      </w:pPr>
    </w:p>
    <w:p>
      <w:pPr>
        <w:ind w:left="580" w:hanging="580"/>
        <w:spacing w:after="0"/>
        <w:tabs>
          <w:tab w:leader="none" w:pos="580" w:val="left"/>
        </w:tabs>
        <w:numPr>
          <w:ilvl w:val="0"/>
          <w:numId w:val="379"/>
        </w:numPr>
        <w:rPr>
          <w:rFonts w:ascii="Arial" w:cs="Arial" w:eastAsia="Arial" w:hAnsi="Arial"/>
          <w:sz w:val="17"/>
          <w:szCs w:val="17"/>
          <w:b w:val="1"/>
          <w:bCs w:val="1"/>
          <w:color w:val="auto"/>
        </w:rPr>
      </w:pPr>
      <w:r>
        <w:rPr>
          <w:rFonts w:ascii="Arial" w:cs="Arial" w:eastAsia="Arial" w:hAnsi="Arial"/>
          <w:sz w:val="17"/>
          <w:szCs w:val="17"/>
          <w:b w:val="1"/>
          <w:bCs w:val="1"/>
          <w:color w:val="auto"/>
        </w:rPr>
        <w:t>Transfer</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9.1</w:t>
      </w:r>
      <w:r>
        <w:rPr>
          <w:rFonts w:ascii="Arial" w:cs="Arial" w:eastAsia="Arial" w:hAnsi="Arial"/>
          <w:sz w:val="15"/>
          <w:szCs w:val="15"/>
          <w:color w:val="auto"/>
        </w:rPr>
        <w:t>The Pledgors shall not transfer to any third party any of their rights or obligations hereunder without the Pledgee’s prior written and explicit consent.</w:t>
      </w:r>
    </w:p>
    <w:p>
      <w:pPr>
        <w:spacing w:after="0" w:line="203"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9.2</w:t>
      </w:r>
      <w:r>
        <w:rPr>
          <w:rFonts w:ascii="Arial" w:cs="Arial" w:eastAsia="Arial" w:hAnsi="Arial"/>
          <w:sz w:val="13"/>
          <w:szCs w:val="13"/>
          <w:color w:val="auto"/>
        </w:rPr>
        <w:t>This Agreement shall be binding upon the Pledgors and their successors and the Pledgee and its successors or assignees.</w:t>
      </w:r>
    </w:p>
    <w:p>
      <w:pPr>
        <w:spacing w:after="0" w:line="203" w:lineRule="exact"/>
        <w:rPr>
          <w:rFonts w:ascii="Arial" w:cs="Arial" w:eastAsia="Arial" w:hAnsi="Arial"/>
          <w:sz w:val="17"/>
          <w:szCs w:val="17"/>
          <w:b w:val="1"/>
          <w:bCs w:val="1"/>
          <w:color w:val="auto"/>
        </w:rPr>
      </w:pPr>
    </w:p>
    <w:p>
      <w:pPr>
        <w:ind w:left="1180" w:hanging="585"/>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9.3The Pledgee may at any time transfer any or all of its rights or obligations under the Individual Agreements to any third party it specified, under which circumstance, the assignee shall accordingly have and bear the rights and obligations which the Pledgee have and bear hereunder. Upon the transfer by the Pledgee of the rights or obligations hereunder, the Pledgors shall, as requested by the Pledgee, sign the corresponding agreements and/or documents regarding the transfer thereof.</w:t>
      </w:r>
    </w:p>
    <w:p>
      <w:pPr>
        <w:spacing w:after="0" w:line="178" w:lineRule="exact"/>
        <w:rPr>
          <w:rFonts w:ascii="Arial" w:cs="Arial" w:eastAsia="Arial" w:hAnsi="Arial"/>
          <w:sz w:val="17"/>
          <w:szCs w:val="17"/>
          <w:b w:val="1"/>
          <w:bCs w:val="1"/>
          <w:color w:val="auto"/>
        </w:rPr>
      </w:pPr>
    </w:p>
    <w:p>
      <w:pPr>
        <w:ind w:left="1180" w:hanging="585"/>
        <w:spacing w:after="0" w:line="332" w:lineRule="auto"/>
        <w:rPr>
          <w:rFonts w:ascii="Arial" w:cs="Arial" w:eastAsia="Arial" w:hAnsi="Arial"/>
          <w:sz w:val="17"/>
          <w:szCs w:val="17"/>
          <w:b w:val="1"/>
          <w:bCs w:val="1"/>
          <w:color w:val="auto"/>
        </w:rPr>
      </w:pPr>
      <w:r>
        <w:rPr>
          <w:rFonts w:ascii="Arial" w:cs="Arial" w:eastAsia="Arial" w:hAnsi="Arial"/>
          <w:sz w:val="17"/>
          <w:szCs w:val="17"/>
          <w:color w:val="auto"/>
        </w:rPr>
        <w:t>9.4</w:t>
      </w:r>
      <w:r>
        <w:rPr>
          <w:rFonts w:ascii="Arial" w:cs="Arial" w:eastAsia="Arial" w:hAnsi="Arial"/>
          <w:sz w:val="15"/>
          <w:szCs w:val="15"/>
          <w:color w:val="auto"/>
        </w:rPr>
        <w:t>In case there is a change of the Pledgee due to the transfer of the rights or obligations as described in Section 9.3 above, the substitute Pledgee and the Pledgors shall re-sign the pledge agreement and the Pledgors shall be responsible for handling all applicable registration formalities.</w:t>
      </w:r>
    </w:p>
    <w:p>
      <w:pPr>
        <w:spacing w:after="0" w:line="116" w:lineRule="exact"/>
        <w:rPr>
          <w:rFonts w:ascii="Arial" w:cs="Arial" w:eastAsia="Arial" w:hAnsi="Arial"/>
          <w:sz w:val="17"/>
          <w:szCs w:val="17"/>
          <w:b w:val="1"/>
          <w:bCs w:val="1"/>
          <w:color w:val="auto"/>
        </w:rPr>
      </w:pPr>
    </w:p>
    <w:p>
      <w:pPr>
        <w:ind w:left="580" w:hanging="580"/>
        <w:spacing w:after="0"/>
        <w:tabs>
          <w:tab w:leader="none" w:pos="580" w:val="left"/>
        </w:tabs>
        <w:numPr>
          <w:ilvl w:val="0"/>
          <w:numId w:val="379"/>
        </w:numPr>
        <w:rPr>
          <w:rFonts w:ascii="Arial" w:cs="Arial" w:eastAsia="Arial" w:hAnsi="Arial"/>
          <w:sz w:val="17"/>
          <w:szCs w:val="17"/>
          <w:b w:val="1"/>
          <w:bCs w:val="1"/>
          <w:color w:val="auto"/>
        </w:rPr>
      </w:pPr>
      <w:r>
        <w:rPr>
          <w:rFonts w:ascii="Arial" w:cs="Arial" w:eastAsia="Arial" w:hAnsi="Arial"/>
          <w:sz w:val="17"/>
          <w:szCs w:val="17"/>
          <w:b w:val="1"/>
          <w:bCs w:val="1"/>
          <w:color w:val="auto"/>
        </w:rPr>
        <w:t>Charges and Other Costs</w:t>
      </w:r>
    </w:p>
    <w:p>
      <w:pPr>
        <w:spacing w:after="0" w:line="207" w:lineRule="exact"/>
        <w:rPr>
          <w:rFonts w:ascii="Arial" w:cs="Arial" w:eastAsia="Arial" w:hAnsi="Arial"/>
          <w:sz w:val="17"/>
          <w:szCs w:val="17"/>
          <w:b w:val="1"/>
          <w:bCs w:val="1"/>
          <w:color w:val="auto"/>
        </w:rPr>
      </w:pPr>
    </w:p>
    <w:p>
      <w:pPr>
        <w:ind w:left="5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All costs and actual expenses related to this Agreement, including but not limited to the legal costs, print costs, stamp duty and any other tax and charges, shall be equally borne by the Pledgee and Party C.</w:t>
      </w:r>
    </w:p>
    <w:p>
      <w:pPr>
        <w:spacing w:after="0" w:line="163" w:lineRule="exact"/>
        <w:rPr>
          <w:rFonts w:ascii="Arial" w:cs="Arial" w:eastAsia="Arial" w:hAnsi="Arial"/>
          <w:sz w:val="17"/>
          <w:szCs w:val="17"/>
          <w:b w:val="1"/>
          <w:bCs w:val="1"/>
          <w:color w:val="auto"/>
        </w:rPr>
      </w:pPr>
    </w:p>
    <w:p>
      <w:pPr>
        <w:ind w:left="580" w:hanging="580"/>
        <w:spacing w:after="0"/>
        <w:tabs>
          <w:tab w:leader="none" w:pos="580" w:val="left"/>
        </w:tabs>
        <w:numPr>
          <w:ilvl w:val="0"/>
          <w:numId w:val="379"/>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3" w:lineRule="exact"/>
        <w:rPr>
          <w:rFonts w:ascii="Arial" w:cs="Arial" w:eastAsia="Arial" w:hAnsi="Arial"/>
          <w:sz w:val="17"/>
          <w:szCs w:val="17"/>
          <w:b w:val="1"/>
          <w:bCs w:val="1"/>
          <w:color w:val="auto"/>
        </w:rPr>
      </w:pPr>
    </w:p>
    <w:p>
      <w:pPr>
        <w:ind w:left="1180" w:hanging="585"/>
        <w:spacing w:after="0" w:line="285" w:lineRule="auto"/>
        <w:rPr>
          <w:rFonts w:ascii="Arial" w:cs="Arial" w:eastAsia="Arial" w:hAnsi="Arial"/>
          <w:sz w:val="17"/>
          <w:szCs w:val="17"/>
          <w:b w:val="1"/>
          <w:bCs w:val="1"/>
          <w:color w:val="auto"/>
        </w:rPr>
      </w:pPr>
      <w:r>
        <w:rPr>
          <w:rFonts w:ascii="Arial" w:cs="Arial" w:eastAsia="Arial" w:hAnsi="Arial"/>
          <w:sz w:val="17"/>
          <w:szCs w:val="17"/>
          <w:color w:val="auto"/>
        </w:rPr>
        <w:t>11.1</w:t>
      </w:r>
      <w:r>
        <w:rPr>
          <w:rFonts w:ascii="Arial" w:cs="Arial" w:eastAsia="Arial" w:hAnsi="Arial"/>
          <w:sz w:val="15"/>
          <w:szCs w:val="15"/>
          <w:color w:val="auto"/>
        </w:rPr>
        <w:t>“</w:t>
      </w:r>
      <w:r>
        <w:rPr>
          <w:rFonts w:ascii="Arial" w:cs="Arial" w:eastAsia="Arial" w:hAnsi="Arial"/>
          <w:sz w:val="15"/>
          <w:szCs w:val="15"/>
          <w:b w:val="1"/>
          <w:bCs w:val="1"/>
          <w:color w:val="auto"/>
        </w:rPr>
        <w:t>Force Majeure Events</w:t>
      </w:r>
      <w:r>
        <w:rPr>
          <w:rFonts w:ascii="Arial" w:cs="Arial" w:eastAsia="Arial" w:hAnsi="Arial"/>
          <w:sz w:val="15"/>
          <w:szCs w:val="15"/>
          <w:color w:val="auto"/>
        </w:rPr>
        <w:t>” mean any events beyond the reasonable control of one Party that are unavoidable by the affected Party with reasonable care, including but not limited to any acts of government, natural force, fire, explosion, storm, flood, earthquake, tide, lightning or war, provided that any credit, capital or financing shortage shall not be deemed to be the event beyond the reasonable control of one Party. The Party affected by any Force Majeure Events (hereinafter referred to as “</w:t>
      </w:r>
      <w:r>
        <w:rPr>
          <w:rFonts w:ascii="Arial" w:cs="Arial" w:eastAsia="Arial" w:hAnsi="Arial"/>
          <w:sz w:val="15"/>
          <w:szCs w:val="15"/>
          <w:b w:val="1"/>
          <w:bCs w:val="1"/>
          <w:color w:val="auto"/>
        </w:rPr>
        <w:t>Affected Party</w:t>
      </w:r>
      <w:r>
        <w:rPr>
          <w:rFonts w:ascii="Arial" w:cs="Arial" w:eastAsia="Arial" w:hAnsi="Arial"/>
          <w:sz w:val="15"/>
          <w:szCs w:val="15"/>
          <w:color w:val="auto"/>
        </w:rPr>
        <w:t>”) shall be exempted from its responsibility in whole or in part according to the effects of such Force Majeure Events on this Agreement, and the Affected Party who seeks exemption from its responsibility for the performance of this Agreement due to such Force Majeure Events shall notify the other Party of such Force Majeure Events not later than Ten (10) days after occurrence of such Force Majeure Events so that the Parties hereto negotiate about the amendment to this Agreement according to the effects of such Force Majeure Events and exempt in whole or in part the Affected Party from its obligations under this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355" w:name="page356"/>
    <w:bookmarkEnd w:id="355"/>
    <w:p>
      <w:pPr>
        <w:jc w:val="both"/>
        <w:ind w:left="1180" w:hanging="584"/>
        <w:spacing w:after="0" w:line="278" w:lineRule="auto"/>
        <w:tabs>
          <w:tab w:leader="none" w:pos="11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color w:val="auto"/>
        </w:rPr>
        <w:t>The Affected Party shall take appropriate measures to reduce or eliminate the effects of such Force Majeure Events and shall try to restore the performance of its obligations delayed or hindered by such Force Majeure Events. Once such Force Majeure Events are eliminated, the Parties hereto agree that they shall use their best efforts to restore the performance of their rights and obligations under this Agreement.</w:t>
      </w:r>
    </w:p>
    <w:p>
      <w:pPr>
        <w:spacing w:after="0" w:line="154" w:lineRule="exact"/>
        <w:rPr>
          <w:sz w:val="20"/>
          <w:szCs w:val="20"/>
          <w:color w:val="auto"/>
        </w:rPr>
      </w:pPr>
    </w:p>
    <w:p>
      <w:pPr>
        <w:ind w:left="580" w:hanging="580"/>
        <w:spacing w:after="0"/>
        <w:tabs>
          <w:tab w:leader="none" w:pos="580"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Settlement</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12.1</w:t>
      </w:r>
      <w:r>
        <w:rPr>
          <w:rFonts w:ascii="Arial" w:cs="Arial" w:eastAsia="Arial" w:hAnsi="Arial"/>
          <w:sz w:val="13"/>
          <w:szCs w:val="13"/>
          <w:color w:val="auto"/>
        </w:rPr>
        <w:t>This Agreement shall be governed by and construed in accordance with the laws of the PRC.</w:t>
      </w:r>
    </w:p>
    <w:p>
      <w:pPr>
        <w:spacing w:after="0" w:line="203" w:lineRule="exact"/>
        <w:rPr>
          <w:rFonts w:ascii="Arial" w:cs="Arial" w:eastAsia="Arial" w:hAnsi="Arial"/>
          <w:sz w:val="17"/>
          <w:szCs w:val="17"/>
          <w:b w:val="1"/>
          <w:bCs w:val="1"/>
          <w:color w:val="auto"/>
        </w:rPr>
      </w:pPr>
    </w:p>
    <w:p>
      <w:pPr>
        <w:ind w:left="1180" w:hanging="585"/>
        <w:spacing w:after="0" w:line="291" w:lineRule="auto"/>
        <w:rPr>
          <w:rFonts w:ascii="Arial" w:cs="Arial" w:eastAsia="Arial" w:hAnsi="Arial"/>
          <w:sz w:val="17"/>
          <w:szCs w:val="17"/>
          <w:b w:val="1"/>
          <w:bCs w:val="1"/>
          <w:color w:val="auto"/>
        </w:rPr>
      </w:pPr>
      <w:r>
        <w:rPr>
          <w:rFonts w:ascii="Arial" w:cs="Arial" w:eastAsia="Arial" w:hAnsi="Arial"/>
          <w:sz w:val="17"/>
          <w:szCs w:val="17"/>
          <w:color w:val="auto"/>
        </w:rPr>
        <w:t>12.2</w:t>
      </w:r>
      <w:r>
        <w:rPr>
          <w:rFonts w:ascii="Arial" w:cs="Arial" w:eastAsia="Arial" w:hAnsi="Arial"/>
          <w:sz w:val="15"/>
          <w:szCs w:val="15"/>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 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Section shall be affected by any termination or cancellation of this Agreement.</w:t>
      </w:r>
    </w:p>
    <w:p>
      <w:pPr>
        <w:spacing w:after="0" w:line="150"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12.3Except for any matters disputed by the Parties hereto, the Parties hereto shall continue to perform their respective obligations under this Agreement based on the principle of good faith.</w:t>
      </w:r>
    </w:p>
    <w:p>
      <w:pPr>
        <w:spacing w:after="0" w:line="163" w:lineRule="exact"/>
        <w:rPr>
          <w:rFonts w:ascii="Arial" w:cs="Arial" w:eastAsia="Arial" w:hAnsi="Arial"/>
          <w:sz w:val="17"/>
          <w:szCs w:val="17"/>
          <w:b w:val="1"/>
          <w:bCs w:val="1"/>
          <w:color w:val="auto"/>
        </w:rPr>
      </w:pPr>
    </w:p>
    <w:p>
      <w:pPr>
        <w:ind w:left="580" w:hanging="580"/>
        <w:spacing w:after="0"/>
        <w:tabs>
          <w:tab w:leader="none" w:pos="580"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rFonts w:ascii="Arial" w:cs="Arial" w:eastAsia="Arial" w:hAnsi="Arial"/>
          <w:sz w:val="17"/>
          <w:szCs w:val="17"/>
          <w:b w:val="1"/>
          <w:bCs w:val="1"/>
          <w:color w:val="auto"/>
        </w:rPr>
      </w:pPr>
    </w:p>
    <w:p>
      <w:pPr>
        <w:ind w:left="580"/>
        <w:spacing w:after="0" w:line="332" w:lineRule="auto"/>
        <w:rPr>
          <w:rFonts w:ascii="Arial" w:cs="Arial" w:eastAsia="Arial" w:hAnsi="Arial"/>
          <w:sz w:val="17"/>
          <w:szCs w:val="17"/>
          <w:b w:val="1"/>
          <w:bCs w:val="1"/>
          <w:color w:val="auto"/>
        </w:rPr>
      </w:pPr>
      <w:r>
        <w:rPr>
          <w:rFonts w:ascii="Arial" w:cs="Arial" w:eastAsia="Arial" w:hAnsi="Arial"/>
          <w:sz w:val="15"/>
          <w:szCs w:val="15"/>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20"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Party A,</w:t>
      </w:r>
    </w:p>
    <w:p>
      <w:pPr>
        <w:spacing w:after="0" w:line="203"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Address: Building 6, Chaolai Science and Technology Park, Laiguangying, Chaoyang District, Beijing</w:t>
      </w:r>
    </w:p>
    <w:p>
      <w:pPr>
        <w:spacing w:after="0" w:line="203" w:lineRule="exact"/>
        <w:rPr>
          <w:rFonts w:ascii="Arial" w:cs="Arial" w:eastAsia="Arial" w:hAnsi="Arial"/>
          <w:sz w:val="17"/>
          <w:szCs w:val="17"/>
          <w:b w:val="1"/>
          <w:bCs w:val="1"/>
          <w:color w:val="auto"/>
        </w:rPr>
      </w:pPr>
    </w:p>
    <w:p>
      <w:pPr>
        <w:ind w:left="580" w:right="9280"/>
        <w:spacing w:after="0" w:line="489" w:lineRule="auto"/>
        <w:rPr>
          <w:rFonts w:ascii="Arial" w:cs="Arial" w:eastAsia="Arial" w:hAnsi="Arial"/>
          <w:sz w:val="17"/>
          <w:szCs w:val="17"/>
          <w:b w:val="1"/>
          <w:bCs w:val="1"/>
          <w:color w:val="auto"/>
        </w:rPr>
      </w:pPr>
      <w:r>
        <w:rPr>
          <w:rFonts w:ascii="Arial" w:cs="Arial" w:eastAsia="Arial" w:hAnsi="Arial"/>
          <w:sz w:val="17"/>
          <w:szCs w:val="17"/>
          <w:color w:val="auto"/>
        </w:rPr>
        <w:t>Tel.: [•] Attn.:LIU Tongbo Party B and Party C:</w:t>
      </w:r>
    </w:p>
    <w:p>
      <w:pPr>
        <w:spacing w:after="0" w:line="1" w:lineRule="exact"/>
        <w:rPr>
          <w:rFonts w:ascii="Arial" w:cs="Arial" w:eastAsia="Arial" w:hAnsi="Arial"/>
          <w:sz w:val="17"/>
          <w:szCs w:val="17"/>
          <w:b w:val="1"/>
          <w:bCs w:val="1"/>
          <w:color w:val="auto"/>
        </w:rPr>
      </w:pPr>
    </w:p>
    <w:p>
      <w:pPr>
        <w:ind w:left="5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Address: Room 04, 3rd Floor, Building 3, Building 1, 2, 3, Contemporary China Venture Center, No. 20, Guannanyuan 1st Road, East Lake New Technology Development Zone, Wuhan (Wuhan Area, Free Trade Zone)</w:t>
      </w:r>
    </w:p>
    <w:p>
      <w:pPr>
        <w:spacing w:after="0" w:line="16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Tel.: [•]</w:t>
      </w:r>
    </w:p>
    <w:p>
      <w:pPr>
        <w:spacing w:after="0" w:line="203"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Attn.:SHENG Heqiang</w:t>
      </w:r>
    </w:p>
    <w:p>
      <w:pPr>
        <w:spacing w:after="0" w:line="199" w:lineRule="exact"/>
        <w:rPr>
          <w:rFonts w:ascii="Arial" w:cs="Arial" w:eastAsia="Arial" w:hAnsi="Arial"/>
          <w:sz w:val="17"/>
          <w:szCs w:val="17"/>
          <w:b w:val="1"/>
          <w:bCs w:val="1"/>
          <w:color w:val="auto"/>
        </w:rPr>
      </w:pPr>
    </w:p>
    <w:p>
      <w:pPr>
        <w:ind w:left="580" w:hanging="580"/>
        <w:spacing w:after="0"/>
        <w:tabs>
          <w:tab w:leader="none" w:pos="580"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color w:val="auto"/>
        </w:rPr>
        <w:t>Annex</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The annexes hereto shall form part of this Agreement.</w:t>
      </w:r>
    </w:p>
    <w:p>
      <w:pPr>
        <w:spacing w:after="0" w:line="199" w:lineRule="exact"/>
        <w:rPr>
          <w:rFonts w:ascii="Arial" w:cs="Arial" w:eastAsia="Arial" w:hAnsi="Arial"/>
          <w:sz w:val="17"/>
          <w:szCs w:val="17"/>
          <w:b w:val="1"/>
          <w:bCs w:val="1"/>
          <w:color w:val="auto"/>
        </w:rPr>
      </w:pPr>
    </w:p>
    <w:p>
      <w:pPr>
        <w:ind w:left="580" w:hanging="580"/>
        <w:spacing w:after="0"/>
        <w:tabs>
          <w:tab w:leader="none" w:pos="580"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207" w:lineRule="exact"/>
        <w:rPr>
          <w:rFonts w:ascii="Arial" w:cs="Arial" w:eastAsia="Arial" w:hAnsi="Arial"/>
          <w:sz w:val="17"/>
          <w:szCs w:val="17"/>
          <w:b w:val="1"/>
          <w:bCs w:val="1"/>
          <w:color w:val="auto"/>
        </w:rPr>
      </w:pPr>
    </w:p>
    <w:p>
      <w:pPr>
        <w:jc w:val="both"/>
        <w:ind w:left="58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Pledgee’s failure to exercise or delayed exercise of any rights, remedies, powers or privileges hereunder shall not be deemed to be waiver of such rights, remedies, powers or privileges. The Pledgee’s single or partial exercise of any rights, remedies, powers or privileges shall not exclude its exercise of any other rights, remedies, powers or privileges.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56" w:name="page357"/>
    <w:bookmarkEnd w:id="356"/>
    <w:p>
      <w:pPr>
        <w:ind w:left="580"/>
        <w:spacing w:after="0"/>
        <w:rPr>
          <w:sz w:val="20"/>
          <w:szCs w:val="20"/>
          <w:color w:val="auto"/>
        </w:rPr>
      </w:pPr>
      <w:r>
        <w:rPr>
          <w:rFonts w:ascii="Arial" w:cs="Arial" w:eastAsia="Arial" w:hAnsi="Arial"/>
          <w:sz w:val="15"/>
          <w:szCs w:val="15"/>
          <w:color w:val="auto"/>
        </w:rPr>
        <w:t>The rights, remedies, powers and privileges hereunder are cumulative and in addition to any other rights, remedies, powers and privileges under any law.</w:t>
      </w:r>
    </w:p>
    <w:p>
      <w:pPr>
        <w:spacing w:after="0" w:line="222" w:lineRule="exact"/>
        <w:rPr>
          <w:sz w:val="20"/>
          <w:szCs w:val="20"/>
          <w:color w:val="auto"/>
        </w:rPr>
      </w:pPr>
    </w:p>
    <w:p>
      <w:pPr>
        <w:ind w:left="580" w:hanging="580"/>
        <w:spacing w:after="0"/>
        <w:tabs>
          <w:tab w:leader="none" w:pos="580" w:val="left"/>
        </w:tabs>
        <w:numPr>
          <w:ilvl w:val="0"/>
          <w:numId w:val="381"/>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16.1Any modification or supplementation of or amendment to this Agreement shall be in writing and be effective only after being sealed and signed by the Parties hereto.</w:t>
      </w:r>
    </w:p>
    <w:p>
      <w:pPr>
        <w:spacing w:after="0" w:line="167" w:lineRule="exact"/>
        <w:rPr>
          <w:rFonts w:ascii="Arial" w:cs="Arial" w:eastAsia="Arial" w:hAnsi="Arial"/>
          <w:sz w:val="17"/>
          <w:szCs w:val="17"/>
          <w:b w:val="1"/>
          <w:bCs w:val="1"/>
          <w:color w:val="auto"/>
        </w:rPr>
      </w:pPr>
    </w:p>
    <w:p>
      <w:pPr>
        <w:ind w:left="1180" w:hanging="585"/>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16.2The Parties hereby acknowledge that this Agreement shall be a fair and reasonable agreement reached by the Parties hereto on the basis of equality and mutual benefit. In case any provision hereof becomes invalid or cannot be enforced due to conflict with any applicable law, such provision shall be invalid or unenforceable to the sole extent of the jurisdiction of such applicable law and shall in no way influence the legal force of the remaining provisions of this Agreement.</w:t>
      </w:r>
    </w:p>
    <w:p>
      <w:pPr>
        <w:spacing w:after="0" w:line="178" w:lineRule="exact"/>
        <w:rPr>
          <w:rFonts w:ascii="Arial" w:cs="Arial" w:eastAsia="Arial" w:hAnsi="Arial"/>
          <w:sz w:val="17"/>
          <w:szCs w:val="17"/>
          <w:b w:val="1"/>
          <w:bCs w:val="1"/>
          <w:color w:val="auto"/>
        </w:rPr>
      </w:pPr>
    </w:p>
    <w:p>
      <w:pPr>
        <w:ind w:left="1180" w:hanging="585"/>
        <w:spacing w:after="0" w:line="304" w:lineRule="auto"/>
        <w:rPr>
          <w:rFonts w:ascii="Arial" w:cs="Arial" w:eastAsia="Arial" w:hAnsi="Arial"/>
          <w:sz w:val="17"/>
          <w:szCs w:val="17"/>
          <w:b w:val="1"/>
          <w:bCs w:val="1"/>
          <w:color w:val="auto"/>
        </w:rPr>
      </w:pPr>
      <w:r>
        <w:rPr>
          <w:rFonts w:ascii="Arial" w:cs="Arial" w:eastAsia="Arial" w:hAnsi="Arial"/>
          <w:sz w:val="17"/>
          <w:szCs w:val="17"/>
          <w:color w:val="auto"/>
        </w:rPr>
        <w:t>16.3</w:t>
      </w:r>
      <w:r>
        <w:rPr>
          <w:rFonts w:ascii="Arial" w:cs="Arial" w:eastAsia="Arial" w:hAnsi="Arial"/>
          <w:sz w:val="15"/>
          <w:szCs w:val="15"/>
          <w:color w:val="auto"/>
        </w:rPr>
        <w:t>The Parties hereto agree that in case of any change to Party C’s shareholding structure or any addition or deduction of any of Party C’s shareholders, Party A, Party C and Party C’s then-current shareholders shall re-sign this Agreement, and as of the effective date of the Equity Interest Pledge Agreement re-entered into by and among the foregoing parties, this Agreement will automatically terminate and become invalid.</w:t>
      </w:r>
    </w:p>
    <w:p>
      <w:pPr>
        <w:spacing w:after="0" w:line="141"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16.4</w:t>
      </w:r>
      <w:r>
        <w:rPr>
          <w:rFonts w:ascii="Arial" w:cs="Arial" w:eastAsia="Arial" w:hAnsi="Arial"/>
          <w:sz w:val="15"/>
          <w:szCs w:val="15"/>
          <w:color w:val="auto"/>
        </w:rPr>
        <w:t>This Agreement is written in Chinese and is executed in Four (4) original copies.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57" w:name="page358"/>
    <w:bookmarkEnd w:id="357"/>
    <w:p>
      <w:pPr>
        <w:jc w:val="right"/>
        <w:ind w:right="1919"/>
        <w:spacing w:after="0"/>
        <w:rPr>
          <w:sz w:val="20"/>
          <w:szCs w:val="20"/>
          <w:color w:val="auto"/>
        </w:rPr>
      </w:pPr>
      <w:r>
        <w:rPr>
          <w:rFonts w:ascii="Arial" w:cs="Arial" w:eastAsia="Arial" w:hAnsi="Arial"/>
          <w:sz w:val="17"/>
          <w:szCs w:val="17"/>
          <w:b w:val="1"/>
          <w:bCs w:val="1"/>
          <w:color w:val="auto"/>
        </w:rPr>
        <w:t>[This page is the signature page to the Equity Interest Pledge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SHENG Heqiang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SHENG Heqiang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ZHANG Shaobin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ZHAHG Shaobin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SHENG Heqiang</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358" w:name="page359"/>
    <w:bookmarkEnd w:id="358"/>
    <w:p>
      <w:pPr>
        <w:jc w:val="center"/>
        <w:ind w:right="40"/>
        <w:spacing w:after="0"/>
        <w:rPr>
          <w:sz w:val="20"/>
          <w:szCs w:val="20"/>
          <w:color w:val="auto"/>
        </w:rPr>
      </w:pPr>
      <w:r>
        <w:rPr>
          <w:rFonts w:ascii="Arial" w:cs="Arial" w:eastAsia="Arial" w:hAnsi="Arial"/>
          <w:sz w:val="17"/>
          <w:szCs w:val="17"/>
          <w:b w:val="1"/>
          <w:bCs w:val="1"/>
          <w:color w:val="auto"/>
        </w:rPr>
        <w:t>Equity Interest Pledge Agreement - Signature Page</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Annex I Pledgor</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720" w:type="dxa"/>
            <w:vAlign w:val="bottom"/>
            <w:tcBorders>
              <w:top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jc w:val="center"/>
              <w:ind w:right="673"/>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top w:val="single" w:sz="8" w:color="auto"/>
            </w:tcBorders>
          </w:tcPr>
          <w:p>
            <w:pPr>
              <w:spacing w:after="0"/>
              <w:rPr>
                <w:sz w:val="20"/>
                <w:szCs w:val="20"/>
                <w:color w:val="auto"/>
              </w:rPr>
            </w:pPr>
          </w:p>
        </w:tc>
        <w:tc>
          <w:tcPr>
            <w:tcW w:w="2120" w:type="dxa"/>
            <w:vAlign w:val="bottom"/>
            <w:tcBorders>
              <w:top w:val="single" w:sz="8" w:color="auto"/>
              <w:right w:val="single" w:sz="8" w:color="auto"/>
            </w:tcBorders>
          </w:tcPr>
          <w:p>
            <w:pPr>
              <w:jc w:val="center"/>
              <w:ind w:right="17"/>
              <w:spacing w:after="0"/>
              <w:rPr>
                <w:sz w:val="20"/>
                <w:szCs w:val="20"/>
                <w:color w:val="auto"/>
              </w:rPr>
            </w:pPr>
            <w:r>
              <w:rPr>
                <w:rFonts w:ascii="Arial" w:cs="Arial" w:eastAsia="Arial" w:hAnsi="Arial"/>
                <w:sz w:val="17"/>
                <w:szCs w:val="17"/>
                <w:color w:val="auto"/>
                <w:w w:val="91"/>
              </w:rPr>
              <w:t>ID Card No.</w:t>
            </w:r>
          </w:p>
        </w:tc>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720" w:type="dxa"/>
            <w:vAlign w:val="bottom"/>
          </w:tcPr>
          <w:p>
            <w:pPr>
              <w:spacing w:after="0"/>
              <w:rPr>
                <w:sz w:val="18"/>
                <w:szCs w:val="18"/>
                <w:color w:val="auto"/>
              </w:rPr>
            </w:pPr>
          </w:p>
        </w:tc>
        <w:tc>
          <w:tcPr>
            <w:tcW w:w="2240" w:type="dxa"/>
            <w:vAlign w:val="bottom"/>
            <w:tcBorders>
              <w:right w:val="single" w:sz="8" w:color="auto"/>
            </w:tcBorders>
          </w:tcPr>
          <w:p>
            <w:pPr>
              <w:jc w:val="center"/>
              <w:ind w:right="673"/>
              <w:spacing w:after="0"/>
              <w:rPr>
                <w:sz w:val="20"/>
                <w:szCs w:val="20"/>
                <w:color w:val="auto"/>
              </w:rPr>
            </w:pPr>
            <w:r>
              <w:rPr>
                <w:rFonts w:ascii="Arial" w:cs="Arial" w:eastAsia="Arial" w:hAnsi="Arial"/>
                <w:sz w:val="17"/>
                <w:szCs w:val="17"/>
                <w:color w:val="auto"/>
                <w:w w:val="90"/>
              </w:rPr>
              <w:t>SHENG Heqiang</w:t>
            </w:r>
          </w:p>
        </w:tc>
        <w:tc>
          <w:tcPr>
            <w:tcW w:w="60" w:type="dxa"/>
            <w:vAlign w:val="bottom"/>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720" w:type="dxa"/>
            <w:vAlign w:val="bottom"/>
          </w:tcPr>
          <w:p>
            <w:pPr>
              <w:spacing w:after="0"/>
              <w:rPr>
                <w:sz w:val="18"/>
                <w:szCs w:val="18"/>
                <w:color w:val="auto"/>
              </w:rPr>
            </w:pPr>
          </w:p>
        </w:tc>
        <w:tc>
          <w:tcPr>
            <w:tcW w:w="2240" w:type="dxa"/>
            <w:vAlign w:val="bottom"/>
            <w:tcBorders>
              <w:right w:val="single" w:sz="8" w:color="auto"/>
            </w:tcBorders>
          </w:tcPr>
          <w:p>
            <w:pPr>
              <w:jc w:val="center"/>
              <w:ind w:right="673"/>
              <w:spacing w:after="0"/>
              <w:rPr>
                <w:sz w:val="20"/>
                <w:szCs w:val="20"/>
                <w:color w:val="auto"/>
              </w:rPr>
            </w:pPr>
            <w:r>
              <w:rPr>
                <w:rFonts w:ascii="Arial" w:cs="Arial" w:eastAsia="Arial" w:hAnsi="Arial"/>
                <w:sz w:val="17"/>
                <w:szCs w:val="17"/>
                <w:color w:val="auto"/>
                <w:w w:val="91"/>
              </w:rPr>
              <w:t>ZHANG Shaobin</w:t>
            </w:r>
          </w:p>
        </w:tc>
        <w:tc>
          <w:tcPr>
            <w:tcW w:w="60" w:type="dxa"/>
            <w:vAlign w:val="bottom"/>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625"/>
        </w:trPr>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20" w:type="dxa"/>
            <w:vAlign w:val="bottom"/>
            <w:gridSpan w:val="3"/>
          </w:tcPr>
          <w:p>
            <w:pPr>
              <w:ind w:left="200"/>
              <w:spacing w:after="0"/>
              <w:rPr>
                <w:sz w:val="20"/>
                <w:szCs w:val="20"/>
                <w:color w:val="auto"/>
              </w:rPr>
            </w:pPr>
            <w:r>
              <w:rPr>
                <w:rFonts w:ascii="Arial" w:cs="Arial" w:eastAsia="Arial" w:hAnsi="Arial"/>
                <w:sz w:val="20"/>
                <w:szCs w:val="20"/>
                <w:b w:val="1"/>
                <w:bCs w:val="1"/>
                <w:color w:val="auto"/>
              </w:rPr>
              <w:t>Annex II Shareholding Structure</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89"/>
        </w:trPr>
        <w:tc>
          <w:tcPr>
            <w:tcW w:w="60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4"/>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5660" w:type="dxa"/>
            <w:vAlign w:val="bottom"/>
            <w:gridSpan w:val="4"/>
          </w:tcPr>
          <w:p>
            <w:pPr>
              <w:jc w:val="center"/>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right w:val="single" w:sz="8" w:color="auto"/>
            </w:tcBorders>
          </w:tcPr>
          <w:p>
            <w:pPr>
              <w:spacing w:after="0"/>
              <w:rPr>
                <w:sz w:val="18"/>
                <w:szCs w:val="18"/>
                <w:color w:val="auto"/>
              </w:rPr>
            </w:pPr>
          </w:p>
        </w:tc>
        <w:tc>
          <w:tcPr>
            <w:tcW w:w="2120" w:type="dxa"/>
            <w:vAlign w:val="bottom"/>
          </w:tcPr>
          <w:p>
            <w:pPr>
              <w:ind w:left="420"/>
              <w:spacing w:after="0"/>
              <w:rPr>
                <w:sz w:val="20"/>
                <w:szCs w:val="20"/>
                <w:color w:val="auto"/>
              </w:rPr>
            </w:pPr>
            <w:r>
              <w:rPr>
                <w:rFonts w:ascii="Arial" w:cs="Arial" w:eastAsia="Arial" w:hAnsi="Arial"/>
                <w:sz w:val="17"/>
                <w:szCs w:val="17"/>
                <w:color w:val="auto"/>
                <w:w w:val="95"/>
              </w:rPr>
              <w:t>Amount of Contribution</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auto"/>
                <w:w w:val="90"/>
              </w:rPr>
              <w:t>SHENG Heqiang</w:t>
            </w:r>
          </w:p>
        </w:tc>
        <w:tc>
          <w:tcPr>
            <w:tcW w:w="2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190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240" w:type="dxa"/>
            <w:vAlign w:val="bottom"/>
          </w:tcPr>
          <w:p>
            <w:pPr>
              <w:spacing w:after="0"/>
              <w:rPr>
                <w:sz w:val="18"/>
                <w:szCs w:val="18"/>
                <w:color w:val="auto"/>
              </w:rPr>
            </w:pPr>
          </w:p>
        </w:tc>
        <w:tc>
          <w:tcPr>
            <w:tcW w:w="3420" w:type="dxa"/>
            <w:vAlign w:val="bottom"/>
            <w:gridSpan w:val="3"/>
          </w:tcPr>
          <w:p>
            <w:pPr>
              <w:jc w:val="center"/>
              <w:ind w:right="2133"/>
              <w:spacing w:after="0"/>
              <w:rPr>
                <w:sz w:val="20"/>
                <w:szCs w:val="20"/>
                <w:color w:val="auto"/>
              </w:rPr>
            </w:pPr>
            <w:r>
              <w:rPr>
                <w:rFonts w:ascii="Arial" w:cs="Arial" w:eastAsia="Arial" w:hAnsi="Arial"/>
                <w:sz w:val="17"/>
                <w:szCs w:val="17"/>
                <w:color w:val="auto"/>
                <w:w w:val="91"/>
              </w:rPr>
              <w:t>ZHANG Shaobin</w:t>
            </w: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10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auto"/>
                <w:w w:val="89"/>
              </w:rPr>
              <w:t>Total</w:t>
            </w:r>
          </w:p>
        </w:tc>
        <w:tc>
          <w:tcPr>
            <w:tcW w:w="2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200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bl>
    <w:p>
      <w:pPr>
        <w:spacing w:after="0" w:line="373"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Annex III Form of Party C’s Shareholders’ Register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Company: Tianjin Shangde Online Education Technology Co., Ltd.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1640" w:type="dxa"/>
            <w:vAlign w:val="bottom"/>
            <w:tcBorders>
              <w:top w:val="single" w:sz="8" w:color="auto"/>
              <w:left w:val="single" w:sz="8" w:color="auto"/>
            </w:tcBorders>
            <w:gridSpan w:val="2"/>
          </w:tcPr>
          <w:p>
            <w:pPr>
              <w:jc w:val="center"/>
              <w:ind w:left="297"/>
              <w:spacing w:after="0"/>
              <w:rPr>
                <w:sz w:val="20"/>
                <w:szCs w:val="20"/>
                <w:color w:val="auto"/>
              </w:rPr>
            </w:pPr>
            <w:r>
              <w:rPr>
                <w:rFonts w:ascii="Arial" w:cs="Arial" w:eastAsia="Arial" w:hAnsi="Arial"/>
                <w:sz w:val="17"/>
                <w:szCs w:val="17"/>
                <w:b w:val="1"/>
                <w:bCs w:val="1"/>
                <w:color w:val="auto"/>
                <w:w w:val="87"/>
              </w:rPr>
              <w:t>Full name of the</w:t>
            </w:r>
          </w:p>
        </w:tc>
        <w:tc>
          <w:tcPr>
            <w:tcW w:w="200" w:type="dxa"/>
            <w:vAlign w:val="bottom"/>
            <w:tcBorders>
              <w:top w:val="single" w:sz="8" w:color="auto"/>
            </w:tcBorders>
          </w:tcPr>
          <w:p>
            <w:pPr>
              <w:spacing w:after="0"/>
              <w:rPr>
                <w:sz w:val="21"/>
                <w:szCs w:val="21"/>
                <w:color w:val="auto"/>
              </w:rPr>
            </w:pPr>
          </w:p>
        </w:tc>
        <w:tc>
          <w:tcPr>
            <w:tcW w:w="180" w:type="dxa"/>
            <w:vAlign w:val="bottom"/>
            <w:tcBorders>
              <w:top w:val="single" w:sz="8" w:color="auto"/>
              <w:right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right w:val="single" w:sz="8" w:color="auto"/>
            </w:tcBorders>
            <w:gridSpan w:val="2"/>
          </w:tcPr>
          <w:p>
            <w:pPr>
              <w:jc w:val="center"/>
              <w:ind w:right="237"/>
              <w:spacing w:after="0"/>
              <w:rPr>
                <w:sz w:val="20"/>
                <w:szCs w:val="20"/>
                <w:color w:val="auto"/>
              </w:rPr>
            </w:pPr>
            <w:r>
              <w:rPr>
                <w:rFonts w:ascii="Arial" w:cs="Arial" w:eastAsia="Arial" w:hAnsi="Arial"/>
                <w:sz w:val="17"/>
                <w:szCs w:val="17"/>
                <w:b w:val="1"/>
                <w:bCs w:val="1"/>
                <w:color w:val="auto"/>
                <w:w w:val="96"/>
              </w:rPr>
              <w:t>[SHENG</w:t>
            </w:r>
          </w:p>
        </w:tc>
        <w:tc>
          <w:tcPr>
            <w:tcW w:w="4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ID Card No./</w:t>
            </w:r>
          </w:p>
        </w:tc>
        <w:tc>
          <w:tcPr>
            <w:tcW w:w="440" w:type="dxa"/>
            <w:vAlign w:val="bottom"/>
            <w:tcBorders>
              <w:top w:val="single" w:sz="8" w:color="auto"/>
              <w:right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0"/>
              </w:rPr>
              <w:t>[[•]]Occupa</w:t>
            </w:r>
          </w:p>
        </w:tc>
        <w:tc>
          <w:tcPr>
            <w:tcW w:w="200" w:type="dxa"/>
            <w:vAlign w:val="bottom"/>
            <w:tcBorders>
              <w:top w:val="single" w:sz="8" w:color="auto"/>
              <w:right w:val="single" w:sz="8" w:color="auto"/>
            </w:tcBorders>
          </w:tcPr>
          <w:p>
            <w:pPr>
              <w:spacing w:after="0"/>
              <w:rPr>
                <w:sz w:val="21"/>
                <w:szCs w:val="21"/>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Identity</w:t>
            </w:r>
          </w:p>
        </w:tc>
        <w:tc>
          <w:tcPr>
            <w:tcW w:w="460" w:type="dxa"/>
            <w:vAlign w:val="bottom"/>
            <w:tcBorders>
              <w:top w:val="single" w:sz="8" w:color="auto"/>
            </w:tcBorders>
          </w:tcPr>
          <w:p>
            <w:pPr>
              <w:spacing w:after="0"/>
              <w:rPr>
                <w:sz w:val="21"/>
                <w:szCs w:val="21"/>
                <w:color w:val="auto"/>
              </w:rPr>
            </w:pPr>
          </w:p>
        </w:tc>
        <w:tc>
          <w:tcPr>
            <w:tcW w:w="2020" w:type="dxa"/>
            <w:vAlign w:val="bottom"/>
            <w:tcBorders>
              <w:top w:val="single" w:sz="8" w:color="auto"/>
              <w:right w:val="single" w:sz="8" w:color="auto"/>
            </w:tcBorders>
            <w:gridSpan w:val="2"/>
          </w:tcPr>
          <w:p>
            <w:pPr>
              <w:jc w:val="center"/>
              <w:ind w:right="437"/>
              <w:spacing w:after="0"/>
              <w:rPr>
                <w:sz w:val="20"/>
                <w:szCs w:val="20"/>
                <w:color w:val="auto"/>
              </w:rPr>
            </w:pPr>
            <w:r>
              <w:rPr>
                <w:rFonts w:ascii="Arial" w:cs="Arial" w:eastAsia="Arial" w:hAnsi="Arial"/>
                <w:sz w:val="17"/>
                <w:szCs w:val="17"/>
                <w:b w:val="1"/>
                <w:bCs w:val="1"/>
                <w:color w:val="auto"/>
                <w:w w:val="89"/>
              </w:rPr>
              <w:t>Executive Director</w:t>
            </w:r>
          </w:p>
        </w:tc>
        <w:tc>
          <w:tcPr>
            <w:tcW w:w="20" w:type="dxa"/>
            <w:vAlign w:val="bottom"/>
          </w:tcPr>
          <w:p>
            <w:pPr>
              <w:spacing w:after="0"/>
              <w:rPr>
                <w:sz w:val="21"/>
                <w:szCs w:val="21"/>
                <w:color w:val="auto"/>
              </w:rPr>
            </w:pPr>
          </w:p>
        </w:tc>
      </w:tr>
      <w:tr>
        <w:trPr>
          <w:trHeight w:val="216"/>
        </w:trPr>
        <w:tc>
          <w:tcPr>
            <w:tcW w:w="1640" w:type="dxa"/>
            <w:vAlign w:val="bottom"/>
            <w:tcBorders>
              <w:left w:val="single" w:sz="8" w:color="auto"/>
            </w:tcBorders>
            <w:gridSpan w:val="2"/>
          </w:tcPr>
          <w:p>
            <w:pPr>
              <w:jc w:val="center"/>
              <w:ind w:left="297"/>
              <w:spacing w:after="0"/>
              <w:rPr>
                <w:sz w:val="20"/>
                <w:szCs w:val="20"/>
                <w:color w:val="auto"/>
              </w:rPr>
            </w:pPr>
            <w:r>
              <w:rPr>
                <w:rFonts w:ascii="Arial" w:cs="Arial" w:eastAsia="Arial" w:hAnsi="Arial"/>
                <w:sz w:val="17"/>
                <w:szCs w:val="17"/>
                <w:b w:val="1"/>
                <w:bCs w:val="1"/>
                <w:color w:val="auto"/>
                <w:w w:val="86"/>
              </w:rPr>
              <w:t>Shareholder</w:t>
            </w: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right w:val="single" w:sz="8" w:color="auto"/>
            </w:tcBorders>
            <w:gridSpan w:val="2"/>
          </w:tcPr>
          <w:p>
            <w:pPr>
              <w:jc w:val="center"/>
              <w:ind w:right="257"/>
              <w:spacing w:after="0"/>
              <w:rPr>
                <w:sz w:val="20"/>
                <w:szCs w:val="20"/>
                <w:color w:val="auto"/>
              </w:rPr>
            </w:pPr>
            <w:r>
              <w:rPr>
                <w:rFonts w:ascii="Arial" w:cs="Arial" w:eastAsia="Arial" w:hAnsi="Arial"/>
                <w:sz w:val="17"/>
                <w:szCs w:val="17"/>
                <w:b w:val="1"/>
                <w:bCs w:val="1"/>
                <w:color w:val="auto"/>
                <w:w w:val="90"/>
              </w:rPr>
              <w:t>Heqiang]</w:t>
            </w:r>
          </w:p>
        </w:tc>
        <w:tc>
          <w:tcPr>
            <w:tcW w:w="4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8"/>
              </w:rPr>
              <w:t>Registration No.</w:t>
            </w: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left="177"/>
              <w:spacing w:after="0"/>
              <w:rPr>
                <w:sz w:val="20"/>
                <w:szCs w:val="20"/>
                <w:color w:val="auto"/>
              </w:rPr>
            </w:pPr>
            <w:r>
              <w:rPr>
                <w:rFonts w:ascii="Arial" w:cs="Arial" w:eastAsia="Arial" w:hAnsi="Arial"/>
                <w:sz w:val="17"/>
                <w:szCs w:val="17"/>
                <w:b w:val="1"/>
                <w:bCs w:val="1"/>
                <w:color w:val="auto"/>
                <w:w w:val="91"/>
              </w:rPr>
              <w:t>tion/]</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840" w:type="dxa"/>
            <w:vAlign w:val="bottom"/>
            <w:tcBorders>
              <w:left w:val="single" w:sz="8" w:color="auto"/>
              <w:bottom w:val="single" w:sz="8" w:color="auto"/>
            </w:tcBorders>
            <w:gridSpan w:val="3"/>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1840" w:type="dxa"/>
            <w:vAlign w:val="bottom"/>
            <w:tcBorders>
              <w:left w:val="single" w:sz="8" w:color="auto"/>
            </w:tcBorders>
            <w:gridSpan w:val="3"/>
          </w:tcPr>
          <w:p>
            <w:pPr>
              <w:ind w:left="380"/>
              <w:spacing w:after="0"/>
              <w:rPr>
                <w:sz w:val="20"/>
                <w:szCs w:val="20"/>
                <w:color w:val="auto"/>
              </w:rPr>
            </w:pPr>
            <w:r>
              <w:rPr>
                <w:rFonts w:ascii="Arial" w:cs="Arial" w:eastAsia="Arial" w:hAnsi="Arial"/>
                <w:sz w:val="17"/>
                <w:szCs w:val="17"/>
                <w:b w:val="1"/>
                <w:bCs w:val="1"/>
                <w:color w:val="auto"/>
                <w:w w:val="87"/>
              </w:rPr>
              <w:t>Address of Domicile</w:t>
            </w:r>
          </w:p>
        </w:tc>
        <w:tc>
          <w:tcPr>
            <w:tcW w:w="18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97"/>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740" w:type="dxa"/>
            <w:vAlign w:val="bottom"/>
          </w:tcPr>
          <w:p>
            <w:pPr>
              <w:spacing w:after="0"/>
              <w:rPr>
                <w:sz w:val="19"/>
                <w:szCs w:val="19"/>
                <w:color w:val="auto"/>
              </w:rPr>
            </w:pPr>
          </w:p>
        </w:tc>
        <w:tc>
          <w:tcPr>
            <w:tcW w:w="2440" w:type="dxa"/>
            <w:vAlign w:val="bottom"/>
            <w:tcBorders>
              <w:right w:val="single" w:sz="8" w:color="auto"/>
            </w:tcBorders>
            <w:gridSpan w:val="7"/>
          </w:tcPr>
          <w:p>
            <w:pPr>
              <w:jc w:val="center"/>
              <w:ind w:right="760"/>
              <w:spacing w:after="0"/>
              <w:rPr>
                <w:sz w:val="20"/>
                <w:szCs w:val="20"/>
                <w:color w:val="auto"/>
              </w:rPr>
            </w:pPr>
            <w:r>
              <w:rPr>
                <w:rFonts w:ascii="Arial" w:cs="Arial" w:eastAsia="Arial" w:hAnsi="Arial"/>
                <w:sz w:val="17"/>
                <w:szCs w:val="17"/>
                <w:b w:val="1"/>
                <w:bCs w:val="1"/>
                <w:color w:val="auto"/>
                <w:w w:val="91"/>
              </w:rPr>
              <w:t>Contribution Amount/</w:t>
            </w:r>
          </w:p>
        </w:tc>
        <w:tc>
          <w:tcPr>
            <w:tcW w:w="1940" w:type="dxa"/>
            <w:vAlign w:val="bottom"/>
            <w:gridSpan w:val="3"/>
          </w:tcPr>
          <w:p>
            <w:pPr>
              <w:jc w:val="center"/>
              <w:ind w:left="637"/>
              <w:spacing w:after="0"/>
              <w:rPr>
                <w:sz w:val="20"/>
                <w:szCs w:val="20"/>
                <w:color w:val="auto"/>
              </w:rPr>
            </w:pPr>
            <w:r>
              <w:rPr>
                <w:rFonts w:ascii="Arial" w:cs="Arial" w:eastAsia="Arial" w:hAnsi="Arial"/>
                <w:sz w:val="17"/>
                <w:szCs w:val="17"/>
                <w:b w:val="1"/>
                <w:bCs w:val="1"/>
                <w:color w:val="auto"/>
                <w:w w:val="86"/>
              </w:rPr>
              <w:t>Shareholding</w:t>
            </w:r>
          </w:p>
        </w:tc>
        <w:tc>
          <w:tcPr>
            <w:tcW w:w="7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7"/>
                <w:szCs w:val="17"/>
                <w:b w:val="1"/>
                <w:bCs w:val="1"/>
                <w:color w:val="auto"/>
                <w:w w:val="84"/>
              </w:rPr>
              <w:t>Note</w:t>
            </w:r>
          </w:p>
        </w:tc>
        <w:tc>
          <w:tcPr>
            <w:tcW w:w="46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4"/>
          </w:tcPr>
          <w:p>
            <w:pPr>
              <w:jc w:val="center"/>
              <w:ind w:left="37"/>
              <w:spacing w:after="0"/>
              <w:rPr>
                <w:sz w:val="20"/>
                <w:szCs w:val="20"/>
                <w:color w:val="auto"/>
              </w:rPr>
            </w:pPr>
            <w:r>
              <w:rPr>
                <w:rFonts w:ascii="Arial" w:cs="Arial" w:eastAsia="Arial" w:hAnsi="Arial"/>
                <w:sz w:val="17"/>
                <w:szCs w:val="17"/>
                <w:b w:val="1"/>
                <w:bCs w:val="1"/>
                <w:color w:val="auto"/>
                <w:w w:val="87"/>
              </w:rPr>
              <w:t>Consideration</w:t>
            </w:r>
          </w:p>
        </w:tc>
        <w:tc>
          <w:tcPr>
            <w:tcW w:w="6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940" w:type="dxa"/>
            <w:vAlign w:val="bottom"/>
            <w:gridSpan w:val="3"/>
          </w:tcPr>
          <w:p>
            <w:pPr>
              <w:jc w:val="center"/>
              <w:ind w:left="637"/>
              <w:spacing w:after="0"/>
              <w:rPr>
                <w:sz w:val="20"/>
                <w:szCs w:val="20"/>
                <w:color w:val="auto"/>
              </w:rPr>
            </w:pPr>
            <w:r>
              <w:rPr>
                <w:rFonts w:ascii="Arial" w:cs="Arial" w:eastAsia="Arial" w:hAnsi="Arial"/>
                <w:sz w:val="17"/>
                <w:szCs w:val="17"/>
                <w:b w:val="1"/>
                <w:bCs w:val="1"/>
                <w:color w:val="auto"/>
                <w:w w:val="85"/>
              </w:rPr>
              <w:t>Percentage</w:t>
            </w:r>
          </w:p>
        </w:tc>
        <w:tc>
          <w:tcPr>
            <w:tcW w:w="7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gridSpan w:val="3"/>
          </w:tcPr>
          <w:p>
            <w:pPr>
              <w:spacing w:after="0"/>
              <w:rPr>
                <w:sz w:val="4"/>
                <w:szCs w:val="4"/>
                <w:color w:val="auto"/>
              </w:rPr>
            </w:pPr>
          </w:p>
        </w:tc>
        <w:tc>
          <w:tcPr>
            <w:tcW w:w="20" w:type="dxa"/>
            <w:vAlign w:val="bottom"/>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center"/>
              <w:spacing w:after="0"/>
              <w:rPr>
                <w:sz w:val="20"/>
                <w:szCs w:val="20"/>
                <w:color w:val="auto"/>
              </w:rPr>
            </w:pPr>
            <w:r>
              <w:rPr>
                <w:rFonts w:ascii="Arial" w:cs="Arial" w:eastAsia="Arial" w:hAnsi="Arial"/>
                <w:sz w:val="17"/>
                <w:szCs w:val="17"/>
                <w:color w:val="auto"/>
                <w:w w:val="96"/>
              </w:rPr>
              <w:t>CNY [190]</w:t>
            </w:r>
          </w:p>
        </w:tc>
        <w:tc>
          <w:tcPr>
            <w:tcW w:w="64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36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7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40" w:type="dxa"/>
            <w:vAlign w:val="bottom"/>
            <w:tcBorders>
              <w:right w:val="single" w:sz="8" w:color="auto"/>
            </w:tcBorders>
            <w:gridSpan w:val="4"/>
          </w:tcPr>
          <w:p>
            <w:pPr>
              <w:jc w:val="center"/>
              <w:ind w:right="397"/>
              <w:spacing w:after="0"/>
              <w:rPr>
                <w:sz w:val="20"/>
                <w:szCs w:val="20"/>
                <w:color w:val="auto"/>
              </w:rPr>
            </w:pPr>
            <w:r>
              <w:rPr>
                <w:rFonts w:ascii="Arial" w:cs="Arial" w:eastAsia="Arial" w:hAnsi="Arial"/>
                <w:sz w:val="17"/>
                <w:szCs w:val="17"/>
                <w:color w:val="auto"/>
                <w:w w:val="88"/>
              </w:rPr>
              <w:t>100% of the equity being pledged to</w:t>
            </w:r>
          </w:p>
        </w:tc>
        <w:tc>
          <w:tcPr>
            <w:tcW w:w="20" w:type="dxa"/>
            <w:vAlign w:val="bottom"/>
          </w:tcPr>
          <w:p>
            <w:pPr>
              <w:spacing w:after="0"/>
              <w:rPr>
                <w:sz w:val="19"/>
                <w:szCs w:val="19"/>
                <w:color w:val="auto"/>
              </w:rPr>
            </w:pPr>
          </w:p>
        </w:tc>
      </w:tr>
      <w:tr>
        <w:trPr>
          <w:trHeight w:val="199"/>
        </w:trPr>
        <w:tc>
          <w:tcPr>
            <w:tcW w:w="9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40" w:type="dxa"/>
            <w:vAlign w:val="bottom"/>
            <w:tcBorders>
              <w:right w:val="single" w:sz="8" w:color="auto"/>
            </w:tcBorders>
            <w:gridSpan w:val="4"/>
          </w:tcPr>
          <w:p>
            <w:pPr>
              <w:jc w:val="center"/>
              <w:ind w:right="397"/>
              <w:spacing w:after="0"/>
              <w:rPr>
                <w:sz w:val="20"/>
                <w:szCs w:val="20"/>
                <w:color w:val="auto"/>
              </w:rPr>
            </w:pPr>
            <w:r>
              <w:rPr>
                <w:rFonts w:ascii="Arial" w:cs="Arial" w:eastAsia="Arial" w:hAnsi="Arial"/>
                <w:sz w:val="17"/>
                <w:szCs w:val="17"/>
                <w:color w:val="auto"/>
                <w:w w:val="94"/>
              </w:rPr>
              <w:t>[  Tianjin Studyvip Education Co.,</w:t>
            </w:r>
          </w:p>
        </w:tc>
        <w:tc>
          <w:tcPr>
            <w:tcW w:w="20" w:type="dxa"/>
            <w:vAlign w:val="bottom"/>
          </w:tcPr>
          <w:p>
            <w:pPr>
              <w:spacing w:after="0"/>
              <w:rPr>
                <w:sz w:val="17"/>
                <w:szCs w:val="17"/>
                <w:color w:val="auto"/>
              </w:rPr>
            </w:pP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ind w:left="1320"/>
              <w:spacing w:after="0"/>
              <w:rPr>
                <w:sz w:val="20"/>
                <w:szCs w:val="20"/>
                <w:color w:val="auto"/>
              </w:rPr>
            </w:pPr>
            <w:r>
              <w:rPr>
                <w:rFonts w:ascii="Arial" w:cs="Arial" w:eastAsia="Arial" w:hAnsi="Arial"/>
                <w:sz w:val="17"/>
                <w:szCs w:val="17"/>
                <w:color w:val="auto"/>
              </w:rPr>
              <w:t>Limited</w:t>
            </w:r>
          </w:p>
        </w:tc>
        <w:tc>
          <w:tcPr>
            <w:tcW w:w="4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491"/>
        </w:trPr>
        <w:tc>
          <w:tcPr>
            <w:tcW w:w="164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1640" w:type="dxa"/>
            <w:vAlign w:val="bottom"/>
            <w:tcBorders>
              <w:left w:val="single" w:sz="8" w:color="auto"/>
            </w:tcBorders>
            <w:gridSpan w:val="2"/>
          </w:tcPr>
          <w:p>
            <w:pPr>
              <w:jc w:val="center"/>
              <w:ind w:left="297"/>
              <w:spacing w:after="0"/>
              <w:rPr>
                <w:sz w:val="20"/>
                <w:szCs w:val="20"/>
                <w:color w:val="auto"/>
              </w:rPr>
            </w:pPr>
            <w:r>
              <w:rPr>
                <w:rFonts w:ascii="Arial" w:cs="Arial" w:eastAsia="Arial" w:hAnsi="Arial"/>
                <w:sz w:val="17"/>
                <w:szCs w:val="17"/>
                <w:b w:val="1"/>
                <w:bCs w:val="1"/>
                <w:color w:val="auto"/>
                <w:w w:val="87"/>
              </w:rPr>
              <w:t>Full name of the</w:t>
            </w:r>
          </w:p>
        </w:tc>
        <w:tc>
          <w:tcPr>
            <w:tcW w:w="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right w:val="single" w:sz="8" w:color="auto"/>
            </w:tcBorders>
            <w:gridSpan w:val="2"/>
          </w:tcPr>
          <w:p>
            <w:pPr>
              <w:jc w:val="center"/>
              <w:ind w:right="237"/>
              <w:spacing w:after="0"/>
              <w:rPr>
                <w:sz w:val="20"/>
                <w:szCs w:val="20"/>
                <w:color w:val="auto"/>
              </w:rPr>
            </w:pPr>
            <w:r>
              <w:rPr>
                <w:rFonts w:ascii="Arial" w:cs="Arial" w:eastAsia="Arial" w:hAnsi="Arial"/>
                <w:sz w:val="17"/>
                <w:szCs w:val="17"/>
                <w:b w:val="1"/>
                <w:bCs w:val="1"/>
                <w:color w:val="auto"/>
              </w:rPr>
              <w:t>[  ZHANG</w:t>
            </w:r>
          </w:p>
        </w:tc>
        <w:tc>
          <w:tcPr>
            <w:tcW w:w="4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4"/>
              </w:rPr>
              <w:t>ID Card No./</w:t>
            </w:r>
          </w:p>
        </w:tc>
        <w:tc>
          <w:tcPr>
            <w:tcW w:w="4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140"/>
              <w:spacing w:after="0"/>
              <w:rPr>
                <w:sz w:val="20"/>
                <w:szCs w:val="20"/>
                <w:color w:val="auto"/>
              </w:rPr>
            </w:pPr>
            <w:r>
              <w:rPr>
                <w:rFonts w:ascii="Arial" w:cs="Arial" w:eastAsia="Arial" w:hAnsi="Arial"/>
                <w:sz w:val="17"/>
                <w:szCs w:val="17"/>
                <w:b w:val="1"/>
                <w:bCs w:val="1"/>
                <w:color w:val="auto"/>
              </w:rPr>
              <w:t>[  [•]</w:t>
            </w:r>
          </w:p>
        </w:tc>
        <w:tc>
          <w:tcPr>
            <w:tcW w:w="24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20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Occupation/</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640" w:type="dxa"/>
            <w:vAlign w:val="bottom"/>
            <w:tcBorders>
              <w:left w:val="single" w:sz="8" w:color="auto"/>
            </w:tcBorders>
            <w:gridSpan w:val="2"/>
          </w:tcPr>
          <w:p>
            <w:pPr>
              <w:jc w:val="center"/>
              <w:ind w:left="297"/>
              <w:spacing w:after="0"/>
              <w:rPr>
                <w:sz w:val="20"/>
                <w:szCs w:val="20"/>
                <w:color w:val="auto"/>
              </w:rPr>
            </w:pPr>
            <w:r>
              <w:rPr>
                <w:rFonts w:ascii="Arial" w:cs="Arial" w:eastAsia="Arial" w:hAnsi="Arial"/>
                <w:sz w:val="17"/>
                <w:szCs w:val="17"/>
                <w:b w:val="1"/>
                <w:bCs w:val="1"/>
                <w:color w:val="auto"/>
                <w:w w:val="86"/>
              </w:rPr>
              <w:t>Shareholder</w:t>
            </w: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86"/>
              </w:rPr>
              <w:t>Shaobin</w:t>
            </w:r>
          </w:p>
        </w:tc>
        <w:tc>
          <w:tcPr>
            <w:tcW w:w="640" w:type="dxa"/>
            <w:vAlign w:val="bottom"/>
            <w:tcBorders>
              <w:right w:val="single" w:sz="8" w:color="auto"/>
            </w:tcBorders>
          </w:tcPr>
          <w:p>
            <w:pPr>
              <w:jc w:val="right"/>
              <w:ind w:right="257"/>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8"/>
              </w:rPr>
              <w:t>Registration No.</w:t>
            </w:r>
          </w:p>
        </w:tc>
        <w:tc>
          <w:tcPr>
            <w:tcW w:w="4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Identity</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840" w:type="dxa"/>
            <w:vAlign w:val="bottom"/>
            <w:tcBorders>
              <w:left w:val="single" w:sz="8" w:color="auto"/>
              <w:bottom w:val="single" w:sz="8" w:color="auto"/>
            </w:tcBorders>
            <w:gridSpan w:val="3"/>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1840" w:type="dxa"/>
            <w:vAlign w:val="bottom"/>
            <w:tcBorders>
              <w:left w:val="single" w:sz="8" w:color="auto"/>
            </w:tcBorders>
            <w:gridSpan w:val="3"/>
          </w:tcPr>
          <w:p>
            <w:pPr>
              <w:ind w:left="380"/>
              <w:spacing w:after="0"/>
              <w:rPr>
                <w:sz w:val="20"/>
                <w:szCs w:val="20"/>
                <w:color w:val="auto"/>
              </w:rPr>
            </w:pPr>
            <w:r>
              <w:rPr>
                <w:rFonts w:ascii="Arial" w:cs="Arial" w:eastAsia="Arial" w:hAnsi="Arial"/>
                <w:sz w:val="17"/>
                <w:szCs w:val="17"/>
                <w:b w:val="1"/>
                <w:bCs w:val="1"/>
                <w:color w:val="auto"/>
                <w:w w:val="87"/>
              </w:rPr>
              <w:t>Address of Domicile</w:t>
            </w:r>
          </w:p>
        </w:tc>
        <w:tc>
          <w:tcPr>
            <w:tcW w:w="18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97"/>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0"/>
        </w:trPr>
        <w:tc>
          <w:tcPr>
            <w:tcW w:w="1640" w:type="dxa"/>
            <w:vAlign w:val="bottom"/>
            <w:tcBorders>
              <w:left w:val="single" w:sz="8" w:color="auto"/>
              <w:bottom w:val="single" w:sz="8" w:color="auto"/>
            </w:tcBorders>
            <w:gridSpan w:val="2"/>
          </w:tcPr>
          <w:p>
            <w:pPr>
              <w:spacing w:after="0"/>
              <w:rPr>
                <w:sz w:val="4"/>
                <w:szCs w:val="4"/>
                <w:color w:val="auto"/>
              </w:rPr>
            </w:pPr>
          </w:p>
        </w:tc>
        <w:tc>
          <w:tcPr>
            <w:tcW w:w="540" w:type="dxa"/>
            <w:vAlign w:val="bottom"/>
            <w:tcBorders>
              <w:bottom w:val="single" w:sz="8" w:color="auto"/>
              <w:right w:val="single" w:sz="8" w:color="auto"/>
            </w:tcBorders>
            <w:gridSpan w:val="3"/>
          </w:tcPr>
          <w:p>
            <w:pPr>
              <w:spacing w:after="0"/>
              <w:rPr>
                <w:sz w:val="4"/>
                <w:szCs w:val="4"/>
                <w:color w:val="auto"/>
              </w:rPr>
            </w:pPr>
          </w:p>
        </w:tc>
        <w:tc>
          <w:tcPr>
            <w:tcW w:w="1900" w:type="dxa"/>
            <w:vAlign w:val="bottom"/>
            <w:tcBorders>
              <w:bottom w:val="single" w:sz="8" w:color="auto"/>
            </w:tcBorders>
            <w:gridSpan w:val="4"/>
          </w:tcPr>
          <w:p>
            <w:pPr>
              <w:spacing w:after="0"/>
              <w:rPr>
                <w:sz w:val="4"/>
                <w:szCs w:val="4"/>
                <w:color w:val="auto"/>
              </w:rPr>
            </w:pPr>
          </w:p>
        </w:tc>
        <w:tc>
          <w:tcPr>
            <w:tcW w:w="194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740" w:type="dxa"/>
            <w:vAlign w:val="bottom"/>
          </w:tcPr>
          <w:p>
            <w:pPr>
              <w:spacing w:after="0"/>
              <w:rPr>
                <w:sz w:val="19"/>
                <w:szCs w:val="19"/>
                <w:color w:val="auto"/>
              </w:rPr>
            </w:pPr>
          </w:p>
        </w:tc>
        <w:tc>
          <w:tcPr>
            <w:tcW w:w="2440" w:type="dxa"/>
            <w:vAlign w:val="bottom"/>
            <w:tcBorders>
              <w:right w:val="single" w:sz="8" w:color="auto"/>
            </w:tcBorders>
            <w:gridSpan w:val="7"/>
          </w:tcPr>
          <w:p>
            <w:pPr>
              <w:jc w:val="center"/>
              <w:ind w:right="760"/>
              <w:spacing w:after="0"/>
              <w:rPr>
                <w:sz w:val="20"/>
                <w:szCs w:val="20"/>
                <w:color w:val="auto"/>
              </w:rPr>
            </w:pPr>
            <w:r>
              <w:rPr>
                <w:rFonts w:ascii="Arial" w:cs="Arial" w:eastAsia="Arial" w:hAnsi="Arial"/>
                <w:sz w:val="17"/>
                <w:szCs w:val="17"/>
                <w:b w:val="1"/>
                <w:bCs w:val="1"/>
                <w:color w:val="auto"/>
                <w:w w:val="91"/>
              </w:rPr>
              <w:t>Contribution Amount/</w:t>
            </w:r>
          </w:p>
        </w:tc>
        <w:tc>
          <w:tcPr>
            <w:tcW w:w="1940" w:type="dxa"/>
            <w:vAlign w:val="bottom"/>
            <w:gridSpan w:val="3"/>
          </w:tcPr>
          <w:p>
            <w:pPr>
              <w:jc w:val="center"/>
              <w:ind w:left="637"/>
              <w:spacing w:after="0"/>
              <w:rPr>
                <w:sz w:val="20"/>
                <w:szCs w:val="20"/>
                <w:color w:val="auto"/>
              </w:rPr>
            </w:pPr>
            <w:r>
              <w:rPr>
                <w:rFonts w:ascii="Arial" w:cs="Arial" w:eastAsia="Arial" w:hAnsi="Arial"/>
                <w:sz w:val="17"/>
                <w:szCs w:val="17"/>
                <w:b w:val="1"/>
                <w:bCs w:val="1"/>
                <w:color w:val="auto"/>
                <w:w w:val="86"/>
              </w:rPr>
              <w:t>Shareholding</w:t>
            </w:r>
          </w:p>
        </w:tc>
        <w:tc>
          <w:tcPr>
            <w:tcW w:w="7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7"/>
                <w:szCs w:val="17"/>
                <w:b w:val="1"/>
                <w:bCs w:val="1"/>
                <w:color w:val="auto"/>
                <w:w w:val="84"/>
              </w:rPr>
              <w:t>Note</w:t>
            </w:r>
          </w:p>
        </w:tc>
        <w:tc>
          <w:tcPr>
            <w:tcW w:w="46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4"/>
          </w:tcPr>
          <w:p>
            <w:pPr>
              <w:jc w:val="center"/>
              <w:ind w:left="37"/>
              <w:spacing w:after="0"/>
              <w:rPr>
                <w:sz w:val="20"/>
                <w:szCs w:val="20"/>
                <w:color w:val="auto"/>
              </w:rPr>
            </w:pPr>
            <w:r>
              <w:rPr>
                <w:rFonts w:ascii="Arial" w:cs="Arial" w:eastAsia="Arial" w:hAnsi="Arial"/>
                <w:sz w:val="17"/>
                <w:szCs w:val="17"/>
                <w:b w:val="1"/>
                <w:bCs w:val="1"/>
                <w:color w:val="auto"/>
                <w:w w:val="87"/>
              </w:rPr>
              <w:t>Consideration</w:t>
            </w:r>
          </w:p>
        </w:tc>
        <w:tc>
          <w:tcPr>
            <w:tcW w:w="6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940" w:type="dxa"/>
            <w:vAlign w:val="bottom"/>
            <w:gridSpan w:val="3"/>
          </w:tcPr>
          <w:p>
            <w:pPr>
              <w:jc w:val="center"/>
              <w:ind w:left="637"/>
              <w:spacing w:after="0"/>
              <w:rPr>
                <w:sz w:val="20"/>
                <w:szCs w:val="20"/>
                <w:color w:val="auto"/>
              </w:rPr>
            </w:pPr>
            <w:r>
              <w:rPr>
                <w:rFonts w:ascii="Arial" w:cs="Arial" w:eastAsia="Arial" w:hAnsi="Arial"/>
                <w:sz w:val="17"/>
                <w:szCs w:val="17"/>
                <w:b w:val="1"/>
                <w:bCs w:val="1"/>
                <w:color w:val="auto"/>
                <w:w w:val="85"/>
              </w:rPr>
              <w:t>Percentage</w:t>
            </w:r>
          </w:p>
        </w:tc>
        <w:tc>
          <w:tcPr>
            <w:tcW w:w="7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3"/>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gridSpan w:val="4"/>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CNY [</w:t>
            </w:r>
          </w:p>
        </w:tc>
        <w:tc>
          <w:tcPr>
            <w:tcW w:w="680" w:type="dxa"/>
            <w:vAlign w:val="bottom"/>
          </w:tcPr>
          <w:p>
            <w:pPr>
              <w:jc w:val="right"/>
              <w:ind w:right="97"/>
              <w:spacing w:after="0"/>
              <w:rPr>
                <w:sz w:val="20"/>
                <w:szCs w:val="20"/>
                <w:color w:val="auto"/>
              </w:rPr>
            </w:pPr>
            <w:r>
              <w:rPr>
                <w:rFonts w:ascii="Arial" w:cs="Arial" w:eastAsia="Arial" w:hAnsi="Arial"/>
                <w:sz w:val="17"/>
                <w:szCs w:val="17"/>
                <w:color w:val="auto"/>
              </w:rPr>
              <w:t>10</w:t>
            </w:r>
          </w:p>
        </w:tc>
        <w:tc>
          <w:tcPr>
            <w:tcW w:w="640" w:type="dxa"/>
            <w:vAlign w:val="bottom"/>
          </w:tcPr>
          <w:p>
            <w:pPr>
              <w:jc w:val="right"/>
              <w:ind w:right="477"/>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auto"/>
            </w:tcBorders>
          </w:tcPr>
          <w:p>
            <w:pPr>
              <w:spacing w:after="0"/>
              <w:rPr>
                <w:sz w:val="19"/>
                <w:szCs w:val="19"/>
                <w:color w:val="auto"/>
              </w:rPr>
            </w:pPr>
          </w:p>
        </w:tc>
        <w:tc>
          <w:tcPr>
            <w:tcW w:w="1360" w:type="dxa"/>
            <w:vAlign w:val="bottom"/>
          </w:tcPr>
          <w:p>
            <w:pPr>
              <w:jc w:val="right"/>
              <w:ind w:right="277"/>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5 ]%</w:t>
            </w:r>
          </w:p>
        </w:tc>
        <w:tc>
          <w:tcPr>
            <w:tcW w:w="7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4"/>
          </w:tcPr>
          <w:p>
            <w:pPr>
              <w:jc w:val="right"/>
              <w:ind w:right="17"/>
              <w:spacing w:after="0"/>
              <w:rPr>
                <w:sz w:val="20"/>
                <w:szCs w:val="20"/>
                <w:color w:val="auto"/>
              </w:rPr>
            </w:pPr>
            <w:r>
              <w:rPr>
                <w:rFonts w:ascii="Arial" w:cs="Arial" w:eastAsia="Arial" w:hAnsi="Arial"/>
                <w:sz w:val="17"/>
                <w:szCs w:val="17"/>
                <w:color w:val="auto"/>
                <w:w w:val="91"/>
              </w:rPr>
              <w:t>100% of the equity being pledged to [</w:t>
            </w:r>
          </w:p>
        </w:tc>
        <w:tc>
          <w:tcPr>
            <w:tcW w:w="15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Tianjin Studyvip</w:t>
            </w:r>
          </w:p>
        </w:tc>
        <w:tc>
          <w:tcPr>
            <w:tcW w:w="20" w:type="dxa"/>
            <w:vAlign w:val="bottom"/>
          </w:tcPr>
          <w:p>
            <w:pPr>
              <w:spacing w:after="0"/>
              <w:rPr>
                <w:sz w:val="19"/>
                <w:szCs w:val="19"/>
                <w:color w:val="auto"/>
              </w:rPr>
            </w:pP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3"/>
          </w:tcPr>
          <w:p>
            <w:pPr>
              <w:jc w:val="right"/>
              <w:ind w:right="77"/>
              <w:spacing w:after="0"/>
              <w:rPr>
                <w:sz w:val="20"/>
                <w:szCs w:val="20"/>
                <w:color w:val="auto"/>
              </w:rPr>
            </w:pPr>
            <w:r>
              <w:rPr>
                <w:rFonts w:ascii="Arial" w:cs="Arial" w:eastAsia="Arial" w:hAnsi="Arial"/>
                <w:sz w:val="17"/>
                <w:szCs w:val="17"/>
                <w:color w:val="auto"/>
              </w:rPr>
              <w:t>Education Co., Limited</w:t>
            </w:r>
          </w:p>
        </w:tc>
        <w:tc>
          <w:tcPr>
            <w:tcW w:w="1560" w:type="dxa"/>
            <w:vAlign w:val="bottom"/>
            <w:tcBorders>
              <w:right w:val="single" w:sz="8" w:color="auto"/>
            </w:tcBorders>
          </w:tcPr>
          <w:p>
            <w:pPr>
              <w:jc w:val="right"/>
              <w:ind w:right="1157"/>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994"/>
        </w:trPr>
        <w:tc>
          <w:tcPr>
            <w:tcW w:w="9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359" w:name="page360"/>
    <w:bookmarkEnd w:id="359"/>
    <w:p>
      <w:pPr>
        <w:spacing w:after="0"/>
        <w:rPr>
          <w:sz w:val="20"/>
          <w:szCs w:val="20"/>
          <w:color w:val="auto"/>
        </w:rPr>
      </w:pPr>
      <w:r>
        <w:rPr>
          <w:rFonts w:ascii="Arial" w:cs="Arial" w:eastAsia="Arial" w:hAnsi="Arial"/>
          <w:sz w:val="17"/>
          <w:szCs w:val="17"/>
          <w:b w:val="1"/>
          <w:bCs w:val="1"/>
          <w:color w:val="auto"/>
        </w:rPr>
        <w:t>Annotation:</w:t>
      </w:r>
    </w:p>
    <w:p>
      <w:pPr>
        <w:spacing w:after="0" w:line="203" w:lineRule="exact"/>
        <w:rPr>
          <w:sz w:val="20"/>
          <w:szCs w:val="20"/>
          <w:color w:val="auto"/>
        </w:rPr>
      </w:pPr>
    </w:p>
    <w:p>
      <w:pPr>
        <w:jc w:val="both"/>
        <w:ind w:right="440"/>
        <w:spacing w:after="0" w:line="257" w:lineRule="auto"/>
        <w:tabs>
          <w:tab w:leader="none" w:pos="166" w:val="left"/>
        </w:tabs>
        <w:numPr>
          <w:ilvl w:val="0"/>
          <w:numId w:val="382"/>
        </w:numPr>
        <w:rPr>
          <w:rFonts w:ascii="Arial" w:cs="Arial" w:eastAsia="Arial" w:hAnsi="Arial"/>
          <w:sz w:val="17"/>
          <w:szCs w:val="17"/>
          <w:b w:val="1"/>
          <w:bCs w:val="1"/>
          <w:color w:val="auto"/>
        </w:rPr>
      </w:pPr>
      <w:r>
        <w:rPr>
          <w:rFonts w:ascii="Arial" w:cs="Arial" w:eastAsia="Arial" w:hAnsi="Arial"/>
          <w:sz w:val="17"/>
          <w:szCs w:val="17"/>
          <w:b w:val="1"/>
          <w:bCs w:val="1"/>
          <w:color w:val="auto"/>
        </w:rPr>
        <w:t>This Shareholders’ Register is prepared as per the Articles of Association of Wuhan Fangtang Education Technology Co., Ltd. and the Equity Interest Pledge Agreement (the “Pledge Agreement”) was made as of the 28</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of December, 2020 and entered into by and among Wuhan Fangtang Education Technology Co., Ltd. and its shareholders and Tianjin Studyvip Education Co., Limited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w:t>
      </w:r>
    </w:p>
    <w:p>
      <w:pPr>
        <w:spacing w:after="0" w:line="20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This Shareholders’ Register is made in ONE (1) original and ONE (1) true and same photocopy of such original. Such ONE (1) original is placed at Tianjin Shangde Online</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Education Technology Co., Ltd.; and such ONE (1) photocopy being sealed by Tianjin Shangde Online Education Technology Co., Ltd. is handed over to Tianjin Studyvip Education Co., Limited for custody.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Fangtang Education Technology Co., Ltd. (Seal)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(Signature):/s/ SHENG Heqiang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10160</wp:posOffset>
            </wp:positionV>
            <wp:extent cx="214376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8">
                      <a:extLst>
                        <a:ext uri="{28A0092B-C50C-407E-A947-70E740481C1C}"/>
                      </a:extLst>
                    </a:blip>
                    <a:srcRect/>
                    <a:stretch>
                      <a:fillRect/>
                    </a:stretch>
                  </pic:blipFill>
                  <pic:spPr bwMode="auto">
                    <a:xfrm>
                      <a:off x="0" y="0"/>
                      <a:ext cx="2143760" cy="762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7"/>
          <w:szCs w:val="17"/>
          <w:b w:val="1"/>
          <w:bCs w:val="1"/>
          <w:color w:val="auto"/>
        </w:rPr>
        <w:t>Exhibit 4.44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This Option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28th day of December, 2020 in Beijing, the People’s Republic of China (“</w:t>
      </w:r>
      <w:r>
        <w:rPr>
          <w:rFonts w:ascii="Arial" w:cs="Arial" w:eastAsia="Arial" w:hAnsi="Arial"/>
          <w:sz w:val="15"/>
          <w:szCs w:val="15"/>
          <w:b w:val="1"/>
          <w:bCs w:val="1"/>
          <w:color w:val="auto"/>
        </w:rPr>
        <w:t>PRC</w:t>
      </w:r>
      <w:r>
        <w:rPr>
          <w:rFonts w:ascii="Arial" w:cs="Arial" w:eastAsia="Arial" w:hAnsi="Arial"/>
          <w:sz w:val="15"/>
          <w:szCs w:val="15"/>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Tianjin Studyvip Education Co., Limited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Dongfangmingdi 1808, West Binhe Road, China (Tianjin) Pilot Free-Trade Zone, Tianjin, China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Wuhan Fangtang Education Technology Co., Ltd.</w:t>
      </w:r>
    </w:p>
    <w:p>
      <w:pPr>
        <w:spacing w:after="0" w:line="18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Registered Address: Room 04, 3rd Floor, Building 3, Building 1, 2, 3, Contemporary China Venture Center, No. 20, Guannanyuan 1st Road, East Lake New Technology Development Zone, Wuhan (Wuhan Area, Free Trade Zone)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SHENG Heqiang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182" w:lineRule="exact"/>
        <w:rPr>
          <w:sz w:val="20"/>
          <w:szCs w:val="20"/>
          <w:color w:val="auto"/>
        </w:rPr>
      </w:pPr>
    </w:p>
    <w:p>
      <w:pPr>
        <w:ind w:left="420" w:hanging="420"/>
        <w:spacing w:after="0"/>
        <w:tabs>
          <w:tab w:leader="none" w:pos="4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Party A is a wholly foreign-owned enterprise incorporated and existing under the laws of the PRC.</w:t>
      </w:r>
    </w:p>
    <w:p>
      <w:pPr>
        <w:spacing w:after="0" w:line="165" w:lineRule="exact"/>
        <w:rPr>
          <w:rFonts w:ascii="Arial" w:cs="Arial" w:eastAsia="Arial" w:hAnsi="Arial"/>
          <w:sz w:val="17"/>
          <w:szCs w:val="17"/>
          <w:color w:val="auto"/>
        </w:rPr>
      </w:pPr>
    </w:p>
    <w:p>
      <w:pPr>
        <w:ind w:left="420" w:hanging="420"/>
        <w:spacing w:after="0"/>
        <w:tabs>
          <w:tab w:leader="none" w:pos="4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Party C is a limited liability company incorporated and existing under the laws of the PRC.</w:t>
      </w:r>
    </w:p>
    <w:p>
      <w:pPr>
        <w:spacing w:after="0" w:line="161" w:lineRule="exact"/>
        <w:rPr>
          <w:rFonts w:ascii="Arial" w:cs="Arial" w:eastAsia="Arial" w:hAnsi="Arial"/>
          <w:sz w:val="17"/>
          <w:szCs w:val="17"/>
          <w:color w:val="auto"/>
        </w:rPr>
      </w:pPr>
    </w:p>
    <w:p>
      <w:pPr>
        <w:ind w:left="420" w:hanging="420"/>
        <w:spacing w:after="0"/>
        <w:tabs>
          <w:tab w:leader="none" w:pos="4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Party B (“</w:t>
      </w:r>
      <w:r>
        <w:rPr>
          <w:rFonts w:ascii="Arial" w:cs="Arial" w:eastAsia="Arial" w:hAnsi="Arial"/>
          <w:sz w:val="17"/>
          <w:szCs w:val="17"/>
          <w:b w:val="1"/>
          <w:bCs w:val="1"/>
          <w:color w:val="auto"/>
        </w:rPr>
        <w:t>Grantors</w:t>
      </w:r>
      <w:r>
        <w:rPr>
          <w:rFonts w:ascii="Arial" w:cs="Arial" w:eastAsia="Arial" w:hAnsi="Arial"/>
          <w:sz w:val="17"/>
          <w:szCs w:val="17"/>
          <w:color w:val="auto"/>
        </w:rPr>
        <w:t>”) directly hold their interests in Party C, and the shareholdings are shown in Annex II hereto.</w:t>
      </w:r>
    </w:p>
    <w:p>
      <w:pPr>
        <w:spacing w:after="0" w:line="169" w:lineRule="exact"/>
        <w:rPr>
          <w:rFonts w:ascii="Arial" w:cs="Arial" w:eastAsia="Arial" w:hAnsi="Arial"/>
          <w:sz w:val="17"/>
          <w:szCs w:val="17"/>
          <w:color w:val="auto"/>
        </w:rPr>
      </w:pPr>
    </w:p>
    <w:p>
      <w:pPr>
        <w:ind w:left="420" w:hanging="420"/>
        <w:spacing w:after="0"/>
        <w:tabs>
          <w:tab w:leader="none" w:pos="4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Parties hereto signed the Equity Pledge Agreement on the 28th day of December, 2020.</w:t>
      </w:r>
    </w:p>
    <w:p>
      <w:pPr>
        <w:spacing w:after="0" w:line="165" w:lineRule="exact"/>
        <w:rPr>
          <w:rFonts w:ascii="Arial" w:cs="Arial" w:eastAsia="Arial" w:hAnsi="Arial"/>
          <w:sz w:val="17"/>
          <w:szCs w:val="17"/>
          <w:color w:val="auto"/>
        </w:rPr>
      </w:pPr>
    </w:p>
    <w:p>
      <w:pPr>
        <w:ind w:left="420" w:right="180" w:hanging="420"/>
        <w:spacing w:after="0" w:line="264" w:lineRule="auto"/>
        <w:tabs>
          <w:tab w:leader="none" w:pos="4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Party B intends to grant Party A or its designated qualified subject an exclusive option to purchase all or part of the shares/assets of Party C held by any or all of Grantors at any time subject to compliance with the requirements of Chinese laws.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Therefore, this Agreement is entered into by and among the Parties as follows:</w:t>
      </w:r>
    </w:p>
    <w:p>
      <w:pPr>
        <w:spacing w:after="0" w:line="162" w:lineRule="exact"/>
        <w:rPr>
          <w:sz w:val="20"/>
          <w:szCs w:val="20"/>
          <w:color w:val="auto"/>
        </w:rPr>
      </w:pPr>
    </w:p>
    <w:p>
      <w:pPr>
        <w:ind w:left="860" w:hanging="860"/>
        <w:spacing w:after="0"/>
        <w:tabs>
          <w:tab w:leader="none" w:pos="860" w:val="left"/>
        </w:tabs>
        <w:numPr>
          <w:ilvl w:val="0"/>
          <w:numId w:val="384"/>
        </w:numPr>
        <w:rPr>
          <w:rFonts w:ascii="Arial" w:cs="Arial" w:eastAsia="Arial" w:hAnsi="Arial"/>
          <w:sz w:val="17"/>
          <w:szCs w:val="17"/>
          <w:b w:val="1"/>
          <w:bCs w:val="1"/>
          <w:color w:val="auto"/>
        </w:rPr>
      </w:pPr>
      <w:r>
        <w:rPr>
          <w:rFonts w:ascii="Arial" w:cs="Arial" w:eastAsia="Arial" w:hAnsi="Arial"/>
          <w:sz w:val="17"/>
          <w:szCs w:val="17"/>
          <w:b w:val="1"/>
          <w:bCs w:val="1"/>
          <w:color w:val="auto"/>
        </w:rPr>
        <w:t>Granting of the Option</w:t>
      </w:r>
    </w:p>
    <w:p>
      <w:pPr>
        <w:spacing w:after="0" w:line="16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5"/>
          <w:szCs w:val="15"/>
          <w:color w:val="auto"/>
        </w:rPr>
        <w:t>Granting</w:t>
      </w:r>
    </w:p>
    <w:p>
      <w:pPr>
        <w:spacing w:after="0" w:line="191" w:lineRule="exact"/>
        <w:rPr>
          <w:sz w:val="20"/>
          <w:szCs w:val="20"/>
          <w:color w:val="auto"/>
        </w:rPr>
      </w:pPr>
    </w:p>
    <w:p>
      <w:pPr>
        <w:jc w:val="both"/>
        <w:ind w:left="1720"/>
        <w:spacing w:after="0" w:line="251" w:lineRule="auto"/>
        <w:rPr>
          <w:sz w:val="20"/>
          <w:szCs w:val="20"/>
          <w:color w:val="auto"/>
        </w:rPr>
      </w:pPr>
      <w:r>
        <w:rPr>
          <w:rFonts w:ascii="Arial" w:cs="Arial" w:eastAsia="Arial" w:hAnsi="Arial"/>
          <w:sz w:val="17"/>
          <w:szCs w:val="17"/>
          <w:color w:val="auto"/>
        </w:rPr>
        <w:t>Grantors agree that, on the date of signing this Agreement, they shall irrevocably grant Party A an option to purchase in installments or lump sum all their shares in Party C by Party A or its designated third party in such way of exercise as stipulated in Section 2.2 hereof. Such option shall be granted to Party A after this Agreement is signed by the Parties hereto and shall be irrevocable within the term of this Agreement once granted.</w:t>
      </w:r>
    </w:p>
    <w:p>
      <w:pPr>
        <w:spacing w:after="0" w:line="14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3"/>
          <w:szCs w:val="13"/>
          <w:color w:val="auto"/>
        </w:rPr>
        <w:t>Term</w:t>
      </w:r>
    </w:p>
    <w:p>
      <w:pPr>
        <w:spacing w:after="0" w:line="166" w:lineRule="exact"/>
        <w:rPr>
          <w:sz w:val="20"/>
          <w:szCs w:val="20"/>
          <w:color w:val="auto"/>
        </w:rPr>
      </w:pPr>
    </w:p>
    <w:p>
      <w:pPr>
        <w:jc w:val="both"/>
        <w:ind w:left="1720"/>
        <w:spacing w:after="0" w:line="264" w:lineRule="auto"/>
        <w:rPr>
          <w:sz w:val="20"/>
          <w:szCs w:val="20"/>
          <w:color w:val="auto"/>
        </w:rPr>
      </w:pPr>
      <w:r>
        <w:rPr>
          <w:rFonts w:ascii="Arial" w:cs="Arial" w:eastAsia="Arial" w:hAnsi="Arial"/>
          <w:sz w:val="17"/>
          <w:szCs w:val="17"/>
          <w:color w:val="auto"/>
        </w:rPr>
        <w:t>This Agreement shall take effect after being signed and/or sealed by the parties hereto, and shall not be terminated until Party A acquires all shares of Party C held by Grantors subject to the applicable laws of the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291465</wp:posOffset>
            </wp:positionV>
            <wp:extent cx="7184390" cy="412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61" w:name="page362"/>
    <w:bookmarkEnd w:id="361"/>
    <w:p>
      <w:pPr>
        <w:ind w:left="860" w:hanging="860"/>
        <w:spacing w:after="0"/>
        <w:tabs>
          <w:tab w:leader="none" w:pos="860" w:val="left"/>
        </w:tabs>
        <w:numPr>
          <w:ilvl w:val="0"/>
          <w:numId w:val="385"/>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Option and Delivery</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Time of Exercise</w:t>
      </w:r>
    </w:p>
    <w:p>
      <w:pPr>
        <w:spacing w:after="0" w:line="166" w:lineRule="exact"/>
        <w:rPr>
          <w:sz w:val="20"/>
          <w:szCs w:val="20"/>
          <w:color w:val="auto"/>
        </w:rPr>
      </w:pPr>
    </w:p>
    <w:p>
      <w:pPr>
        <w:ind w:left="2580" w:right="740" w:hanging="858"/>
        <w:spacing w:after="0" w:line="264" w:lineRule="auto"/>
        <w:tabs>
          <w:tab w:leader="none" w:pos="25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Grantors unanimously agree that Party A may exercise the option in whole or in part at any time within the term of this Agreement subject to the applicable laws of the PRC;</w:t>
      </w:r>
    </w:p>
    <w:p>
      <w:pPr>
        <w:spacing w:after="0" w:line="131" w:lineRule="exact"/>
        <w:rPr>
          <w:sz w:val="20"/>
          <w:szCs w:val="20"/>
          <w:color w:val="auto"/>
        </w:rPr>
      </w:pPr>
    </w:p>
    <w:p>
      <w:pPr>
        <w:ind w:left="2580" w:right="200" w:hanging="858"/>
        <w:spacing w:after="0" w:line="264" w:lineRule="auto"/>
        <w:tabs>
          <w:tab w:leader="none" w:pos="256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Grantors unanimously agree that there shall not be any restrictions on number of Party A’s exercise unless Party A has acquired all shares of Party C; and</w:t>
      </w:r>
    </w:p>
    <w:p>
      <w:pPr>
        <w:spacing w:after="0" w:line="131" w:lineRule="exact"/>
        <w:rPr>
          <w:sz w:val="20"/>
          <w:szCs w:val="20"/>
          <w:color w:val="auto"/>
        </w:rPr>
      </w:pPr>
    </w:p>
    <w:p>
      <w:pPr>
        <w:ind w:left="2580" w:right="100" w:hanging="858"/>
        <w:spacing w:after="0" w:line="264" w:lineRule="auto"/>
        <w:tabs>
          <w:tab w:leader="none" w:pos="256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Grantors unanimously agree that Party A may designate any third party to exercise the option, provided that Party A shall inform in writing Grantors of such designation in advance.</w:t>
      </w:r>
    </w:p>
    <w:p>
      <w:pPr>
        <w:spacing w:after="0" w:line="13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3"/>
          <w:szCs w:val="13"/>
          <w:color w:val="auto"/>
        </w:rPr>
        <w:t>Exercise Consideration</w:t>
      </w:r>
    </w:p>
    <w:p>
      <w:pPr>
        <w:spacing w:after="0" w:line="166" w:lineRule="exact"/>
        <w:rPr>
          <w:sz w:val="20"/>
          <w:szCs w:val="20"/>
          <w:color w:val="auto"/>
        </w:rPr>
      </w:pPr>
    </w:p>
    <w:p>
      <w:pPr>
        <w:jc w:val="both"/>
        <w:ind w:left="1720"/>
        <w:spacing w:after="0" w:line="254" w:lineRule="auto"/>
        <w:rPr>
          <w:sz w:val="20"/>
          <w:szCs w:val="20"/>
          <w:color w:val="auto"/>
        </w:rPr>
      </w:pPr>
      <w:r>
        <w:rPr>
          <w:rFonts w:ascii="Arial" w:cs="Arial" w:eastAsia="Arial" w:hAnsi="Arial"/>
          <w:sz w:val="17"/>
          <w:szCs w:val="17"/>
          <w:color w:val="auto"/>
        </w:rPr>
        <w:t>Unless otherwise agreed by the Parties hereto, Grantors unanimously agree that, when Party A or its designated third party exercises the option, all exercise considerations obtained by Grantors therefor shall be immediately given to Party A or its designated third party free of charge.</w:t>
      </w:r>
    </w:p>
    <w:p>
      <w:pPr>
        <w:spacing w:after="0" w:line="15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Transfer</w:t>
      </w:r>
    </w:p>
    <w:p>
      <w:pPr>
        <w:spacing w:after="0" w:line="166" w:lineRule="exact"/>
        <w:rPr>
          <w:sz w:val="20"/>
          <w:szCs w:val="20"/>
          <w:color w:val="auto"/>
        </w:rPr>
      </w:pPr>
    </w:p>
    <w:p>
      <w:pPr>
        <w:jc w:val="both"/>
        <w:ind w:left="1720"/>
        <w:spacing w:after="0" w:line="251" w:lineRule="auto"/>
        <w:rPr>
          <w:sz w:val="20"/>
          <w:szCs w:val="20"/>
          <w:color w:val="auto"/>
        </w:rPr>
      </w:pPr>
      <w:r>
        <w:rPr>
          <w:rFonts w:ascii="Arial" w:cs="Arial" w:eastAsia="Arial" w:hAnsi="Arial"/>
          <w:sz w:val="17"/>
          <w:szCs w:val="17"/>
          <w:color w:val="auto"/>
        </w:rPr>
        <w:t>Grantors unanimously agree that Party A may transfer its option under this Agreement to any third party in whole or in part without separate approval of Grantors, and such transferees shall be deemed to be a party to this Agreement and may exercise the option according to this Agreement in respect of the share of the option acquired by it and shall enjoy and bear all of Party A’s rights and obligations under this Agreement.</w:t>
      </w:r>
    </w:p>
    <w:p>
      <w:pPr>
        <w:spacing w:after="0" w:line="14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Notice on Exercise</w:t>
      </w:r>
    </w:p>
    <w:p>
      <w:pPr>
        <w:spacing w:after="0" w:line="166" w:lineRule="exact"/>
        <w:rPr>
          <w:sz w:val="20"/>
          <w:szCs w:val="20"/>
          <w:color w:val="auto"/>
        </w:rPr>
      </w:pPr>
    </w:p>
    <w:p>
      <w:pPr>
        <w:ind w:left="2580" w:right="220" w:hanging="858"/>
        <w:spacing w:after="0" w:line="264" w:lineRule="auto"/>
        <w:tabs>
          <w:tab w:leader="none" w:pos="256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If Party A exercises the option hereunder, it shall notify in writing Grantors of such exercise Ten (10) working days prior to the delivery date (as defined below), and such notice shall specify the following terms:</w:t>
      </w:r>
    </w:p>
    <w:p>
      <w:pPr>
        <w:spacing w:after="0" w:line="127" w:lineRule="exact"/>
        <w:rPr>
          <w:sz w:val="20"/>
          <w:szCs w:val="20"/>
          <w:color w:val="auto"/>
        </w:rPr>
      </w:pPr>
    </w:p>
    <w:p>
      <w:pPr>
        <w:ind w:left="3020" w:right="300" w:hanging="429"/>
        <w:spacing w:after="0" w:line="337" w:lineRule="auto"/>
        <w:tabs>
          <w:tab w:leader="none" w:pos="302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Effective delivery date (“</w:t>
      </w:r>
      <w:r>
        <w:rPr>
          <w:rFonts w:ascii="Arial" w:cs="Arial" w:eastAsia="Arial" w:hAnsi="Arial"/>
          <w:sz w:val="15"/>
          <w:szCs w:val="15"/>
          <w:b w:val="1"/>
          <w:bCs w:val="1"/>
          <w:color w:val="auto"/>
        </w:rPr>
        <w:t>Delivery Date</w:t>
      </w:r>
      <w:r>
        <w:rPr>
          <w:rFonts w:ascii="Arial" w:cs="Arial" w:eastAsia="Arial" w:hAnsi="Arial"/>
          <w:sz w:val="15"/>
          <w:szCs w:val="15"/>
          <w:color w:val="auto"/>
        </w:rPr>
        <w:t>”) of the shares after the option is exercised, namely the date on which a formal application for share change registration is filed to the relevant administrative department of industry and commerce;</w:t>
      </w:r>
    </w:p>
    <w:p>
      <w:pPr>
        <w:spacing w:after="0" w:line="80" w:lineRule="exact"/>
        <w:rPr>
          <w:rFonts w:ascii="Arial" w:cs="Arial" w:eastAsia="Arial" w:hAnsi="Arial"/>
          <w:sz w:val="15"/>
          <w:szCs w:val="15"/>
          <w:color w:val="auto"/>
        </w:rPr>
      </w:pPr>
    </w:p>
    <w:p>
      <w:pPr>
        <w:ind w:left="3020" w:hanging="429"/>
        <w:spacing w:after="0"/>
        <w:tabs>
          <w:tab w:leader="none" w:pos="30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Name of the registered holder of the shares after the option is exercised;</w:t>
      </w:r>
    </w:p>
    <w:p>
      <w:pPr>
        <w:spacing w:after="0" w:line="190" w:lineRule="exact"/>
        <w:rPr>
          <w:rFonts w:ascii="Arial" w:cs="Arial" w:eastAsia="Arial" w:hAnsi="Arial"/>
          <w:sz w:val="17"/>
          <w:szCs w:val="17"/>
          <w:color w:val="auto"/>
        </w:rPr>
      </w:pPr>
    </w:p>
    <w:p>
      <w:pPr>
        <w:ind w:left="3020" w:hanging="429"/>
        <w:spacing w:after="0"/>
        <w:tabs>
          <w:tab w:leader="none" w:pos="30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Number of the shares purchased from Grantors;</w:t>
      </w:r>
    </w:p>
    <w:p>
      <w:pPr>
        <w:spacing w:after="0" w:line="190" w:lineRule="exact"/>
        <w:rPr>
          <w:rFonts w:ascii="Arial" w:cs="Arial" w:eastAsia="Arial" w:hAnsi="Arial"/>
          <w:sz w:val="17"/>
          <w:szCs w:val="17"/>
          <w:color w:val="auto"/>
        </w:rPr>
      </w:pPr>
    </w:p>
    <w:p>
      <w:pPr>
        <w:ind w:left="3020" w:hanging="429"/>
        <w:spacing w:after="0"/>
        <w:tabs>
          <w:tab w:leader="none" w:pos="30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Exercise consideration and its payment method; and</w:t>
      </w:r>
    </w:p>
    <w:p>
      <w:pPr>
        <w:spacing w:after="0" w:line="190" w:lineRule="exact"/>
        <w:rPr>
          <w:rFonts w:ascii="Arial" w:cs="Arial" w:eastAsia="Arial" w:hAnsi="Arial"/>
          <w:sz w:val="17"/>
          <w:szCs w:val="17"/>
          <w:color w:val="auto"/>
        </w:rPr>
      </w:pPr>
    </w:p>
    <w:p>
      <w:pPr>
        <w:ind w:left="3020" w:hanging="429"/>
        <w:spacing w:after="0"/>
        <w:tabs>
          <w:tab w:leader="none" w:pos="30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Power of attorney (if exercised by any third party on its behalf).</w:t>
      </w:r>
    </w:p>
    <w:p>
      <w:pPr>
        <w:spacing w:after="0" w:line="191" w:lineRule="exact"/>
        <w:rPr>
          <w:sz w:val="20"/>
          <w:szCs w:val="20"/>
          <w:color w:val="auto"/>
        </w:rPr>
      </w:pPr>
    </w:p>
    <w:p>
      <w:pPr>
        <w:ind w:left="2580" w:right="80" w:hanging="858"/>
        <w:spacing w:after="0" w:line="272" w:lineRule="auto"/>
        <w:tabs>
          <w:tab w:leader="none" w:pos="256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6"/>
          <w:szCs w:val="16"/>
          <w:color w:val="auto"/>
        </w:rPr>
        <w:t>The Parties hereto agree that Party A may designate at any time any third party to exercise the option and acquire and register the shares in the name of such third party. Grantors agree that, as long as Party A or its designated third party requests to exercise the option, Grantors shall, within Ten (10) working days after receipt of a notice on exercise, sign a share transfer agreement and other relevant documents according to the notice on exercise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288290</wp:posOffset>
            </wp:positionV>
            <wp:extent cx="7184390" cy="412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362" w:name="page363"/>
    <w:bookmarkEnd w:id="362"/>
    <w:p>
      <w:pPr>
        <w:ind w:left="860"/>
        <w:spacing w:after="0"/>
        <w:tabs>
          <w:tab w:leader="none" w:pos="170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Transfer of Shares and Delivery</w:t>
      </w:r>
    </w:p>
    <w:p>
      <w:pPr>
        <w:spacing w:after="0" w:line="166" w:lineRule="exact"/>
        <w:rPr>
          <w:sz w:val="20"/>
          <w:szCs w:val="20"/>
          <w:color w:val="auto"/>
        </w:rPr>
      </w:pPr>
    </w:p>
    <w:p>
      <w:pPr>
        <w:ind w:left="2580" w:right="340" w:hanging="858"/>
        <w:spacing w:after="0" w:line="252" w:lineRule="auto"/>
        <w:tabs>
          <w:tab w:leader="none" w:pos="256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Whenever Party A exercises the option, within Ten (10) working days from the date of receipt of a notice on exercise sent by Party A according to the Section 2.4 hereof;</w:t>
      </w:r>
    </w:p>
    <w:p>
      <w:pPr>
        <w:spacing w:after="0" w:line="1" w:lineRule="exact"/>
        <w:rPr>
          <w:sz w:val="20"/>
          <w:szCs w:val="20"/>
          <w:color w:val="auto"/>
        </w:rPr>
      </w:pPr>
    </w:p>
    <w:p>
      <w:pPr>
        <w:jc w:val="both"/>
        <w:ind w:left="3460" w:right="400" w:hanging="869"/>
        <w:spacing w:after="0" w:line="399" w:lineRule="auto"/>
        <w:tabs>
          <w:tab w:leader="none" w:pos="3460" w:val="left"/>
        </w:tabs>
        <w:numPr>
          <w:ilvl w:val="1"/>
          <w:numId w:val="387"/>
        </w:numPr>
        <w:rPr>
          <w:rFonts w:ascii="Arial" w:cs="Arial" w:eastAsia="Arial" w:hAnsi="Arial"/>
          <w:sz w:val="13"/>
          <w:szCs w:val="13"/>
          <w:color w:val="auto"/>
        </w:rPr>
      </w:pPr>
      <w:r>
        <w:rPr>
          <w:rFonts w:ascii="Arial" w:cs="Arial" w:eastAsia="Arial" w:hAnsi="Arial"/>
          <w:sz w:val="13"/>
          <w:szCs w:val="13"/>
          <w:color w:val="auto"/>
        </w:rPr>
        <w:t>Grantors shall cause Party C to promptly hold a shareholders’ meeting at which a shareholder resolution on the approval of the transfer of shares by Grantors to Party A and/or its designated third party shall be adopted; and</w:t>
      </w:r>
    </w:p>
    <w:p>
      <w:pPr>
        <w:spacing w:after="0" w:line="50" w:lineRule="exact"/>
        <w:rPr>
          <w:rFonts w:ascii="Arial" w:cs="Arial" w:eastAsia="Arial" w:hAnsi="Arial"/>
          <w:sz w:val="13"/>
          <w:szCs w:val="13"/>
          <w:color w:val="auto"/>
        </w:rPr>
      </w:pPr>
    </w:p>
    <w:p>
      <w:pPr>
        <w:ind w:left="3460" w:hanging="869"/>
        <w:spacing w:after="0" w:line="285" w:lineRule="auto"/>
        <w:tabs>
          <w:tab w:leader="none" w:pos="3460" w:val="left"/>
        </w:tabs>
        <w:numPr>
          <w:ilvl w:val="1"/>
          <w:numId w:val="387"/>
        </w:numPr>
        <w:rPr>
          <w:rFonts w:ascii="Arial" w:cs="Arial" w:eastAsia="Arial" w:hAnsi="Arial"/>
          <w:sz w:val="15"/>
          <w:szCs w:val="15"/>
          <w:color w:val="auto"/>
        </w:rPr>
      </w:pPr>
      <w:r>
        <w:rPr>
          <w:rFonts w:ascii="Arial" w:cs="Arial" w:eastAsia="Arial" w:hAnsi="Arial"/>
          <w:sz w:val="15"/>
          <w:szCs w:val="15"/>
          <w:color w:val="auto"/>
        </w:rPr>
        <w:t>Grantors shall sign all necessary contracts, agreements or documents, obtain all necessary government approvals and consents and take all necessary actions to transfer to Party A and/or its designated third party the ownership and all ancillary rights of the shares designated by Party A to be purchased without any security interests (other than the pledge under the Equity Pledge Agreement) and shall cause Party A and/or its designated third party to become the registered owner of the purchased shares and deliver to Party A and/or its designated third party the latest business license, articles of association, approval certificates (if applicable) and other relevant documents that are issued or registered by the relevant Chinese authorities, and such documents shall reflect any changes of Party C’s shares, directors and legal representative and other matters (if applicable).</w:t>
      </w:r>
    </w:p>
    <w:p>
      <w:pPr>
        <w:spacing w:after="0" w:line="113" w:lineRule="exact"/>
        <w:rPr>
          <w:rFonts w:ascii="Arial" w:cs="Arial" w:eastAsia="Arial" w:hAnsi="Arial"/>
          <w:sz w:val="15"/>
          <w:szCs w:val="15"/>
          <w:color w:val="auto"/>
        </w:rPr>
      </w:pPr>
    </w:p>
    <w:p>
      <w:pPr>
        <w:ind w:left="860" w:hanging="860"/>
        <w:spacing w:after="0"/>
        <w:tabs>
          <w:tab w:leader="none" w:pos="860" w:val="left"/>
        </w:tabs>
        <w:numPr>
          <w:ilvl w:val="0"/>
          <w:numId w:val="388"/>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and Undertakings</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Grantors jointly and severally make the following representations and warranties:</w:t>
      </w:r>
    </w:p>
    <w:p>
      <w:pPr>
        <w:spacing w:after="0" w:line="191" w:lineRule="exact"/>
        <w:rPr>
          <w:sz w:val="20"/>
          <w:szCs w:val="20"/>
          <w:color w:val="auto"/>
        </w:rPr>
      </w:pPr>
    </w:p>
    <w:p>
      <w:pPr>
        <w:ind w:left="2580" w:right="60" w:hanging="858"/>
        <w:spacing w:after="0" w:line="291" w:lineRule="auto"/>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On the date of signing this Agreement and each Delivery Date, Grantors have the powers, rights, authority and ability to sign and deliver this Agreement and any share transfer agreement (hereinafter referred to as “</w:t>
      </w:r>
      <w:r>
        <w:rPr>
          <w:rFonts w:ascii="Arial" w:cs="Arial" w:eastAsia="Arial" w:hAnsi="Arial"/>
          <w:sz w:val="15"/>
          <w:szCs w:val="15"/>
          <w:b w:val="1"/>
          <w:bCs w:val="1"/>
          <w:color w:val="auto"/>
        </w:rPr>
        <w:t>Transfer Agreement</w:t>
      </w:r>
      <w:r>
        <w:rPr>
          <w:rFonts w:ascii="Arial" w:cs="Arial" w:eastAsia="Arial" w:hAnsi="Arial"/>
          <w:sz w:val="15"/>
          <w:szCs w:val="15"/>
          <w:color w:val="auto"/>
        </w:rPr>
        <w:t>”) signed by them as a party thereto for each share transfer according to this Agreement and to perform their obligations under this Agreement and any Transfer Agreement. This Agreement and any Transfer Agreement to which they are a party shall constitute their legal, effective and binding obligations that are enforceable on them according to the provisions thereof once signed.</w:t>
      </w:r>
    </w:p>
    <w:p>
      <w:pPr>
        <w:spacing w:after="0" w:line="113" w:lineRule="exact"/>
        <w:rPr>
          <w:sz w:val="20"/>
          <w:szCs w:val="20"/>
          <w:color w:val="auto"/>
        </w:rPr>
      </w:pPr>
    </w:p>
    <w:p>
      <w:pPr>
        <w:ind w:left="2580" w:hanging="858"/>
        <w:spacing w:after="0" w:line="266"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No signing and delivery of this Agreement or any Transfer Agreement and no performance by Grantors of their obligations under this Agreement or any Transfer Agreement shall (i) result in any violation of any relevant laws and regulations of the PRC; (ii) conflict with the articles of association or other organizational documents; (iii) result in any breach of any binding agreements or instruments to which they are a party or constitute any breach of contract under any binding agreements or instruments to which they are a party; (iv) result in any breach of any licenses or approvals issued by the relevant competent government departments to them; or (v) cause any licenses or approvals issued by the relevant competent government departments to them to be suspended or revoked or attached with any conditions;</w:t>
      </w:r>
    </w:p>
    <w:p>
      <w:pPr>
        <w:spacing w:after="0" w:line="130" w:lineRule="exact"/>
        <w:rPr>
          <w:sz w:val="20"/>
          <w:szCs w:val="20"/>
          <w:color w:val="auto"/>
        </w:rPr>
      </w:pPr>
    </w:p>
    <w:p>
      <w:pPr>
        <w:ind w:left="2580" w:right="180" w:hanging="858"/>
        <w:spacing w:after="0" w:line="264" w:lineRule="auto"/>
        <w:tabs>
          <w:tab w:leader="none" w:pos="25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There is no suit, arbitration or other judicial or administrative proceedings that are pending or may have a substantial impact on the performance of this Agreement or any Transfer Agreement.</w:t>
      </w:r>
    </w:p>
    <w:p>
      <w:pPr>
        <w:spacing w:after="0" w:line="131" w:lineRule="exact"/>
        <w:rPr>
          <w:sz w:val="20"/>
          <w:szCs w:val="20"/>
          <w:color w:val="auto"/>
        </w:rPr>
      </w:pPr>
    </w:p>
    <w:p>
      <w:pPr>
        <w:jc w:val="center"/>
        <w:ind w:left="1640" w:right="400"/>
        <w:spacing w:after="0" w:line="296" w:lineRule="auto"/>
        <w:rPr>
          <w:sz w:val="20"/>
          <w:szCs w:val="20"/>
          <w:color w:val="auto"/>
        </w:rPr>
      </w:pPr>
      <w:r>
        <w:rPr>
          <w:rFonts w:ascii="Arial" w:cs="Arial" w:eastAsia="Arial" w:hAnsi="Arial"/>
          <w:sz w:val="16"/>
          <w:szCs w:val="16"/>
          <w:color w:val="auto"/>
        </w:rPr>
        <w:t>3.1.4       Grantors have good and marketable ownership of all shares of Party C. There are no pledges, liabilities and other third party encumbrances on Party C’s shares held by Grantors other than the pledge under the Equity Pledge Agreement.</w:t>
      </w:r>
    </w:p>
    <w:p>
      <w:pPr>
        <w:spacing w:after="0" w:line="107" w:lineRule="exact"/>
        <w:rPr>
          <w:sz w:val="20"/>
          <w:szCs w:val="20"/>
          <w:color w:val="auto"/>
        </w:rPr>
      </w:pPr>
    </w:p>
    <w:p>
      <w:pPr>
        <w:ind w:left="2580" w:right="700" w:hanging="858"/>
        <w:spacing w:after="0" w:line="264" w:lineRule="auto"/>
        <w:tabs>
          <w:tab w:leader="none" w:pos="256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color w:val="auto"/>
        </w:rPr>
        <w:t>Grantors have disclosed to Party A all circumstances that may have a material adverse effect on the performance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291465</wp:posOffset>
            </wp:positionV>
            <wp:extent cx="7184390" cy="412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20"/>
          </w:cols>
          <w:pgMar w:left="320" w:top="488" w:right="359" w:bottom="1440" w:gutter="0" w:footer="0" w:header="0"/>
        </w:sectPr>
      </w:pPr>
    </w:p>
    <w:bookmarkStart w:id="363" w:name="page364"/>
    <w:bookmarkEnd w:id="363"/>
    <w:p>
      <w:pPr>
        <w:ind w:left="1720" w:right="40" w:hanging="858"/>
        <w:spacing w:after="0" w:line="264" w:lineRule="auto"/>
        <w:tabs>
          <w:tab w:leader="none" w:pos="170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The option granted by Grantors to Party A is exclusive, and Grantors have not otherwise granted any third party any other options or similar rights before or when granting the option to Party A.</w:t>
      </w:r>
    </w:p>
    <w:p>
      <w:pPr>
        <w:spacing w:after="0" w:line="131"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Grantors jointly and severally make the following undertakings:</w:t>
      </w:r>
    </w:p>
    <w:p>
      <w:pPr>
        <w:spacing w:after="0" w:line="191" w:lineRule="exact"/>
        <w:rPr>
          <w:sz w:val="20"/>
          <w:szCs w:val="20"/>
          <w:color w:val="auto"/>
        </w:rPr>
      </w:pPr>
    </w:p>
    <w:p>
      <w:pPr>
        <w:ind w:left="1720" w:right="40" w:hanging="858"/>
        <w:spacing w:after="0" w:line="304" w:lineRule="auto"/>
        <w:tabs>
          <w:tab w:leader="none" w:pos="17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Within the term of this Agreement, Grantors will not create any pledges, liabilities and any other third party encumbrances on Party C’s shares held by them other than those under the Equity Pledge Agreement separately signed by Grantors and Party A nor transfer, donate or otherwise dispose of any shares held by them to any third party other than the Parties to this Agreement.</w:t>
      </w:r>
    </w:p>
    <w:p>
      <w:pPr>
        <w:spacing w:after="0" w:line="104"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Within the term of this Agreement, Grantors will not otherwise grant any other options or similar rights to any third party.</w:t>
      </w:r>
    </w:p>
    <w:p>
      <w:pPr>
        <w:spacing w:after="0" w:line="191" w:lineRule="exact"/>
        <w:rPr>
          <w:sz w:val="20"/>
          <w:szCs w:val="20"/>
          <w:color w:val="auto"/>
        </w:rPr>
      </w:pPr>
    </w:p>
    <w:p>
      <w:pPr>
        <w:ind w:left="1720" w:hanging="858"/>
        <w:spacing w:after="0" w:line="251" w:lineRule="auto"/>
        <w:tabs>
          <w:tab w:leader="none" w:pos="170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Within the term of this Agreement, Grantors will cause and ensure that the business carried out by Party C conforms to the applicable laws, regulations, rules and other management regulations and documents issued by the competent government departments and that there are no breach of the above provisions that results in a major adverse impact on the business or assets of the company.</w:t>
      </w:r>
    </w:p>
    <w:p>
      <w:pPr>
        <w:spacing w:after="0" w:line="141" w:lineRule="exact"/>
        <w:rPr>
          <w:sz w:val="20"/>
          <w:szCs w:val="20"/>
          <w:color w:val="auto"/>
        </w:rPr>
      </w:pPr>
    </w:p>
    <w:p>
      <w:pPr>
        <w:ind w:left="1720" w:right="140" w:hanging="858"/>
        <w:spacing w:after="0" w:line="251" w:lineRule="auto"/>
        <w:tabs>
          <w:tab w:leader="none" w:pos="170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Grantors will maintain the valid existence of Party C in accordance with good financial and commercial standards and practices, operate their business and deal with affairs in a prudent and efficient manner, use their best efforts to obtain and maintain any permits, licenses and approvals necessary for Party C’s continuous operation and ensure that any such permits, licenses and approvals will not be canceled, withdrawn or declared null and void.</w:t>
      </w:r>
    </w:p>
    <w:p>
      <w:pPr>
        <w:spacing w:after="0" w:line="14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5"/>
          <w:szCs w:val="15"/>
          <w:color w:val="auto"/>
        </w:rPr>
        <w:t>Grantors will provide Party A with all Party C’s operation and financial information at Party A’s request.</w:t>
      </w:r>
    </w:p>
    <w:p>
      <w:pPr>
        <w:spacing w:after="0" w:line="19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5"/>
          <w:szCs w:val="15"/>
          <w:color w:val="auto"/>
        </w:rPr>
        <w:t>Except as expressly agreed by Party A (or its designated third party) in writing, before Party A (or its designated third party)</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exercises its option and obtains all of Party C’s shares or assets, Grantors shall not jointly or individually:</w:t>
      </w:r>
    </w:p>
    <w:p>
      <w:pPr>
        <w:spacing w:after="0" w:line="153" w:lineRule="exact"/>
        <w:rPr>
          <w:sz w:val="20"/>
          <w:szCs w:val="20"/>
          <w:color w:val="auto"/>
        </w:rPr>
      </w:pPr>
    </w:p>
    <w:p>
      <w:pPr>
        <w:ind w:left="2160" w:right="100" w:hanging="429"/>
        <w:spacing w:after="0" w:line="295" w:lineRule="auto"/>
        <w:tabs>
          <w:tab w:leader="none" w:pos="216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Supplement or modify Party C’s constitutional documents in any form, and such supplements, alterations or modifications will have substantial adverse effects on any assets, responsibilities, operation, shares and other legal rights of Party C (excluding the same proportion of capital increase for the purpose of meeting the legal requirements) or may affect the effective performance of this Agreement and other agreements signed by Party A, Grantors and Party C.</w:t>
      </w:r>
    </w:p>
    <w:p>
      <w:pPr>
        <w:spacing w:after="0" w:line="111" w:lineRule="exact"/>
        <w:rPr>
          <w:rFonts w:ascii="Arial" w:cs="Arial" w:eastAsia="Arial" w:hAnsi="Arial"/>
          <w:sz w:val="15"/>
          <w:szCs w:val="15"/>
          <w:color w:val="auto"/>
        </w:rPr>
      </w:pPr>
    </w:p>
    <w:p>
      <w:pPr>
        <w:ind w:left="2160" w:hanging="429"/>
        <w:spacing w:after="0" w:line="254" w:lineRule="auto"/>
        <w:tabs>
          <w:tab w:leader="none" w:pos="21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Cause Party C to enter into or do any transactions or acts (excluding those that arise in the ordinary or daily business course or have been disclosed to and agreed by Party A expressly in writing in advance) that will have materially adverse effects on its assets, liabilities, operation, shares and other legitimate rights.</w:t>
      </w:r>
    </w:p>
    <w:p>
      <w:pPr>
        <w:spacing w:after="0" w:line="139" w:lineRule="exact"/>
        <w:rPr>
          <w:rFonts w:ascii="Arial" w:cs="Arial" w:eastAsia="Arial" w:hAnsi="Arial"/>
          <w:sz w:val="17"/>
          <w:szCs w:val="17"/>
          <w:color w:val="auto"/>
        </w:rPr>
      </w:pPr>
    </w:p>
    <w:p>
      <w:pPr>
        <w:ind w:left="2160" w:hanging="429"/>
        <w:spacing w:after="0"/>
        <w:tabs>
          <w:tab w:leader="none" w:pos="216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Cause any resolutions on the distribution of dividends or bonuses to be adopted at the shareholders’ meeting of Party C.</w:t>
      </w:r>
    </w:p>
    <w:p>
      <w:pPr>
        <w:spacing w:after="0" w:line="213" w:lineRule="exact"/>
        <w:rPr>
          <w:rFonts w:ascii="Arial" w:cs="Arial" w:eastAsia="Arial" w:hAnsi="Arial"/>
          <w:sz w:val="15"/>
          <w:szCs w:val="15"/>
          <w:color w:val="auto"/>
        </w:rPr>
      </w:pPr>
    </w:p>
    <w:p>
      <w:pPr>
        <w:ind w:left="2160" w:right="260" w:hanging="429"/>
        <w:spacing w:after="0" w:line="264" w:lineRule="auto"/>
        <w:tabs>
          <w:tab w:leader="none" w:pos="21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Sell, assign, mortgage or otherwise dispose of any legal or beneficial interests on Party C’s shares or allow to create any other security interests thereon at any time from the effective date of this Agreement.</w:t>
      </w:r>
    </w:p>
    <w:p>
      <w:pPr>
        <w:spacing w:after="0" w:line="130" w:lineRule="exact"/>
        <w:rPr>
          <w:rFonts w:ascii="Arial" w:cs="Arial" w:eastAsia="Arial" w:hAnsi="Arial"/>
          <w:sz w:val="17"/>
          <w:szCs w:val="17"/>
          <w:color w:val="auto"/>
        </w:rPr>
      </w:pPr>
    </w:p>
    <w:p>
      <w:pPr>
        <w:ind w:left="2160" w:right="40" w:hanging="429"/>
        <w:spacing w:after="0" w:line="254" w:lineRule="auto"/>
        <w:tabs>
          <w:tab w:leader="none" w:pos="21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Cause any sales, transfer, mortgage or otherwise disposal of any legal or beneficial interests on shares to be approved at the shareholders’ meeting of Party C, or allow to create any other security interests thereon, or adopt a shareholder resolution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297180</wp:posOffset>
            </wp:positionV>
            <wp:extent cx="7184390" cy="412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380"/>
          </w:cols>
          <w:pgMar w:left="1180" w:top="488" w:right="339" w:bottom="1440" w:gutter="0" w:footer="0" w:header="0"/>
        </w:sectPr>
      </w:pPr>
    </w:p>
    <w:bookmarkStart w:id="364" w:name="page365"/>
    <w:bookmarkEnd w:id="364"/>
    <w:p>
      <w:pPr>
        <w:ind w:left="2160"/>
        <w:spacing w:after="0"/>
        <w:rPr>
          <w:sz w:val="20"/>
          <w:szCs w:val="20"/>
          <w:color w:val="auto"/>
        </w:rPr>
      </w:pPr>
      <w:r>
        <w:rPr>
          <w:rFonts w:ascii="Arial" w:cs="Arial" w:eastAsia="Arial" w:hAnsi="Arial"/>
          <w:sz w:val="16"/>
          <w:szCs w:val="16"/>
          <w:color w:val="auto"/>
        </w:rPr>
        <w:t>increase or decrease of Party C’s registered capital or otherwise modify the structure of the registered capital.</w:t>
      </w:r>
    </w:p>
    <w:p>
      <w:pPr>
        <w:spacing w:after="0" w:line="202" w:lineRule="exact"/>
        <w:rPr>
          <w:sz w:val="20"/>
          <w:szCs w:val="20"/>
          <w:color w:val="auto"/>
        </w:rPr>
      </w:pPr>
    </w:p>
    <w:p>
      <w:pPr>
        <w:ind w:left="2160" w:right="40" w:hanging="429"/>
        <w:spacing w:after="0" w:line="420" w:lineRule="auto"/>
        <w:tabs>
          <w:tab w:leader="none" w:pos="2160" w:val="left"/>
        </w:tabs>
        <w:numPr>
          <w:ilvl w:val="0"/>
          <w:numId w:val="390"/>
        </w:numPr>
        <w:rPr>
          <w:rFonts w:ascii="Arial" w:cs="Arial" w:eastAsia="Arial" w:hAnsi="Arial"/>
          <w:sz w:val="13"/>
          <w:szCs w:val="13"/>
          <w:color w:val="auto"/>
        </w:rPr>
      </w:pPr>
      <w:r>
        <w:rPr>
          <w:rFonts w:ascii="Arial" w:cs="Arial" w:eastAsia="Arial" w:hAnsi="Arial"/>
          <w:sz w:val="13"/>
          <w:szCs w:val="13"/>
          <w:color w:val="auto"/>
        </w:rPr>
        <w:t>Cause any merger or association of Party C with any persons to be approved at the shareholders’ meeting of Party C, or acquire investments from any persons or make an investment to any persons, or carry out reorganization in any other form.</w:t>
      </w:r>
    </w:p>
    <w:p>
      <w:pPr>
        <w:spacing w:after="0" w:line="37" w:lineRule="exact"/>
        <w:rPr>
          <w:rFonts w:ascii="Arial" w:cs="Arial" w:eastAsia="Arial" w:hAnsi="Arial"/>
          <w:sz w:val="13"/>
          <w:szCs w:val="13"/>
          <w:color w:val="auto"/>
        </w:rPr>
      </w:pPr>
    </w:p>
    <w:p>
      <w:pPr>
        <w:ind w:left="2160" w:right="100" w:hanging="429"/>
        <w:spacing w:after="0" w:line="264" w:lineRule="auto"/>
        <w:tabs>
          <w:tab w:leader="none" w:pos="21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Cause any winding-up, liquidation or dissolution and other matters of Party C to be approved at the shareholders’ meeting of Party C.</w:t>
      </w:r>
    </w:p>
    <w:p>
      <w:pPr>
        <w:spacing w:after="0" w:line="131" w:lineRule="exact"/>
        <w:rPr>
          <w:sz w:val="20"/>
          <w:szCs w:val="20"/>
          <w:color w:val="auto"/>
        </w:rPr>
      </w:pPr>
    </w:p>
    <w:p>
      <w:pPr>
        <w:ind w:left="1720" w:right="80" w:hanging="858"/>
        <w:spacing w:after="0" w:line="264" w:lineRule="auto"/>
        <w:tabs>
          <w:tab w:leader="none" w:pos="1700" w:val="left"/>
        </w:tabs>
        <w:rPr>
          <w:sz w:val="20"/>
          <w:szCs w:val="20"/>
          <w:color w:val="auto"/>
        </w:rPr>
      </w:pPr>
      <w:r>
        <w:rPr>
          <w:rFonts w:ascii="Arial" w:cs="Arial" w:eastAsia="Arial" w:hAnsi="Arial"/>
          <w:sz w:val="17"/>
          <w:szCs w:val="17"/>
          <w:color w:val="auto"/>
        </w:rPr>
        <w:t>3.2.7</w:t>
      </w:r>
      <w:r>
        <w:rPr>
          <w:sz w:val="20"/>
          <w:szCs w:val="20"/>
          <w:color w:val="auto"/>
        </w:rPr>
        <w:tab/>
      </w:r>
      <w:r>
        <w:rPr>
          <w:rFonts w:ascii="Arial" w:cs="Arial" w:eastAsia="Arial" w:hAnsi="Arial"/>
          <w:sz w:val="17"/>
          <w:szCs w:val="17"/>
          <w:color w:val="auto"/>
        </w:rPr>
        <w:t>Before Party A (or its designated third party) exercises its option and obtains all of Party C’s shares or assets, Grantors undertake that:</w:t>
      </w:r>
    </w:p>
    <w:p>
      <w:pPr>
        <w:spacing w:after="0" w:line="131" w:lineRule="exact"/>
        <w:rPr>
          <w:sz w:val="20"/>
          <w:szCs w:val="20"/>
          <w:color w:val="auto"/>
        </w:rPr>
      </w:pPr>
    </w:p>
    <w:p>
      <w:pPr>
        <w:ind w:left="2160" w:right="40" w:hanging="429"/>
        <w:spacing w:after="0" w:line="332" w:lineRule="auto"/>
        <w:tabs>
          <w:tab w:leader="none" w:pos="2160" w:val="left"/>
        </w:tabs>
        <w:numPr>
          <w:ilvl w:val="0"/>
          <w:numId w:val="391"/>
        </w:numPr>
        <w:rPr>
          <w:rFonts w:ascii="Arial" w:cs="Arial" w:eastAsia="Arial" w:hAnsi="Arial"/>
          <w:sz w:val="15"/>
          <w:szCs w:val="15"/>
          <w:color w:val="auto"/>
        </w:rPr>
      </w:pPr>
      <w:r>
        <w:rPr>
          <w:rFonts w:ascii="Arial" w:cs="Arial" w:eastAsia="Arial" w:hAnsi="Arial"/>
          <w:sz w:val="15"/>
          <w:szCs w:val="15"/>
          <w:color w:val="auto"/>
        </w:rPr>
        <w:t>They will forthwith notify Party A in writing of any suits, arbitration or administrative proceedings that have arisen or may arise in relation to the shares owned by them or of any circumstances that may have any adverse effect on such shares.</w:t>
      </w:r>
    </w:p>
    <w:p>
      <w:pPr>
        <w:spacing w:after="0" w:line="83" w:lineRule="exact"/>
        <w:rPr>
          <w:rFonts w:ascii="Arial" w:cs="Arial" w:eastAsia="Arial" w:hAnsi="Arial"/>
          <w:sz w:val="15"/>
          <w:szCs w:val="15"/>
          <w:color w:val="auto"/>
        </w:rPr>
      </w:pPr>
    </w:p>
    <w:p>
      <w:pPr>
        <w:ind w:left="2160" w:right="40" w:hanging="429"/>
        <w:spacing w:after="0" w:line="288" w:lineRule="auto"/>
        <w:tabs>
          <w:tab w:leader="none" w:pos="2160" w:val="left"/>
        </w:tabs>
        <w:numPr>
          <w:ilvl w:val="0"/>
          <w:numId w:val="391"/>
        </w:numPr>
        <w:rPr>
          <w:rFonts w:ascii="Arial" w:cs="Arial" w:eastAsia="Arial" w:hAnsi="Arial"/>
          <w:sz w:val="15"/>
          <w:szCs w:val="15"/>
          <w:color w:val="auto"/>
        </w:rPr>
      </w:pPr>
      <w:r>
        <w:rPr>
          <w:rFonts w:ascii="Arial" w:cs="Arial" w:eastAsia="Arial" w:hAnsi="Arial"/>
          <w:sz w:val="15"/>
          <w:szCs w:val="15"/>
          <w:color w:val="auto"/>
        </w:rPr>
        <w:t>They will cause the shareholders’ meeting of Party C to examine and approve the transfer of the purchased shares as specified in this Agreement, cause Party C to amend its articles of association so as to reflect any changes of Party C’s shares after Party A and/or its designated third party exercises the option according to this Agreement and other changes as set forth herein and immediately apply to the authorities of the PRC for approval (if required by law) and change of registration, and cause the shareholders’ meeting of Party C to approve and appoint such persons as designated by Party A and/or its designated third party as Party C’s director and legal representative (if necessary).</w:t>
      </w:r>
    </w:p>
    <w:p>
      <w:pPr>
        <w:spacing w:after="0" w:line="115" w:lineRule="exact"/>
        <w:rPr>
          <w:rFonts w:ascii="Arial" w:cs="Arial" w:eastAsia="Arial" w:hAnsi="Arial"/>
          <w:sz w:val="15"/>
          <w:szCs w:val="15"/>
          <w:color w:val="auto"/>
        </w:rPr>
      </w:pPr>
    </w:p>
    <w:p>
      <w:pPr>
        <w:ind w:left="2160" w:right="480" w:hanging="429"/>
        <w:spacing w:after="0" w:line="251" w:lineRule="auto"/>
        <w:tabs>
          <w:tab w:leader="none" w:pos="216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Before Party A and/or its designated third party exercises the option, they will enter into all necessary or appropriate documents, take all necessary or appropriate actions and make all necessary or appropriate accusations or make all necessary and appropriate defenses for all claims in order to maintain their lawful and effective ownership over the appropriate shares.</w:t>
      </w:r>
    </w:p>
    <w:p>
      <w:pPr>
        <w:spacing w:after="0" w:line="141" w:lineRule="exact"/>
        <w:rPr>
          <w:rFonts w:ascii="Arial" w:cs="Arial" w:eastAsia="Arial" w:hAnsi="Arial"/>
          <w:sz w:val="17"/>
          <w:szCs w:val="17"/>
          <w:color w:val="auto"/>
        </w:rPr>
      </w:pPr>
    </w:p>
    <w:p>
      <w:pPr>
        <w:ind w:left="2160" w:right="300" w:hanging="429"/>
        <w:spacing w:after="0" w:line="278" w:lineRule="auto"/>
        <w:tabs>
          <w:tab w:leader="none" w:pos="216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Upon Party A’s request at any time, they will unconditionally transfer their shares to Party A and/or its designated third party at the time specified by Party A and waive their right of first refusal against any other shareholders of Party C in respect of the above transfer of shares by them according to Party A’s instructions.</w:t>
      </w:r>
    </w:p>
    <w:p>
      <w:pPr>
        <w:spacing w:after="0" w:line="120" w:lineRule="exact"/>
        <w:rPr>
          <w:rFonts w:ascii="Arial" w:cs="Arial" w:eastAsia="Arial" w:hAnsi="Arial"/>
          <w:sz w:val="16"/>
          <w:szCs w:val="16"/>
          <w:color w:val="auto"/>
        </w:rPr>
      </w:pPr>
    </w:p>
    <w:p>
      <w:pPr>
        <w:ind w:left="2160" w:right="100" w:hanging="429"/>
        <w:spacing w:after="0" w:line="254" w:lineRule="auto"/>
        <w:tabs>
          <w:tab w:leader="none" w:pos="216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They will strictly abide by this Agreement and other agreements jointly or severally entered into by and between Grantors and Party A, conscientiously perform their obligations under such agreements and will not do any acts/omissions that are likely to affect the validity and enforceability of such agreements.</w:t>
      </w:r>
    </w:p>
    <w:p>
      <w:pPr>
        <w:spacing w:after="0" w:line="13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Party C and Grantors hereby jointly and severally make the following representations, warranties and undertakings to Party A:</w:t>
      </w:r>
    </w:p>
    <w:p>
      <w:pPr>
        <w:spacing w:after="0" w:line="191" w:lineRule="exact"/>
        <w:rPr>
          <w:sz w:val="20"/>
          <w:szCs w:val="20"/>
          <w:color w:val="auto"/>
        </w:rPr>
      </w:pPr>
    </w:p>
    <w:p>
      <w:pPr>
        <w:ind w:left="1720" w:right="200" w:hanging="858"/>
        <w:spacing w:after="0" w:line="264" w:lineRule="auto"/>
        <w:tabs>
          <w:tab w:leader="none" w:pos="170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Except as agreed by Party A (or its designated third party) in writing, before Party A (or its designated third party) exercises its option and obtains all of Party C’s shares or interests, Party C shall not:</w:t>
      </w:r>
    </w:p>
    <w:p>
      <w:pPr>
        <w:spacing w:after="0" w:line="131" w:lineRule="exact"/>
        <w:rPr>
          <w:sz w:val="20"/>
          <w:szCs w:val="20"/>
          <w:color w:val="auto"/>
        </w:rPr>
      </w:pPr>
    </w:p>
    <w:p>
      <w:pPr>
        <w:jc w:val="both"/>
        <w:ind w:left="2160" w:hanging="429"/>
        <w:spacing w:after="0" w:line="254" w:lineRule="auto"/>
        <w:tabs>
          <w:tab w:leader="none" w:pos="21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Sell, assign, mortgage or otherwise dispose of any assets, business or incomes or allow to create any other security interests thereon (excluding those that arise in the ordinary or daily business course or have been disclosed to and agreed by Party A expressly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297180</wp:posOffset>
            </wp:positionV>
            <wp:extent cx="7184390" cy="412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360"/>
          </w:cols>
          <w:pgMar w:left="1180" w:top="488" w:right="359" w:bottom="1440" w:gutter="0" w:footer="0" w:header="0"/>
        </w:sectPr>
      </w:pPr>
    </w:p>
    <w:bookmarkStart w:id="365" w:name="page366"/>
    <w:bookmarkEnd w:id="365"/>
    <w:p>
      <w:pPr>
        <w:ind w:left="3020" w:hanging="429"/>
        <w:spacing w:after="0" w:line="254" w:lineRule="auto"/>
        <w:tabs>
          <w:tab w:leader="none" w:pos="30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Enter into any transactions (excluding those that arise in the ordinary or daily business course or have been disclosed to and agreed by Party A expressly in writing in advance) that will or may have materially adverse effects on its assets, liabilities, operation, shares and other legitimate rights;</w:t>
      </w:r>
    </w:p>
    <w:p>
      <w:pPr>
        <w:spacing w:after="0" w:line="139" w:lineRule="exact"/>
        <w:rPr>
          <w:rFonts w:ascii="Arial" w:cs="Arial" w:eastAsia="Arial" w:hAnsi="Arial"/>
          <w:sz w:val="17"/>
          <w:szCs w:val="17"/>
          <w:color w:val="auto"/>
        </w:rPr>
      </w:pPr>
    </w:p>
    <w:p>
      <w:pPr>
        <w:ind w:left="3020" w:hanging="429"/>
        <w:spacing w:after="0"/>
        <w:tabs>
          <w:tab w:leader="none" w:pos="30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Distribute any dividends or bonuses to each shareholder in any form;</w:t>
      </w:r>
    </w:p>
    <w:p>
      <w:pPr>
        <w:spacing w:after="0" w:line="190" w:lineRule="exact"/>
        <w:rPr>
          <w:rFonts w:ascii="Arial" w:cs="Arial" w:eastAsia="Arial" w:hAnsi="Arial"/>
          <w:sz w:val="17"/>
          <w:szCs w:val="17"/>
          <w:color w:val="auto"/>
        </w:rPr>
      </w:pPr>
    </w:p>
    <w:p>
      <w:pPr>
        <w:ind w:left="3020" w:right="60" w:hanging="429"/>
        <w:spacing w:after="0" w:line="254" w:lineRule="auto"/>
        <w:tabs>
          <w:tab w:leader="none" w:pos="30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Incur, inherit, guarantee or allow the existence of any debts other than (i) any debts that arise in the ordinary or daily business course rather than by borrowing, and (ii) any debts that have been disclosed to and agreed by Party A expressly in writing in advance;</w:t>
      </w:r>
    </w:p>
    <w:p>
      <w:pPr>
        <w:spacing w:after="0" w:line="139" w:lineRule="exact"/>
        <w:rPr>
          <w:rFonts w:ascii="Arial" w:cs="Arial" w:eastAsia="Arial" w:hAnsi="Arial"/>
          <w:sz w:val="17"/>
          <w:szCs w:val="17"/>
          <w:color w:val="auto"/>
        </w:rPr>
      </w:pPr>
    </w:p>
    <w:p>
      <w:pPr>
        <w:ind w:left="3020" w:right="80" w:hanging="429"/>
        <w:spacing w:after="0" w:line="332" w:lineRule="auto"/>
        <w:tabs>
          <w:tab w:leader="none" w:pos="3020" w:val="left"/>
        </w:tabs>
        <w:numPr>
          <w:ilvl w:val="0"/>
          <w:numId w:val="393"/>
        </w:numPr>
        <w:rPr>
          <w:rFonts w:ascii="Arial" w:cs="Arial" w:eastAsia="Arial" w:hAnsi="Arial"/>
          <w:sz w:val="15"/>
          <w:szCs w:val="15"/>
          <w:color w:val="auto"/>
        </w:rPr>
      </w:pPr>
      <w:r>
        <w:rPr>
          <w:rFonts w:ascii="Arial" w:cs="Arial" w:eastAsia="Arial" w:hAnsi="Arial"/>
          <w:sz w:val="15"/>
          <w:szCs w:val="15"/>
          <w:color w:val="auto"/>
        </w:rPr>
        <w:t>Sign any significant contracts other than those signed in the ordinary business course (for the purpose of this Article, if the amount under a contract is more than RMB50,000, such contract shall be deemed to be a significant contract);</w:t>
      </w:r>
    </w:p>
    <w:p>
      <w:pPr>
        <w:spacing w:after="0" w:line="83" w:lineRule="exact"/>
        <w:rPr>
          <w:rFonts w:ascii="Arial" w:cs="Arial" w:eastAsia="Arial" w:hAnsi="Arial"/>
          <w:sz w:val="15"/>
          <w:szCs w:val="15"/>
          <w:color w:val="auto"/>
        </w:rPr>
      </w:pPr>
    </w:p>
    <w:p>
      <w:pPr>
        <w:ind w:left="3020" w:right="80" w:hanging="429"/>
        <w:spacing w:after="0" w:line="264" w:lineRule="auto"/>
        <w:tabs>
          <w:tab w:leader="none" w:pos="30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Adopt a shareholder resolution on the increase or decrease of Party C’s registered capital or otherwise modify the structure of the registered capital;</w:t>
      </w:r>
    </w:p>
    <w:p>
      <w:pPr>
        <w:spacing w:after="0" w:line="130" w:lineRule="exact"/>
        <w:rPr>
          <w:rFonts w:ascii="Arial" w:cs="Arial" w:eastAsia="Arial" w:hAnsi="Arial"/>
          <w:sz w:val="17"/>
          <w:szCs w:val="17"/>
          <w:color w:val="auto"/>
        </w:rPr>
      </w:pPr>
    </w:p>
    <w:p>
      <w:pPr>
        <w:ind w:left="3020" w:hanging="429"/>
        <w:spacing w:after="0"/>
        <w:tabs>
          <w:tab w:leader="none" w:pos="30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Supplement, modify or amend Party C’s articles of association in any form; and</w:t>
      </w:r>
    </w:p>
    <w:p>
      <w:pPr>
        <w:spacing w:after="0" w:line="190" w:lineRule="exact"/>
        <w:rPr>
          <w:rFonts w:ascii="Arial" w:cs="Arial" w:eastAsia="Arial" w:hAnsi="Arial"/>
          <w:sz w:val="17"/>
          <w:szCs w:val="17"/>
          <w:color w:val="auto"/>
        </w:rPr>
      </w:pPr>
    </w:p>
    <w:p>
      <w:pPr>
        <w:ind w:left="3020" w:right="200" w:hanging="429"/>
        <w:spacing w:after="0" w:line="264" w:lineRule="auto"/>
        <w:tabs>
          <w:tab w:leader="none" w:pos="30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Enter into merge or association with any persons, or acquire investments from any persons or make an investment to any persons.</w:t>
      </w:r>
    </w:p>
    <w:p>
      <w:pPr>
        <w:spacing w:after="0" w:line="131" w:lineRule="exact"/>
        <w:rPr>
          <w:sz w:val="20"/>
          <w:szCs w:val="20"/>
          <w:color w:val="auto"/>
        </w:rPr>
      </w:pPr>
    </w:p>
    <w:p>
      <w:pPr>
        <w:jc w:val="right"/>
        <w:ind w:left="1720" w:right="20"/>
        <w:spacing w:after="0" w:line="332" w:lineRule="auto"/>
        <w:rPr>
          <w:sz w:val="20"/>
          <w:szCs w:val="20"/>
          <w:color w:val="auto"/>
        </w:rPr>
      </w:pPr>
      <w:r>
        <w:rPr>
          <w:rFonts w:ascii="Arial" w:cs="Arial" w:eastAsia="Arial" w:hAnsi="Arial"/>
          <w:sz w:val="15"/>
          <w:szCs w:val="15"/>
          <w:color w:val="auto"/>
        </w:rPr>
        <w:t>3.3.2       On the date of signing this Agreement and each Delivery Date, Party C has no outstanding debts other than (i) any debts arising in its ordinary business course; and (ii) any debts that have been disclosed to and agreed by Party A expressly in writing in advance.</w:t>
      </w:r>
    </w:p>
    <w:p>
      <w:pPr>
        <w:spacing w:after="0" w:line="83" w:lineRule="exact"/>
        <w:rPr>
          <w:sz w:val="20"/>
          <w:szCs w:val="20"/>
          <w:color w:val="auto"/>
        </w:rPr>
      </w:pPr>
    </w:p>
    <w:p>
      <w:pPr>
        <w:jc w:val="both"/>
        <w:ind w:left="2580" w:right="140" w:hanging="858"/>
        <w:spacing w:after="0" w:line="304" w:lineRule="auto"/>
        <w:tabs>
          <w:tab w:leader="none" w:pos="256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5"/>
          <w:szCs w:val="15"/>
          <w:color w:val="auto"/>
        </w:rPr>
        <w:t>On the date of signing this Agreement and each Delivery Date, there is no suit, arbitration or administrative proceedings that are ongoing or may occur in relation to the shares, Party C’s assets or that may have a substantial impact on the performance of this Agreement by Party C other than those that have been disclosed to and agreed by Party A expressly in writing in advance.</w:t>
      </w:r>
    </w:p>
    <w:p>
      <w:pPr>
        <w:spacing w:after="0" w:line="104"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3"/>
          <w:szCs w:val="13"/>
          <w:color w:val="auto"/>
        </w:rPr>
        <w:t>Party C has not been declared bankrupt.</w:t>
      </w:r>
    </w:p>
    <w:p>
      <w:pPr>
        <w:spacing w:after="0" w:line="191" w:lineRule="exact"/>
        <w:rPr>
          <w:sz w:val="20"/>
          <w:szCs w:val="20"/>
          <w:color w:val="auto"/>
        </w:rPr>
      </w:pPr>
    </w:p>
    <w:p>
      <w:pPr>
        <w:ind w:left="2580" w:hanging="858"/>
        <w:spacing w:after="0" w:line="267" w:lineRule="auto"/>
        <w:tabs>
          <w:tab w:leader="none" w:pos="2560" w:val="left"/>
        </w:tabs>
        <w:rPr>
          <w:sz w:val="20"/>
          <w:szCs w:val="20"/>
          <w:color w:val="auto"/>
        </w:rPr>
      </w:pPr>
      <w:r>
        <w:rPr>
          <w:rFonts w:ascii="Arial" w:cs="Arial" w:eastAsia="Arial" w:hAnsi="Arial"/>
          <w:sz w:val="17"/>
          <w:szCs w:val="17"/>
          <w:color w:val="auto"/>
        </w:rPr>
        <w:t>3.3.5</w:t>
      </w:r>
      <w:r>
        <w:rPr>
          <w:sz w:val="20"/>
          <w:szCs w:val="20"/>
          <w:color w:val="auto"/>
        </w:rPr>
        <w:tab/>
      </w:r>
      <w:r>
        <w:rPr>
          <w:rFonts w:ascii="Arial" w:cs="Arial" w:eastAsia="Arial" w:hAnsi="Arial"/>
          <w:sz w:val="16"/>
          <w:szCs w:val="16"/>
          <w:color w:val="auto"/>
        </w:rPr>
        <w:t>Party C hereby undertakes to Party A that it will comply with all laws and regulations applicable to the acquisition of shares and assets within the term of this Agreement, bear all expenses arising out of the share transfer and handle all procedures necessary for enabling Party A or its designated third party to become Party C’s shareholder, including but not limited to assisting Party A in obtaining any necessary approvals in relation to the share transfer from the approval authorities, submitting the relevant applications required for handling the share change registration to the competent administrative department of industry and commerce and amending the register of shareholders.</w:t>
      </w:r>
    </w:p>
    <w:p>
      <w:pPr>
        <w:spacing w:after="0" w:line="126" w:lineRule="exact"/>
        <w:rPr>
          <w:sz w:val="20"/>
          <w:szCs w:val="20"/>
          <w:color w:val="auto"/>
        </w:rPr>
      </w:pPr>
    </w:p>
    <w:p>
      <w:pPr>
        <w:ind w:left="860" w:hanging="860"/>
        <w:spacing w:after="0"/>
        <w:tabs>
          <w:tab w:leader="none" w:pos="860" w:val="left"/>
        </w:tabs>
        <w:numPr>
          <w:ilvl w:val="0"/>
          <w:numId w:val="394"/>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16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All taxes arising out of the performance of this Agreement shall be borne by Party C.</w:t>
      </w:r>
    </w:p>
    <w:p>
      <w:pPr>
        <w:spacing w:after="0" w:line="174" w:lineRule="exact"/>
        <w:rPr>
          <w:rFonts w:ascii="Arial" w:cs="Arial" w:eastAsia="Arial" w:hAnsi="Arial"/>
          <w:sz w:val="17"/>
          <w:szCs w:val="17"/>
          <w:b w:val="1"/>
          <w:bCs w:val="1"/>
          <w:color w:val="auto"/>
        </w:rPr>
      </w:pPr>
    </w:p>
    <w:p>
      <w:pPr>
        <w:ind w:left="860" w:hanging="860"/>
        <w:spacing w:after="0"/>
        <w:tabs>
          <w:tab w:leader="none" w:pos="860" w:val="left"/>
        </w:tabs>
        <w:numPr>
          <w:ilvl w:val="0"/>
          <w:numId w:val="394"/>
        </w:numPr>
        <w:rPr>
          <w:rFonts w:ascii="Arial" w:cs="Arial" w:eastAsia="Arial" w:hAnsi="Arial"/>
          <w:sz w:val="17"/>
          <w:szCs w:val="17"/>
          <w:b w:val="1"/>
          <w:bCs w:val="1"/>
          <w:color w:val="auto"/>
        </w:rPr>
      </w:pPr>
      <w:r>
        <w:rPr>
          <w:rFonts w:ascii="Arial" w:cs="Arial" w:eastAsia="Arial" w:hAnsi="Arial"/>
          <w:sz w:val="17"/>
          <w:szCs w:val="17"/>
          <w:b w:val="1"/>
          <w:bCs w:val="1"/>
          <w:color w:val="auto"/>
        </w:rPr>
        <w:t>Breach of Contract</w:t>
      </w:r>
    </w:p>
    <w:p>
      <w:pPr>
        <w:spacing w:after="0" w:line="169" w:lineRule="exact"/>
        <w:rPr>
          <w:rFonts w:ascii="Arial" w:cs="Arial" w:eastAsia="Arial" w:hAnsi="Arial"/>
          <w:sz w:val="17"/>
          <w:szCs w:val="17"/>
          <w:b w:val="1"/>
          <w:bCs w:val="1"/>
          <w:color w:val="auto"/>
        </w:rPr>
      </w:pPr>
    </w:p>
    <w:p>
      <w:pPr>
        <w:jc w:val="both"/>
        <w:ind w:left="860"/>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Except as otherwise stipulated herein, if any Party fails to fully perform or suspend the performance of its obligations under this Agreement and fails to correct such breach within Thirty (30) days from the date of receipt of a notice from the other Party, or any of its representations and warranties under this Agreement are untrue, inaccurate or misleading, such Party shall be deemed to have breached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285115</wp:posOffset>
            </wp:positionV>
            <wp:extent cx="7184390" cy="412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366" w:name="page367"/>
    <w:bookmarkEnd w:id="366"/>
    <w:p>
      <w:pPr>
        <w:jc w:val="both"/>
        <w:ind w:left="860"/>
        <w:spacing w:after="0" w:line="249" w:lineRule="auto"/>
        <w:rPr>
          <w:sz w:val="20"/>
          <w:szCs w:val="20"/>
          <w:color w:val="auto"/>
        </w:rPr>
      </w:pPr>
      <w:r>
        <w:rPr>
          <w:rFonts w:ascii="Arial" w:cs="Arial" w:eastAsia="Arial" w:hAnsi="Arial"/>
          <w:sz w:val="17"/>
          <w:szCs w:val="17"/>
          <w:color w:val="auto"/>
        </w:rPr>
        <w:t>If any Party hereto breaches this Agreement or any of its representations and warranties under this Agreement, the non-breaching Party may notify in writing the breaching Party of correcting such breach within Ten (10) days from the date of receipt of a notice, taking appropriate measures to effectively and promptly avoid any damage and continuing to perform this Agreement. If any damage occurs, the breaching Party shall make compensation to the non-breaching Party so that the non-breaching Party can obtain all rights and interests that should have been obtained by it in the case of the performance of this Agreement</w:t>
      </w:r>
    </w:p>
    <w:p>
      <w:pPr>
        <w:spacing w:after="0" w:line="157" w:lineRule="exact"/>
        <w:rPr>
          <w:sz w:val="20"/>
          <w:szCs w:val="20"/>
          <w:color w:val="auto"/>
        </w:rPr>
      </w:pPr>
    </w:p>
    <w:p>
      <w:pPr>
        <w:jc w:val="both"/>
        <w:ind w:left="860"/>
        <w:spacing w:after="0" w:line="264" w:lineRule="auto"/>
        <w:rPr>
          <w:sz w:val="20"/>
          <w:szCs w:val="20"/>
          <w:color w:val="auto"/>
        </w:rPr>
      </w:pPr>
      <w:r>
        <w:rPr>
          <w:rFonts w:ascii="Arial" w:cs="Arial" w:eastAsia="Arial" w:hAnsi="Arial"/>
          <w:sz w:val="17"/>
          <w:szCs w:val="17"/>
          <w:color w:val="auto"/>
        </w:rPr>
        <w:t>If all of the Parties breach this Agreement, they shall determine the respective amount of compensation payable by them according to the degree of their respective breach.</w:t>
      </w:r>
    </w:p>
    <w:p>
      <w:pPr>
        <w:spacing w:after="0" w:line="127" w:lineRule="exact"/>
        <w:rPr>
          <w:sz w:val="20"/>
          <w:szCs w:val="20"/>
          <w:color w:val="auto"/>
        </w:rPr>
      </w:pPr>
    </w:p>
    <w:p>
      <w:pPr>
        <w:ind w:left="860" w:hanging="860"/>
        <w:spacing w:after="0"/>
        <w:tabs>
          <w:tab w:leader="none" w:pos="860" w:val="left"/>
        </w:tabs>
        <w:numPr>
          <w:ilvl w:val="0"/>
          <w:numId w:val="395"/>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Governing Law</w:t>
      </w:r>
    </w:p>
    <w:p>
      <w:pPr>
        <w:spacing w:after="0" w:line="19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166"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Arbitration</w:t>
      </w:r>
    </w:p>
    <w:p>
      <w:pPr>
        <w:spacing w:after="0" w:line="191" w:lineRule="exact"/>
        <w:rPr>
          <w:sz w:val="20"/>
          <w:szCs w:val="20"/>
          <w:color w:val="auto"/>
        </w:rPr>
      </w:pPr>
    </w:p>
    <w:p>
      <w:pPr>
        <w:jc w:val="both"/>
        <w:ind w:left="1720"/>
        <w:spacing w:after="0" w:line="267" w:lineRule="auto"/>
        <w:rPr>
          <w:sz w:val="20"/>
          <w:szCs w:val="20"/>
          <w:color w:val="auto"/>
        </w:rPr>
      </w:pPr>
      <w:r>
        <w:rPr>
          <w:rFonts w:ascii="Arial" w:cs="Arial" w:eastAsia="Arial" w:hAnsi="Arial"/>
          <w:sz w:val="16"/>
          <w:szCs w:val="16"/>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 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Continue to Perform</w:t>
      </w:r>
    </w:p>
    <w:p>
      <w:pPr>
        <w:spacing w:after="0" w:line="191" w:lineRule="exact"/>
        <w:rPr>
          <w:sz w:val="20"/>
          <w:szCs w:val="20"/>
          <w:color w:val="auto"/>
        </w:rPr>
      </w:pPr>
    </w:p>
    <w:p>
      <w:pPr>
        <w:jc w:val="both"/>
        <w:ind w:left="1720"/>
        <w:spacing w:after="0" w:line="264" w:lineRule="auto"/>
        <w:rPr>
          <w:sz w:val="20"/>
          <w:szCs w:val="20"/>
          <w:color w:val="auto"/>
        </w:rPr>
      </w:pP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27" w:lineRule="exact"/>
        <w:rPr>
          <w:sz w:val="20"/>
          <w:szCs w:val="20"/>
          <w:color w:val="auto"/>
        </w:rPr>
      </w:pPr>
    </w:p>
    <w:p>
      <w:pPr>
        <w:ind w:left="860" w:hanging="860"/>
        <w:spacing w:after="0"/>
        <w:tabs>
          <w:tab w:leader="none" w:pos="860"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Confidential Information</w:t>
      </w:r>
    </w:p>
    <w:p>
      <w:pPr>
        <w:spacing w:after="0" w:line="191" w:lineRule="exact"/>
        <w:rPr>
          <w:sz w:val="20"/>
          <w:szCs w:val="20"/>
          <w:color w:val="auto"/>
        </w:rPr>
      </w:pPr>
    </w:p>
    <w:p>
      <w:pPr>
        <w:jc w:val="both"/>
        <w:ind w:left="1720"/>
        <w:spacing w:after="0" w:line="254" w:lineRule="auto"/>
        <w:rPr>
          <w:sz w:val="20"/>
          <w:szCs w:val="20"/>
          <w:color w:val="auto"/>
        </w:rPr>
      </w:pPr>
      <w:r>
        <w:rPr>
          <w:rFonts w:ascii="Arial" w:cs="Arial" w:eastAsia="Arial" w:hAnsi="Arial"/>
          <w:sz w:val="17"/>
          <w:szCs w:val="17"/>
          <w:color w:val="auto"/>
        </w:rPr>
        <w:t>Any contents of this Agreement and its annexes shall be kept confidential. Any Party shall not disclose to any third party any information contained herein (unless they obtain the prior written consent of the Parties hereto). These provisions hereof shall survive the termination of this Agreement.</w:t>
      </w:r>
    </w:p>
    <w:p>
      <w:pPr>
        <w:spacing w:after="0" w:line="139"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color w:val="auto"/>
        </w:rPr>
        <w:t>Exceptions</w:t>
      </w:r>
    </w:p>
    <w:p>
      <w:pPr>
        <w:spacing w:after="0" w:line="166" w:lineRule="exact"/>
        <w:rPr>
          <w:sz w:val="20"/>
          <w:szCs w:val="20"/>
          <w:color w:val="auto"/>
        </w:rPr>
      </w:pPr>
    </w:p>
    <w:p>
      <w:pPr>
        <w:jc w:val="both"/>
        <w:ind w:left="1720" w:firstLine="1"/>
        <w:spacing w:after="0" w:line="264" w:lineRule="auto"/>
        <w:rPr>
          <w:sz w:val="20"/>
          <w:szCs w:val="20"/>
          <w:color w:val="auto"/>
        </w:rPr>
      </w:pPr>
      <w:r>
        <w:rPr>
          <w:rFonts w:ascii="Arial" w:cs="Arial" w:eastAsia="Arial" w:hAnsi="Arial"/>
          <w:sz w:val="17"/>
          <w:szCs w:val="17"/>
          <w:color w:val="auto"/>
        </w:rPr>
        <w:t>Any disclosure of any confidential information required by the laws, court judgments, arbitral awards and decisions of governmental authorities shall not constitute a breach of the Section 7.1 above.</w:t>
      </w:r>
    </w:p>
    <w:p>
      <w:pPr>
        <w:spacing w:after="0" w:line="139" w:lineRule="exact"/>
        <w:rPr>
          <w:sz w:val="20"/>
          <w:szCs w:val="20"/>
          <w:color w:val="auto"/>
        </w:rPr>
      </w:pPr>
    </w:p>
    <w:p>
      <w:pPr>
        <w:ind w:left="860" w:hanging="860"/>
        <w:spacing w:after="0"/>
        <w:tabs>
          <w:tab w:leader="none" w:pos="860" w:val="left"/>
        </w:tabs>
        <w:numPr>
          <w:ilvl w:val="0"/>
          <w:numId w:val="397"/>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Entire Agreement</w:t>
      </w:r>
    </w:p>
    <w:p>
      <w:pPr>
        <w:spacing w:after="0" w:line="166" w:lineRule="exact"/>
        <w:rPr>
          <w:sz w:val="20"/>
          <w:szCs w:val="20"/>
          <w:color w:val="auto"/>
        </w:rPr>
      </w:pPr>
    </w:p>
    <w:p>
      <w:pPr>
        <w:jc w:val="both"/>
        <w:ind w:left="1720"/>
        <w:spacing w:after="0" w:line="251" w:lineRule="auto"/>
        <w:rPr>
          <w:sz w:val="20"/>
          <w:szCs w:val="20"/>
          <w:color w:val="auto"/>
        </w:rPr>
      </w:pPr>
      <w:r>
        <w:rPr>
          <w:rFonts w:ascii="Arial" w:cs="Arial" w:eastAsia="Arial" w:hAnsi="Arial"/>
          <w:sz w:val="17"/>
          <w:szCs w:val="17"/>
          <w:color w:val="auto"/>
        </w:rPr>
        <w:t>This Agreement shall constitute an entire agreement among the Parties hereto in respect of the matters involved herein. In case of any discrepancies between any prior discussions, negotiations and agreement and this Agreement, this Agreement shall prevail. This Agreement shall be amended by the Parties in writing. Any annexes hereto shall form an integral part of this Agreement and be equally authentic as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298450</wp:posOffset>
            </wp:positionV>
            <wp:extent cx="7184390" cy="412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367" w:name="page368"/>
    <w:bookmarkEnd w:id="367"/>
    <w:p>
      <w:pPr>
        <w:ind w:left="860"/>
        <w:spacing w:after="0"/>
        <w:tabs>
          <w:tab w:leader="none" w:pos="17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3"/>
          <w:szCs w:val="13"/>
          <w:color w:val="auto"/>
        </w:rPr>
        <w:t>Notices</w:t>
      </w:r>
    </w:p>
    <w:p>
      <w:pPr>
        <w:spacing w:after="0" w:line="166" w:lineRule="exact"/>
        <w:rPr>
          <w:sz w:val="20"/>
          <w:szCs w:val="20"/>
          <w:color w:val="auto"/>
        </w:rPr>
      </w:pPr>
    </w:p>
    <w:p>
      <w:pPr>
        <w:ind w:left="2580" w:right="160" w:hanging="858"/>
        <w:spacing w:after="0" w:line="254" w:lineRule="auto"/>
        <w:tabs>
          <w:tab w:leader="none" w:pos="2560" w:val="left"/>
        </w:tabs>
        <w:rPr>
          <w:sz w:val="20"/>
          <w:szCs w:val="20"/>
          <w:color w:val="auto"/>
        </w:rPr>
      </w:pPr>
      <w:r>
        <w:rPr>
          <w:rFonts w:ascii="Arial" w:cs="Arial" w:eastAsia="Arial" w:hAnsi="Arial"/>
          <w:sz w:val="17"/>
          <w:szCs w:val="17"/>
          <w:color w:val="auto"/>
        </w:rPr>
        <w:t>8.2.1</w:t>
      </w:r>
      <w:r>
        <w:rPr>
          <w:sz w:val="20"/>
          <w:szCs w:val="20"/>
          <w:color w:val="auto"/>
        </w:rPr>
        <w:tab/>
      </w: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35"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Address: Building 6, Chaolai Science and Technology Park, Laiguangying, Chaoyang District, Beijing</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Tel.: [•]</w:t>
      </w:r>
    </w:p>
    <w:p>
      <w:pPr>
        <w:spacing w:after="0" w:line="4"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Attn.: LIU Tongbo</w:t>
      </w:r>
    </w:p>
    <w:p>
      <w:pPr>
        <w:spacing w:after="0" w:line="149"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Party B and Party C</w:t>
      </w:r>
      <w:r>
        <w:rPr>
          <w:rFonts w:ascii="Arial" w:cs="Arial" w:eastAsia="Arial" w:hAnsi="Arial"/>
          <w:sz w:val="17"/>
          <w:szCs w:val="17"/>
          <w:color w:val="auto"/>
        </w:rPr>
        <w:t>:</w:t>
      </w:r>
    </w:p>
    <w:p>
      <w:pPr>
        <w:spacing w:after="0" w:line="170" w:lineRule="exact"/>
        <w:rPr>
          <w:sz w:val="20"/>
          <w:szCs w:val="20"/>
          <w:color w:val="auto"/>
        </w:rPr>
      </w:pPr>
    </w:p>
    <w:p>
      <w:pPr>
        <w:ind w:left="2060" w:right="40"/>
        <w:spacing w:after="0" w:line="259" w:lineRule="auto"/>
        <w:rPr>
          <w:sz w:val="20"/>
          <w:szCs w:val="20"/>
          <w:color w:val="auto"/>
        </w:rPr>
      </w:pPr>
      <w:r>
        <w:rPr>
          <w:rFonts w:ascii="Arial" w:cs="Arial" w:eastAsia="Arial" w:hAnsi="Arial"/>
          <w:sz w:val="17"/>
          <w:szCs w:val="17"/>
          <w:color w:val="auto"/>
        </w:rPr>
        <w:t>Address: Room 04, 3rd Floor, Building 3, Building 1, 2, 3, Contemporary China Venture Center, No. 20, Guannanyuan 1st Road, East Lake New Technology Development Zone, Wuhan (Wuhan Area, Free Trade Zone) Tel.: [•]</w:t>
      </w:r>
    </w:p>
    <w:p>
      <w:pPr>
        <w:spacing w:after="0" w:line="189"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Attn.:SHENG Heqiang</w:t>
      </w:r>
    </w:p>
    <w:p>
      <w:pPr>
        <w:spacing w:after="0" w:line="166"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3"/>
          <w:szCs w:val="13"/>
          <w:color w:val="auto"/>
        </w:rPr>
        <w:t>All notices and correspondences shall be deemed to have been delivered under the following circumstances:</w:t>
      </w:r>
    </w:p>
    <w:p>
      <w:pPr>
        <w:spacing w:after="0" w:line="191" w:lineRule="exact"/>
        <w:rPr>
          <w:sz w:val="20"/>
          <w:szCs w:val="20"/>
          <w:color w:val="auto"/>
        </w:rPr>
      </w:pPr>
    </w:p>
    <w:p>
      <w:pPr>
        <w:ind w:left="3020" w:right="40" w:hanging="429"/>
        <w:spacing w:after="0" w:line="254" w:lineRule="auto"/>
        <w:tabs>
          <w:tab w:leader="none" w:pos="30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If delivered by fax, the date displayed on the fax machine shall be the date of delivery, provided that, when such notices sent by fax are delivered later than 5:00 p.m. or on any non-working day in the place of delivery, the working day following the date displayed shall be the date of delivery;</w:t>
      </w:r>
    </w:p>
    <w:p>
      <w:pPr>
        <w:spacing w:after="0" w:line="139" w:lineRule="exact"/>
        <w:rPr>
          <w:rFonts w:ascii="Arial" w:cs="Arial" w:eastAsia="Arial" w:hAnsi="Arial"/>
          <w:sz w:val="17"/>
          <w:szCs w:val="17"/>
          <w:color w:val="auto"/>
        </w:rPr>
      </w:pPr>
    </w:p>
    <w:p>
      <w:pPr>
        <w:ind w:left="3020" w:right="200" w:hanging="429"/>
        <w:spacing w:after="0" w:line="264" w:lineRule="auto"/>
        <w:tabs>
          <w:tab w:leader="none" w:pos="30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If delivered by personal delivery (including by express mail service), the date of signing for such notices shall be the date of delivery; and</w:t>
      </w:r>
    </w:p>
    <w:p>
      <w:pPr>
        <w:spacing w:after="0" w:line="129" w:lineRule="exact"/>
        <w:rPr>
          <w:rFonts w:ascii="Arial" w:cs="Arial" w:eastAsia="Arial" w:hAnsi="Arial"/>
          <w:sz w:val="17"/>
          <w:szCs w:val="17"/>
          <w:color w:val="auto"/>
        </w:rPr>
      </w:pPr>
    </w:p>
    <w:p>
      <w:pPr>
        <w:ind w:left="3020" w:right="320" w:hanging="429"/>
        <w:spacing w:after="0" w:line="265" w:lineRule="auto"/>
        <w:tabs>
          <w:tab w:leader="none" w:pos="30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If delivered by registered mail, the Fifteenth (15</w:t>
      </w:r>
      <w:r>
        <w:rPr>
          <w:rFonts w:ascii="Arial" w:cs="Arial" w:eastAsia="Arial" w:hAnsi="Arial"/>
          <w:sz w:val="14"/>
          <w:szCs w:val="14"/>
          <w:color w:val="auto"/>
        </w:rPr>
        <w:t>th</w:t>
      </w:r>
      <w:r>
        <w:rPr>
          <w:rFonts w:ascii="Arial" w:cs="Arial" w:eastAsia="Arial" w:hAnsi="Arial"/>
          <w:sz w:val="17"/>
          <w:szCs w:val="17"/>
          <w:color w:val="auto"/>
        </w:rPr>
        <w:t>) day following the date shown in the return receipt of such registered mail shall be the date of delivery.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spacing w:after="0"/>
              <w:rPr>
                <w:sz w:val="18"/>
                <w:szCs w:val="18"/>
                <w:color w:val="auto"/>
              </w:rPr>
            </w:pPr>
          </w:p>
        </w:tc>
        <w:tc>
          <w:tcPr>
            <w:tcW w:w="1080" w:type="dxa"/>
            <w:vAlign w:val="bottom"/>
          </w:tcPr>
          <w:p>
            <w:pPr>
              <w:ind w:left="320"/>
              <w:spacing w:after="0"/>
              <w:rPr>
                <w:sz w:val="20"/>
                <w:szCs w:val="20"/>
                <w:color w:val="auto"/>
              </w:rPr>
            </w:pPr>
            <w:r>
              <w:rPr>
                <w:rFonts w:ascii="Arial" w:cs="Arial" w:eastAsia="Arial" w:hAnsi="Arial"/>
                <w:sz w:val="17"/>
                <w:szCs w:val="17"/>
                <w:color w:val="auto"/>
              </w:rPr>
              <w:t>8.2.3</w:t>
            </w:r>
          </w:p>
        </w:tc>
        <w:tc>
          <w:tcPr>
            <w:tcW w:w="8800" w:type="dxa"/>
            <w:vAlign w:val="bottom"/>
          </w:tcPr>
          <w:p>
            <w:pPr>
              <w:ind w:left="100"/>
              <w:spacing w:after="0"/>
              <w:rPr>
                <w:sz w:val="20"/>
                <w:szCs w:val="20"/>
                <w:color w:val="auto"/>
              </w:rPr>
            </w:pPr>
            <w:r>
              <w:rPr>
                <w:rFonts w:ascii="Arial" w:cs="Arial" w:eastAsia="Arial" w:hAnsi="Arial"/>
                <w:sz w:val="17"/>
                <w:szCs w:val="17"/>
                <w:color w:val="auto"/>
              </w:rPr>
              <w:t>Binding force</w:t>
            </w:r>
          </w:p>
        </w:tc>
      </w:tr>
      <w:tr>
        <w:trPr>
          <w:trHeight w:val="386"/>
        </w:trPr>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0" w:type="dxa"/>
            <w:vAlign w:val="bottom"/>
          </w:tcPr>
          <w:p>
            <w:pPr>
              <w:ind w:left="120"/>
              <w:spacing w:after="0"/>
              <w:rPr>
                <w:sz w:val="20"/>
                <w:szCs w:val="20"/>
                <w:color w:val="auto"/>
              </w:rPr>
            </w:pPr>
            <w:r>
              <w:rPr>
                <w:rFonts w:ascii="Arial" w:cs="Arial" w:eastAsia="Arial" w:hAnsi="Arial"/>
                <w:sz w:val="17"/>
                <w:szCs w:val="17"/>
                <w:color w:val="auto"/>
              </w:rPr>
              <w:t>This Agreement shall be binding on the Parties hereto.</w:t>
            </w:r>
          </w:p>
        </w:tc>
      </w:tr>
      <w:tr>
        <w:trPr>
          <w:trHeight w:val="36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8.3</w:t>
            </w:r>
          </w:p>
        </w:tc>
        <w:tc>
          <w:tcPr>
            <w:tcW w:w="1080" w:type="dxa"/>
            <w:vAlign w:val="bottom"/>
          </w:tcPr>
          <w:p>
            <w:pPr>
              <w:ind w:left="320"/>
              <w:spacing w:after="0"/>
              <w:rPr>
                <w:sz w:val="20"/>
                <w:szCs w:val="20"/>
                <w:color w:val="auto"/>
              </w:rPr>
            </w:pPr>
            <w:r>
              <w:rPr>
                <w:rFonts w:ascii="Arial" w:cs="Arial" w:eastAsia="Arial" w:hAnsi="Arial"/>
                <w:sz w:val="17"/>
                <w:szCs w:val="17"/>
                <w:color w:val="auto"/>
                <w:w w:val="97"/>
              </w:rPr>
              <w:t>Language</w:t>
            </w:r>
          </w:p>
        </w:tc>
        <w:tc>
          <w:tcPr>
            <w:tcW w:w="8800" w:type="dxa"/>
            <w:vAlign w:val="bottom"/>
          </w:tcPr>
          <w:p>
            <w:pPr>
              <w:spacing w:after="0"/>
              <w:rPr>
                <w:sz w:val="24"/>
                <w:szCs w:val="24"/>
                <w:color w:val="auto"/>
              </w:rPr>
            </w:pPr>
          </w:p>
        </w:tc>
      </w:tr>
      <w:tr>
        <w:trPr>
          <w:trHeight w:val="386"/>
        </w:trPr>
        <w:tc>
          <w:tcPr>
            <w:tcW w:w="1400" w:type="dxa"/>
            <w:vAlign w:val="bottom"/>
          </w:tcPr>
          <w:p>
            <w:pPr>
              <w:spacing w:after="0"/>
              <w:rPr>
                <w:sz w:val="24"/>
                <w:szCs w:val="24"/>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This Agreement is written in Chinese and is executed in four (4) copies.</w:t>
            </w:r>
          </w:p>
        </w:tc>
      </w:tr>
      <w:tr>
        <w:trPr>
          <w:trHeight w:val="36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8.4</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Day and Working Day</w:t>
            </w:r>
          </w:p>
        </w:tc>
      </w:tr>
      <w:tr>
        <w:trPr>
          <w:trHeight w:val="386"/>
        </w:trPr>
        <w:tc>
          <w:tcPr>
            <w:tcW w:w="1400" w:type="dxa"/>
            <w:vAlign w:val="bottom"/>
          </w:tcPr>
          <w:p>
            <w:pPr>
              <w:spacing w:after="0"/>
              <w:rPr>
                <w:sz w:val="24"/>
                <w:szCs w:val="24"/>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Day</w:t>
            </w:r>
            <w:r>
              <w:rPr>
                <w:rFonts w:ascii="Arial" w:cs="Arial" w:eastAsia="Arial" w:hAnsi="Arial"/>
                <w:sz w:val="17"/>
                <w:szCs w:val="17"/>
                <w:color w:val="auto"/>
              </w:rPr>
              <w:t>” referred to herein shall be the calendar day; “</w:t>
            </w:r>
            <w:r>
              <w:rPr>
                <w:rFonts w:ascii="Arial" w:cs="Arial" w:eastAsia="Arial" w:hAnsi="Arial"/>
                <w:sz w:val="17"/>
                <w:szCs w:val="17"/>
                <w:b w:val="1"/>
                <w:bCs w:val="1"/>
                <w:color w:val="auto"/>
              </w:rPr>
              <w:t>Working Day</w:t>
            </w:r>
            <w:r>
              <w:rPr>
                <w:rFonts w:ascii="Arial" w:cs="Arial" w:eastAsia="Arial" w:hAnsi="Arial"/>
                <w:sz w:val="17"/>
                <w:szCs w:val="17"/>
                <w:color w:val="auto"/>
              </w:rPr>
              <w:t>” referred to herein shall be any day from Monday to Friday.</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8.5</w:t>
            </w:r>
          </w:p>
        </w:tc>
        <w:tc>
          <w:tcPr>
            <w:tcW w:w="1080" w:type="dxa"/>
            <w:vAlign w:val="bottom"/>
          </w:tcPr>
          <w:p>
            <w:pPr>
              <w:ind w:left="320"/>
              <w:spacing w:after="0"/>
              <w:rPr>
                <w:sz w:val="20"/>
                <w:szCs w:val="20"/>
                <w:color w:val="auto"/>
              </w:rPr>
            </w:pPr>
            <w:r>
              <w:rPr>
                <w:rFonts w:ascii="Arial" w:cs="Arial" w:eastAsia="Arial" w:hAnsi="Arial"/>
                <w:sz w:val="17"/>
                <w:szCs w:val="17"/>
                <w:color w:val="auto"/>
              </w:rPr>
              <w:t>Headings</w:t>
            </w:r>
          </w:p>
        </w:tc>
        <w:tc>
          <w:tcPr>
            <w:tcW w:w="8800" w:type="dxa"/>
            <w:vAlign w:val="bottom"/>
          </w:tcPr>
          <w:p>
            <w:pPr>
              <w:spacing w:after="0"/>
              <w:rPr>
                <w:sz w:val="24"/>
                <w:szCs w:val="24"/>
                <w:color w:val="auto"/>
              </w:rPr>
            </w:pPr>
          </w:p>
        </w:tc>
      </w:tr>
      <w:tr>
        <w:trPr>
          <w:trHeight w:val="386"/>
        </w:trPr>
        <w:tc>
          <w:tcPr>
            <w:tcW w:w="1400" w:type="dxa"/>
            <w:vAlign w:val="bottom"/>
          </w:tcPr>
          <w:p>
            <w:pPr>
              <w:spacing w:after="0"/>
              <w:rPr>
                <w:sz w:val="24"/>
                <w:szCs w:val="24"/>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The headings hereunder are for reading convenience only and shall not be used for the interpretation of this Agreement.</w:t>
            </w:r>
          </w:p>
        </w:tc>
      </w:tr>
      <w:tr>
        <w:trPr>
          <w:trHeight w:val="36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8.6</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Pending matters</w:t>
            </w:r>
          </w:p>
        </w:tc>
      </w:tr>
      <w:tr>
        <w:trPr>
          <w:trHeight w:val="386"/>
        </w:trPr>
        <w:tc>
          <w:tcPr>
            <w:tcW w:w="1400" w:type="dxa"/>
            <w:vAlign w:val="bottom"/>
          </w:tcPr>
          <w:p>
            <w:pPr>
              <w:spacing w:after="0"/>
              <w:rPr>
                <w:sz w:val="24"/>
                <w:szCs w:val="24"/>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Any matters not stipulated herein shall be resolved by the Parties hereto through friendly consultation in accordance with the laws of the PRC.</w:t>
            </w:r>
          </w:p>
        </w:tc>
      </w:tr>
      <w:tr>
        <w:trPr>
          <w:trHeight w:val="503"/>
        </w:trPr>
        <w:tc>
          <w:tcPr>
            <w:tcW w:w="1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368" w:name="page369"/>
    <w:bookmarkEnd w:id="368"/>
    <w:p>
      <w:pPr>
        <w:spacing w:after="0"/>
        <w:tabs>
          <w:tab w:leader="none" w:pos="84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Termination</w:t>
      </w:r>
    </w:p>
    <w:p>
      <w:pPr>
        <w:spacing w:after="0" w:line="191" w:lineRule="exact"/>
        <w:rPr>
          <w:sz w:val="20"/>
          <w:szCs w:val="20"/>
          <w:color w:val="auto"/>
        </w:rPr>
      </w:pPr>
    </w:p>
    <w:p>
      <w:pPr>
        <w:jc w:val="both"/>
        <w:ind w:left="860"/>
        <w:spacing w:after="0" w:line="278" w:lineRule="auto"/>
        <w:rPr>
          <w:sz w:val="20"/>
          <w:szCs w:val="20"/>
          <w:color w:val="auto"/>
        </w:rPr>
      </w:pPr>
      <w:r>
        <w:rPr>
          <w:rFonts w:ascii="Arial" w:cs="Arial" w:eastAsia="Arial" w:hAnsi="Arial"/>
          <w:sz w:val="16"/>
          <w:szCs w:val="16"/>
          <w:color w:val="auto"/>
        </w:rPr>
        <w:t>The Parties hereto acknowledge that, in case of any change of shareholding structure of Party C or any increase or decrease of shareholders, Party A, Party C and all existing shareholders of Party C shall re-sign this Agreement and that this Agreement shall be automatically terminated and become invalid from the effective date of the option agreement re-signed by the aforesaid Parties.</w:t>
      </w:r>
    </w:p>
    <w:p>
      <w:pPr>
        <w:spacing w:after="0" w:line="133"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314325</wp:posOffset>
            </wp:positionV>
            <wp:extent cx="7184390" cy="412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380"/>
          </w:cols>
          <w:pgMar w:left="1180" w:top="488" w:right="339" w:bottom="1440" w:gutter="0" w:footer="0" w:header="0"/>
        </w:sectPr>
      </w:pPr>
    </w:p>
    <w:bookmarkStart w:id="369" w:name="page370"/>
    <w:bookmarkEnd w:id="369"/>
    <w:p>
      <w:pPr>
        <w:jc w:val="right"/>
        <w:ind w:right="2579"/>
        <w:spacing w:after="0"/>
        <w:rPr>
          <w:sz w:val="20"/>
          <w:szCs w:val="20"/>
          <w:color w:val="auto"/>
        </w:rPr>
      </w:pPr>
      <w:r>
        <w:rPr>
          <w:rFonts w:ascii="Arial" w:cs="Arial" w:eastAsia="Arial" w:hAnsi="Arial"/>
          <w:sz w:val="17"/>
          <w:szCs w:val="17"/>
          <w:color w:val="auto"/>
        </w:rPr>
        <w:t>[This page is the signature page to the Option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SHENG Heqiang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SHENG Heqiang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ZHANG Shaobin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ZHANG Shaobin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SHENG Heqiang</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6" w:right="1440" w:bottom="1440" w:gutter="0" w:footer="0" w:header="0"/>
        </w:sectPr>
      </w:pPr>
    </w:p>
    <w:bookmarkStart w:id="370" w:name="page371"/>
    <w:bookmarkEnd w:id="370"/>
    <w:p>
      <w:pPr>
        <w:jc w:val="center"/>
        <w:ind w:right="40"/>
        <w:spacing w:after="0"/>
        <w:rPr>
          <w:sz w:val="20"/>
          <w:szCs w:val="20"/>
          <w:color w:val="auto"/>
        </w:rPr>
      </w:pPr>
      <w:r>
        <w:rPr>
          <w:rFonts w:ascii="Arial" w:cs="Arial" w:eastAsia="Arial" w:hAnsi="Arial"/>
          <w:sz w:val="20"/>
          <w:szCs w:val="20"/>
          <w:b w:val="1"/>
          <w:bCs w:val="1"/>
          <w:color w:val="auto"/>
        </w:rPr>
        <w:t>Annex I Party C’s Shareholders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tcBorders>
              <w:right w:val="single" w:sz="8" w:color="auto"/>
            </w:tcBorders>
          </w:tcPr>
          <w:p>
            <w:pPr>
              <w:spacing w:after="0"/>
              <w:rPr>
                <w:sz w:val="18"/>
                <w:szCs w:val="18"/>
                <w:color w:val="auto"/>
              </w:rPr>
            </w:pP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ID Card No.</w:t>
            </w:r>
          </w:p>
        </w:tc>
        <w:tc>
          <w:tcPr>
            <w:tcW w:w="2280" w:type="dxa"/>
            <w:vAlign w:val="bottom"/>
          </w:tcPr>
          <w:p>
            <w:pPr>
              <w:spacing w:after="0"/>
              <w:rPr>
                <w:sz w:val="18"/>
                <w:szCs w:val="18"/>
                <w:color w:val="auto"/>
              </w:rPr>
            </w:pPr>
          </w:p>
        </w:tc>
      </w:tr>
      <w:tr>
        <w:trPr>
          <w:trHeight w:val="192"/>
        </w:trPr>
        <w:tc>
          <w:tcPr>
            <w:tcW w:w="2280" w:type="dxa"/>
            <w:vAlign w:val="bottom"/>
            <w:tcBorders>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40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0"/>
              </w:rPr>
              <w:t>SHENG Heqiang</w:t>
            </w:r>
          </w:p>
        </w:tc>
        <w:tc>
          <w:tcPr>
            <w:tcW w:w="21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2280" w:type="dxa"/>
            <w:vAlign w:val="bottom"/>
          </w:tcPr>
          <w:p>
            <w:pPr>
              <w:spacing w:after="0"/>
              <w:rPr>
                <w:sz w:val="16"/>
                <w:szCs w:val="16"/>
                <w:color w:val="auto"/>
              </w:rPr>
            </w:pPr>
          </w:p>
        </w:tc>
      </w:tr>
      <w:tr>
        <w:trPr>
          <w:trHeight w:val="192"/>
        </w:trPr>
        <w:tc>
          <w:tcPr>
            <w:tcW w:w="2280" w:type="dxa"/>
            <w:vAlign w:val="bottom"/>
            <w:tcBorders>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40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3"/>
              </w:rPr>
              <w:t>ZHANG Shaobin</w:t>
            </w:r>
          </w:p>
        </w:tc>
        <w:tc>
          <w:tcPr>
            <w:tcW w:w="21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2280" w:type="dxa"/>
            <w:vAlign w:val="bottom"/>
          </w:tcPr>
          <w:p>
            <w:pPr>
              <w:spacing w:after="0"/>
              <w:rPr>
                <w:sz w:val="16"/>
                <w:szCs w:val="16"/>
                <w:color w:val="auto"/>
              </w:rPr>
            </w:pPr>
          </w:p>
        </w:tc>
      </w:tr>
      <w:tr>
        <w:trPr>
          <w:trHeight w:val="695"/>
        </w:trPr>
        <w:tc>
          <w:tcPr>
            <w:tcW w:w="2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371" w:name="page372"/>
    <w:bookmarkEnd w:id="371"/>
    <w:p>
      <w:pPr>
        <w:jc w:val="center"/>
        <w:spacing w:after="0"/>
        <w:rPr>
          <w:sz w:val="20"/>
          <w:szCs w:val="20"/>
          <w:color w:val="auto"/>
        </w:rPr>
      </w:pPr>
      <w:r>
        <w:rPr>
          <w:rFonts w:ascii="Arial" w:cs="Arial" w:eastAsia="Arial" w:hAnsi="Arial"/>
          <w:sz w:val="20"/>
          <w:szCs w:val="20"/>
          <w:b w:val="1"/>
          <w:bCs w:val="1"/>
          <w:color w:val="auto"/>
        </w:rPr>
        <w:t>Annex II Party C’s Shareholding Structure</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7"/>
                <w:szCs w:val="17"/>
                <w:color w:val="auto"/>
              </w:rPr>
              <w:t>Amount of Contribution (CNY</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10000)</w:t>
            </w: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72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0"/>
              </w:rPr>
              <w:t>SHENG Heqiang</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190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1"/>
              </w:rPr>
              <w:t>ZHANG Shaobin</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Total</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200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313" w:right="339" w:bottom="1440" w:gutter="0" w:footer="0" w:header="0"/>
        </w:sectPr>
      </w:pPr>
    </w:p>
    <w:bookmarkStart w:id="372" w:name="page373"/>
    <w:bookmarkEnd w:id="372"/>
    <w:p>
      <w:pPr>
        <w:ind w:left="10340"/>
        <w:spacing w:after="0"/>
        <w:rPr>
          <w:sz w:val="20"/>
          <w:szCs w:val="20"/>
          <w:color w:val="auto"/>
        </w:rPr>
      </w:pPr>
      <w:r>
        <w:rPr>
          <w:rFonts w:ascii="Arial" w:cs="Arial" w:eastAsia="Arial" w:hAnsi="Arial"/>
          <w:sz w:val="16"/>
          <w:szCs w:val="16"/>
          <w:b w:val="1"/>
          <w:bCs w:val="1"/>
          <w:color w:val="auto"/>
        </w:rPr>
        <w:t>Exhibit 4.45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Wuhan Fangtang Education Technology Co., Ltd. (“</w:t>
      </w:r>
      <w:r>
        <w:rPr>
          <w:rFonts w:ascii="Arial" w:cs="Arial" w:eastAsia="Arial" w:hAnsi="Arial"/>
          <w:sz w:val="17"/>
          <w:szCs w:val="17"/>
          <w:b w:val="1"/>
          <w:bCs w:val="1"/>
          <w:color w:val="auto"/>
        </w:rPr>
        <w:t>Wuhan Fangtang</w:t>
      </w:r>
      <w:r>
        <w:rPr>
          <w:rFonts w:ascii="Arial" w:cs="Arial" w:eastAsia="Arial" w:hAnsi="Arial"/>
          <w:sz w:val="17"/>
          <w:szCs w:val="17"/>
          <w:color w:val="auto"/>
        </w:rPr>
        <w:t>”) of any specific obligations required by them as the shareholders of Tianjin Shangde,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SHENG Heqiang, ZHANG Shaobin,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Authorizers hereby irrevocably authorize to the maximum scope permitted by law Tianjin Studyvip Education Co., Limited ("</w:t>
      </w:r>
      <w:r>
        <w:rPr>
          <w:rFonts w:ascii="Arial" w:cs="Arial" w:eastAsia="Arial" w:hAnsi="Arial"/>
          <w:sz w:val="16"/>
          <w:szCs w:val="16"/>
          <w:b w:val="1"/>
          <w:bCs w:val="1"/>
          <w:color w:val="auto"/>
        </w:rPr>
        <w:t>WFOE</w:t>
      </w:r>
      <w:r>
        <w:rPr>
          <w:rFonts w:ascii="Arial" w:cs="Arial" w:eastAsia="Arial" w:hAnsi="Arial"/>
          <w:sz w:val="16"/>
          <w:szCs w:val="16"/>
          <w:color w:val="auto"/>
        </w:rPr>
        <w:t>") or its designated person or authorized representative (“</w:t>
      </w:r>
      <w:r>
        <w:rPr>
          <w:rFonts w:ascii="Arial" w:cs="Arial" w:eastAsia="Arial" w:hAnsi="Arial"/>
          <w:sz w:val="16"/>
          <w:szCs w:val="16"/>
          <w:b w:val="1"/>
          <w:bCs w:val="1"/>
          <w:color w:val="auto"/>
        </w:rPr>
        <w:t>Authorized Person</w:t>
      </w:r>
      <w:r>
        <w:rPr>
          <w:rFonts w:ascii="Arial" w:cs="Arial" w:eastAsia="Arial" w:hAnsi="Arial"/>
          <w:sz w:val="16"/>
          <w:szCs w:val="16"/>
          <w:color w:val="auto"/>
        </w:rPr>
        <w:t>”) to exercise all their shareholder rights corresponding to all voting shares (“</w:t>
      </w:r>
      <w:r>
        <w:rPr>
          <w:rFonts w:ascii="Arial" w:cs="Arial" w:eastAsia="Arial" w:hAnsi="Arial"/>
          <w:sz w:val="16"/>
          <w:szCs w:val="16"/>
          <w:b w:val="1"/>
          <w:bCs w:val="1"/>
          <w:color w:val="auto"/>
        </w:rPr>
        <w:t>Shares</w:t>
      </w:r>
      <w:r>
        <w:rPr>
          <w:rFonts w:ascii="Arial" w:cs="Arial" w:eastAsia="Arial" w:hAnsi="Arial"/>
          <w:sz w:val="16"/>
          <w:szCs w:val="16"/>
          <w:color w:val="auto"/>
        </w:rPr>
        <w:t>”) held by them in Wuhan Fangtang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 (3) 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Wuhan Fangtang at the meeting of shareholders of Wuhan Fangtang.</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designated by the board of directors of the WFOE.</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Unless the Business Operation Agreement signed by Wuhan Fangtang,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28th day of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3" w:name="page374"/>
    <w:bookmarkEnd w:id="373"/>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SHENG Heqiang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SHENG Heqiang</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ZHANG Shaobin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ZHANG Shaobin</w:t>
      </w:r>
    </w:p>
    <w:p>
      <w:pPr>
        <w:spacing w:after="0" w:line="390" w:lineRule="exact"/>
        <w:rPr>
          <w:sz w:val="20"/>
          <w:szCs w:val="20"/>
          <w:color w:val="auto"/>
        </w:rPr>
      </w:pPr>
    </w:p>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Tianjin Studyvip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LIU Tongbo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Title: Authorized Representative</w:t>
      </w:r>
    </w:p>
    <w:p>
      <w:pPr>
        <w:sectPr>
          <w:pgSz w:w="11900" w:h="16838" w:orient="portrait"/>
          <w:cols w:equalWidth="0" w:num="1">
            <w:col w:w="10139"/>
          </w:cols>
          <w:pgMar w:left="320" w:top="127" w:right="1440" w:bottom="1440" w:gutter="0" w:footer="0" w:header="0"/>
        </w:sectPr>
      </w:pPr>
    </w:p>
    <w:bookmarkStart w:id="374" w:name="page375"/>
    <w:bookmarkEnd w:id="374"/>
    <w:p>
      <w:pPr>
        <w:jc w:val="right"/>
        <w:ind w:right="40"/>
        <w:spacing w:after="0"/>
        <w:rPr>
          <w:sz w:val="20"/>
          <w:szCs w:val="20"/>
          <w:color w:val="auto"/>
        </w:rPr>
      </w:pPr>
      <w:r>
        <w:rPr>
          <w:rFonts w:ascii="Arial" w:cs="Arial" w:eastAsia="Arial" w:hAnsi="Arial"/>
          <w:sz w:val="17"/>
          <w:szCs w:val="17"/>
          <w:b w:val="1"/>
          <w:bCs w:val="1"/>
          <w:color w:val="auto"/>
        </w:rPr>
        <w:t>Exhibit 4.46</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Exclusive Technical Consultation and Service Agreement</w:t>
      </w:r>
    </w:p>
    <w:p>
      <w:pPr>
        <w:spacing w:after="0" w:line="2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Exclusive Technical Consultation and Service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22nd day of September,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r>
        <w:rPr>
          <w:rFonts w:ascii="Arial" w:cs="Arial" w:eastAsia="Arial" w:hAnsi="Arial"/>
          <w:sz w:val="17"/>
          <w:szCs w:val="17"/>
          <w:color w:val="auto"/>
        </w:rPr>
        <w:t>: Wuhan Hadeliang Online Education Technology Co., Ltd.</w:t>
      </w: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Registered Address: 3-303, Buildings 1-3, Dangdai Huaxia Centre For Entrepreneurship, No. 20, Nanguanyuan 1st Road, New Technology Development Zone, Wuhan (China (Hubei) Pilot Free Trade Zone Wuhan Area),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XIAO Bowen</w:t>
      </w:r>
    </w:p>
    <w:p>
      <w:pPr>
        <w:spacing w:after="0" w:line="19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189" w:lineRule="exact"/>
        <w:rPr>
          <w:sz w:val="20"/>
          <w:szCs w:val="20"/>
          <w:color w:val="auto"/>
        </w:rPr>
      </w:pPr>
    </w:p>
    <w:p>
      <w:pPr>
        <w:ind w:left="420" w:hanging="420"/>
        <w:spacing w:after="0"/>
        <w:tabs>
          <w:tab w:leader="none" w:pos="420" w:val="left"/>
        </w:tabs>
        <w:numPr>
          <w:ilvl w:val="0"/>
          <w:numId w:val="399"/>
        </w:numPr>
        <w:rPr>
          <w:rFonts w:ascii="Arial" w:cs="Arial" w:eastAsia="Arial" w:hAnsi="Arial"/>
          <w:sz w:val="20"/>
          <w:szCs w:val="20"/>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193" w:lineRule="exact"/>
        <w:rPr>
          <w:rFonts w:ascii="Arial" w:cs="Arial" w:eastAsia="Arial" w:hAnsi="Arial"/>
          <w:sz w:val="20"/>
          <w:szCs w:val="20"/>
          <w:color w:val="auto"/>
        </w:rPr>
      </w:pPr>
    </w:p>
    <w:p>
      <w:pPr>
        <w:ind w:left="420" w:hanging="420"/>
        <w:spacing w:after="0"/>
        <w:tabs>
          <w:tab w:leader="none" w:pos="420" w:val="left"/>
        </w:tabs>
        <w:numPr>
          <w:ilvl w:val="0"/>
          <w:numId w:val="399"/>
        </w:numPr>
        <w:rPr>
          <w:rFonts w:ascii="Arial" w:cs="Arial" w:eastAsia="Arial" w:hAnsi="Arial"/>
          <w:sz w:val="20"/>
          <w:szCs w:val="20"/>
          <w:color w:val="auto"/>
        </w:rPr>
      </w:pPr>
      <w:r>
        <w:rPr>
          <w:rFonts w:ascii="Arial" w:cs="Arial" w:eastAsia="Arial" w:hAnsi="Arial"/>
          <w:sz w:val="17"/>
          <w:szCs w:val="17"/>
          <w:color w:val="auto"/>
        </w:rPr>
        <w:t>Party B is a limited liability company incorporated in the PRC.</w:t>
      </w:r>
    </w:p>
    <w:p>
      <w:pPr>
        <w:spacing w:after="0" w:line="211" w:lineRule="exact"/>
        <w:rPr>
          <w:rFonts w:ascii="Arial" w:cs="Arial" w:eastAsia="Arial" w:hAnsi="Arial"/>
          <w:sz w:val="20"/>
          <w:szCs w:val="20"/>
          <w:color w:val="auto"/>
        </w:rPr>
      </w:pPr>
    </w:p>
    <w:p>
      <w:pPr>
        <w:ind w:left="420" w:right="120" w:hanging="420"/>
        <w:spacing w:after="0" w:line="231" w:lineRule="auto"/>
        <w:tabs>
          <w:tab w:leader="none" w:pos="420" w:val="left"/>
        </w:tabs>
        <w:numPr>
          <w:ilvl w:val="0"/>
          <w:numId w:val="399"/>
        </w:numPr>
        <w:rPr>
          <w:rFonts w:ascii="Arial" w:cs="Arial" w:eastAsia="Arial" w:hAnsi="Arial"/>
          <w:sz w:val="20"/>
          <w:szCs w:val="20"/>
          <w:color w:val="auto"/>
        </w:rPr>
      </w:pPr>
      <w:r>
        <w:rPr>
          <w:rFonts w:ascii="Arial" w:cs="Arial" w:eastAsia="Arial" w:hAnsi="Arial"/>
          <w:sz w:val="17"/>
          <w:szCs w:val="17"/>
          <w:color w:val="auto"/>
        </w:rPr>
        <w:t>Party A agrees to provide technical consultation and related services to Party B and Party B’s Subsidiaries, and Party B and Party B’s Subsidiaries agree to accept such technical consultation and related services provided by Party A.</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860" w:hanging="860"/>
        <w:spacing w:after="0"/>
        <w:tabs>
          <w:tab w:leader="none" w:pos="860" w:val="left"/>
        </w:tabs>
        <w:numPr>
          <w:ilvl w:val="0"/>
          <w:numId w:val="400"/>
        </w:numPr>
        <w:rPr>
          <w:rFonts w:ascii="Arial" w:cs="Arial" w:eastAsia="Arial" w:hAnsi="Arial"/>
          <w:sz w:val="17"/>
          <w:szCs w:val="17"/>
          <w:b w:val="1"/>
          <w:bCs w:val="1"/>
          <w:color w:val="auto"/>
        </w:rPr>
      </w:pPr>
      <w:r>
        <w:rPr>
          <w:rFonts w:ascii="Arial" w:cs="Arial" w:eastAsia="Arial" w:hAnsi="Arial"/>
          <w:sz w:val="17"/>
          <w:szCs w:val="17"/>
          <w:b w:val="1"/>
          <w:bCs w:val="1"/>
          <w:color w:val="auto"/>
        </w:rPr>
        <w:t>Technical Consultation and Services: Sole and Exclusive Rights and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Within the term of this Agreement, Party A agrees that it shall, as the exclusive technical consultation and services provider of Party B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B’s Subsidiaries, provide Party B and Party B’s Subsidiaries with the relevant technical consultation and services (See Annex I for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specific content) according to the terms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Party B and Party B’s Subsidiaries agree to accept the technical consultation and services provided by Party A within the term of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Agreement. In consideration of the value of the technical consultation and services provided by Party A and the good cooperative relationship</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among the Parties hereto, Party B and Party B’s Subsidiaries further agree that, unless they obtain the prior written consent of Party A, they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shall not accept any technical consultation and services provided by any third party in respect of the business scope involved herein within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term of this Agreement.</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375" w:name="page376"/>
    <w:bookmarkEnd w:id="375"/>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For all rights, titles, interests and intellectual property rights (including but not limited to any copyrights, patents, technical know-how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business secrets) arising out of the performance of this Agreement, whether developed by Party A or developed by Party B and Party B’s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Subsidiaries based on Party A’s intellectual property rights or developed by Party A based on any intellectual property rights of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Party B’s Subsidiaries, Party A shall enjoy any sole and exclusive rights and interests therein, and Party B and Party B’s Subsidiaries shall not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assert any rights, titles, interests and intellectual property rights to Party A.</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840" w:type="dxa"/>
            <w:vAlign w:val="bottom"/>
          </w:tcPr>
          <w:p>
            <w:pPr>
              <w:ind w:left="320"/>
              <w:spacing w:after="0"/>
              <w:rPr>
                <w:sz w:val="20"/>
                <w:szCs w:val="20"/>
                <w:color w:val="auto"/>
              </w:rPr>
            </w:pPr>
            <w:r>
              <w:rPr>
                <w:rFonts w:ascii="Arial" w:cs="Arial" w:eastAsia="Arial" w:hAnsi="Arial"/>
                <w:sz w:val="17"/>
                <w:szCs w:val="17"/>
                <w:color w:val="auto"/>
              </w:rPr>
              <w:t>Provided that, if developed by Party A based on any intellectual property rights</w:t>
            </w:r>
          </w:p>
        </w:tc>
      </w:tr>
      <w:tr>
        <w:trPr>
          <w:trHeight w:val="411"/>
        </w:trPr>
        <w:tc>
          <w:tcPr>
            <w:tcW w:w="540" w:type="dxa"/>
            <w:vAlign w:val="bottom"/>
          </w:tcPr>
          <w:p>
            <w:pPr>
              <w:spacing w:after="0"/>
              <w:rPr>
                <w:sz w:val="24"/>
                <w:szCs w:val="24"/>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of Party B and Party B’s Subsidiaries, Party B and Party B’s Subsidiaries shall ensure that such intellectual property rights are free from any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defects, otherwise, any losses caused to Party A shall be borne by Party B and Party B’s Subsidiaries. If Party A bear the compensation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liability to any third party therefor, Party A shall have the right to recover all its losses from Party B and Party B’s Subsidiaries after Party A</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makes such compensation.</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consideration of the good cooperative relationship among the Parties hereto, Party B and Party B’s Subsidiaries undertake that, if they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intended to carry out any business cooperation with any other enterprises, they shall obtain the consent of Party A, and Party A or its affiliates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shall have the priority of cooperation under the same conditions.</w:t>
            </w:r>
          </w:p>
        </w:tc>
      </w:tr>
    </w:tbl>
    <w:p>
      <w:pPr>
        <w:spacing w:after="0" w:line="183" w:lineRule="exact"/>
        <w:rPr>
          <w:sz w:val="20"/>
          <w:szCs w:val="20"/>
          <w:color w:val="auto"/>
        </w:rPr>
      </w:pPr>
    </w:p>
    <w:p>
      <w:pPr>
        <w:ind w:left="860" w:hanging="860"/>
        <w:spacing w:after="0"/>
        <w:tabs>
          <w:tab w:leader="none" w:pos="860" w:val="left"/>
        </w:tabs>
        <w:numPr>
          <w:ilvl w:val="0"/>
          <w:numId w:val="401"/>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 and Payment of Technical Consultation and Service Fees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Service Fees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The Parties hereto agree that any Service Fees under this Agreement shall be determined and paid in such way as listed in Annex II hereto.</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Party B and Party B’s Subsidiaries fail to pay any Service Fees and other expenses according to the provisions of this Agreement, Party B</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Party B’s Subsidiaries shall separately pay to Party A a default fine on the basis of 0.05% of the amount owed per day.</w:t>
            </w:r>
          </w:p>
        </w:tc>
      </w:tr>
      <w:tr>
        <w:trPr>
          <w:trHeight w:val="38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A shall have the right to assign its employees or certified public accountants of China or other countries (hereinafter referred to as “</w:t>
            </w:r>
            <w:r>
              <w:rPr>
                <w:rFonts w:ascii="Arial" w:cs="Arial" w:eastAsia="Arial" w:hAnsi="Arial"/>
                <w:sz w:val="17"/>
                <w:szCs w:val="17"/>
                <w:b w:val="1"/>
                <w:bCs w:val="1"/>
                <w:color w:val="auto"/>
                <w:w w:val="89"/>
              </w:rPr>
              <w:t>Party</w:t>
            </w:r>
          </w:p>
        </w:tc>
      </w:tr>
      <w:tr>
        <w:trPr>
          <w:trHeight w:val="203"/>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88"/>
              </w:rPr>
              <w:t>A’s Authorized Representative</w:t>
            </w:r>
            <w:r>
              <w:rPr>
                <w:rFonts w:ascii="Arial" w:cs="Arial" w:eastAsia="Arial" w:hAnsi="Arial"/>
                <w:sz w:val="17"/>
                <w:szCs w:val="17"/>
                <w:color w:val="auto"/>
                <w:w w:val="88"/>
              </w:rPr>
              <w:t>”) at its own expense to check the accounts of Party B and Party B’s Subsidiaries so as to audit the calculation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method and amount of Service Fees. Therefore, Party B and Party B’s Subsidiaries shall provide Party A’s Authorized Representative with any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documents, accounts, records and data required by Party A’s Authorized Representative so that Party A’s Authorized Representative can audit</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the accounts of Party B and Party B’s</w:t>
            </w:r>
          </w:p>
        </w:tc>
      </w:tr>
      <w:tr>
        <w:trPr>
          <w:trHeight w:val="386"/>
        </w:trPr>
        <w:tc>
          <w:tcPr>
            <w:tcW w:w="1400" w:type="dxa"/>
            <w:vAlign w:val="bottom"/>
          </w:tcPr>
          <w:p>
            <w:pPr>
              <w:spacing w:after="0"/>
              <w:rPr>
                <w:sz w:val="24"/>
                <w:szCs w:val="24"/>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Subsidiaries and determine the amount of Service Fees. Unless there are any gross errors, the amount of Service Fees shall be subject to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amount determined by Party A’s Authorized Representative.</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2.4</w:t>
            </w:r>
          </w:p>
        </w:tc>
        <w:tc>
          <w:tcPr>
            <w:tcW w:w="9880" w:type="dxa"/>
            <w:vAlign w:val="bottom"/>
          </w:tcPr>
          <w:p>
            <w:pPr>
              <w:ind w:left="320"/>
              <w:spacing w:after="0"/>
              <w:rPr>
                <w:sz w:val="20"/>
                <w:szCs w:val="20"/>
                <w:color w:val="auto"/>
              </w:rPr>
            </w:pPr>
            <w:r>
              <w:rPr>
                <w:rFonts w:ascii="Arial" w:cs="Arial" w:eastAsia="Arial" w:hAnsi="Arial"/>
                <w:sz w:val="17"/>
                <w:szCs w:val="17"/>
                <w:color w:val="auto"/>
                <w:w w:val="87"/>
              </w:rPr>
              <w:t>Unless the Parties hereto reach an agreement through further consultation, any Service Fees paid by Party B and Party B’s Subsidiaries to Party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 according to this Agreement shall not be deducted or offset. Party B and Party B’s Subsidiaries shall solely be responsible for any relevant</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expenses (such as bank charges) incurred from the payment of Service Fees.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2.5</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In addition, Party B and Party B’s Subsidiaries shall pay to Party A any actual expenses incurred from the provision by Party A of its technical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8"/>
              </w:rPr>
              <w:t>consultation and service under this Agreement while paying the Service Fees, including but not limited to any traveling expenses,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transportation fees, printing expenses and postage.</w:t>
            </w:r>
          </w:p>
        </w:tc>
      </w:tr>
      <w:tr>
        <w:trPr>
          <w:trHeight w:val="3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2.6</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The Parties hereto agree that all economic losses arising out of the performance of this Agreement shall be borne jointly by the Parties hereto.</w:t>
            </w:r>
          </w:p>
        </w:tc>
      </w:tr>
      <w:tr>
        <w:trPr>
          <w:trHeight w:val="129"/>
        </w:trPr>
        <w:tc>
          <w:tcPr>
            <w:tcW w:w="1400" w:type="dxa"/>
            <w:vAlign w:val="bottom"/>
            <w:tcBorders>
              <w:bottom w:val="single" w:sz="8" w:color="9A9A9A"/>
            </w:tcBorders>
          </w:tcPr>
          <w:p>
            <w:pPr>
              <w:spacing w:after="0"/>
              <w:rPr>
                <w:sz w:val="11"/>
                <w:szCs w:val="11"/>
                <w:color w:val="auto"/>
              </w:rPr>
            </w:pPr>
          </w:p>
        </w:tc>
        <w:tc>
          <w:tcPr>
            <w:tcW w:w="98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376" w:name="page377"/>
    <w:bookmarkEnd w:id="376"/>
    <w:p>
      <w:pPr>
        <w:ind w:left="860" w:hanging="860"/>
        <w:spacing w:after="0"/>
        <w:tabs>
          <w:tab w:leader="none" w:pos="860" w:val="left"/>
        </w:tabs>
        <w:numPr>
          <w:ilvl w:val="0"/>
          <w:numId w:val="402"/>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3"/>
          <w:szCs w:val="13"/>
          <w:color w:val="auto"/>
        </w:rPr>
        <w:t>Party A hereby represents and warrants as follows:</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Party A is a company legally incorporated and validly existing under the laws of the PRC;</w:t>
      </w:r>
    </w:p>
    <w:p>
      <w:pPr>
        <w:spacing w:after="0" w:line="228" w:lineRule="exact"/>
        <w:rPr>
          <w:sz w:val="20"/>
          <w:szCs w:val="20"/>
          <w:color w:val="auto"/>
        </w:rPr>
      </w:pPr>
    </w:p>
    <w:p>
      <w:pPr>
        <w:ind w:left="2580" w:right="280" w:hanging="858"/>
        <w:spacing w:after="0" w:line="254"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Party A shall perform this Agreement within its corporate power and business scope, has obtained any necessary corporate authorizations and consents and approvals from any third party and government departments and has not breached any legal or contractual restrictions that are binding or influential on it; and</w:t>
      </w:r>
    </w:p>
    <w:p>
      <w:pPr>
        <w:spacing w:after="0" w:line="177"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This Agreement shall constitute a legal, effective, binding and enforceable legal document for Party A once signed.</w:t>
      </w:r>
    </w:p>
    <w:p>
      <w:pPr>
        <w:spacing w:after="0" w:line="22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3"/>
          <w:szCs w:val="13"/>
          <w:color w:val="auto"/>
        </w:rPr>
        <w:t>Party B and Party B’s Subsidiaries hereby represent and warrant as follows:</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Party B and Party B’s Subsidiaries are legal persons legally incorporated and validly existing under the laws of the PRC;</w:t>
      </w:r>
    </w:p>
    <w:p>
      <w:pPr>
        <w:spacing w:after="0" w:line="228" w:lineRule="exact"/>
        <w:rPr>
          <w:sz w:val="20"/>
          <w:szCs w:val="20"/>
          <w:color w:val="auto"/>
        </w:rPr>
      </w:pPr>
    </w:p>
    <w:p>
      <w:pPr>
        <w:jc w:val="both"/>
        <w:ind w:left="2580" w:right="120" w:hanging="858"/>
        <w:spacing w:after="0" w:line="304" w:lineRule="auto"/>
        <w:tabs>
          <w:tab w:leader="none" w:pos="25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Party B and Party B’s Subsidiaries shall sign and perform this Agreement within their corporate power and business scope, have obtained any necessary corporate authorizations and consents and approvals from any third party or government departments and have not breached any legal or contractual restrictions that are binding or influential on it; and</w:t>
      </w:r>
    </w:p>
    <w:p>
      <w:pPr>
        <w:spacing w:after="0" w:line="142" w:lineRule="exact"/>
        <w:rPr>
          <w:sz w:val="20"/>
          <w:szCs w:val="20"/>
          <w:color w:val="auto"/>
        </w:rPr>
      </w:pPr>
    </w:p>
    <w:p>
      <w:pPr>
        <w:jc w:val="both"/>
        <w:ind w:left="2580" w:right="120" w:hanging="858"/>
        <w:spacing w:after="0" w:line="264" w:lineRule="auto"/>
        <w:tabs>
          <w:tab w:leader="none" w:pos="256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This Agreement shall constitute a legal, effective, binding and enforceable legal document for Party B and Party B’s Subsidiaries once signed.</w:t>
      </w:r>
    </w:p>
    <w:p>
      <w:pPr>
        <w:spacing w:after="0" w:line="164" w:lineRule="exact"/>
        <w:rPr>
          <w:sz w:val="20"/>
          <w:szCs w:val="20"/>
          <w:color w:val="auto"/>
        </w:rPr>
      </w:pPr>
    </w:p>
    <w:p>
      <w:pPr>
        <w:ind w:left="860" w:hanging="860"/>
        <w:spacing w:after="0"/>
        <w:tabs>
          <w:tab w:leader="none" w:pos="860" w:val="left"/>
        </w:tabs>
        <w:numPr>
          <w:ilvl w:val="0"/>
          <w:numId w:val="403"/>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4.1</w:t>
            </w: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The Parties agree that they shall try to take all reasonable security measures to keep in confidence any confidential data and information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(hereinafter referred to as “Confidential Information”, the providing party of such data and information shall clearly notify in writing that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data and information shall be the Confidential Information when providing them) known or accessed by them due to the signing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performance of this Agreement. Without the prior written consent of the Confidential Information provider, such Confidential Information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shall not be disclosed, provided or transferred to any third party (including any merger of the receiving party of such Confidential Information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with or into any third party, and any direct or indirect control thereof by any third party). Once this Agreement is terminated, Party A and Party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B and Party B’s Subsidiaries shall return any documents, data or software containing any Confidential Information to the original owner or</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providing party of such Confidential Information or destroy them with the consent of the original owner or provider, including removing any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Confidential Information from any related memory devices and shall not continue to use these Confidential Information. Party A and Party B</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and Party B’s Subsidiaries shall take any necessary measures to disclose any Confidential Information only to any staff members, agents or</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professional advisors of Party B and Party B’s Subsidiaries who need to know such Confidential Information and to cause such staff members,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agents or professional advisors of Party B and Party B’s Subsidiaries to comply with any confidentiality obligations under this Agreement.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Party A, Party B and Party B’s Subsidiaries and such staff members, agents or professional advisors of Party B and Party B’s Subsidiaries shall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sign a specific non-disclosure agreement.</w:t>
            </w:r>
          </w:p>
        </w:tc>
      </w:tr>
      <w:tr>
        <w:trPr>
          <w:trHeight w:val="3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4.2</w:t>
            </w:r>
          </w:p>
        </w:tc>
        <w:tc>
          <w:tcPr>
            <w:tcW w:w="9880" w:type="dxa"/>
            <w:vAlign w:val="bottom"/>
          </w:tcPr>
          <w:p>
            <w:pPr>
              <w:ind w:left="320"/>
              <w:spacing w:after="0"/>
              <w:rPr>
                <w:sz w:val="20"/>
                <w:szCs w:val="20"/>
                <w:color w:val="auto"/>
              </w:rPr>
            </w:pPr>
            <w:r>
              <w:rPr>
                <w:rFonts w:ascii="Arial" w:cs="Arial" w:eastAsia="Arial" w:hAnsi="Arial"/>
                <w:sz w:val="17"/>
                <w:szCs w:val="17"/>
                <w:color w:val="auto"/>
              </w:rPr>
              <w:t>No restrictions mentioned above shall apply to:</w:t>
            </w:r>
          </w:p>
        </w:tc>
      </w:tr>
      <w:tr>
        <w:trPr>
          <w:trHeight w:val="129"/>
        </w:trPr>
        <w:tc>
          <w:tcPr>
            <w:tcW w:w="1400" w:type="dxa"/>
            <w:vAlign w:val="bottom"/>
            <w:tcBorders>
              <w:bottom w:val="single" w:sz="8" w:color="9A9A9A"/>
            </w:tcBorders>
          </w:tcPr>
          <w:p>
            <w:pPr>
              <w:spacing w:after="0"/>
              <w:rPr>
                <w:sz w:val="11"/>
                <w:szCs w:val="11"/>
                <w:color w:val="auto"/>
              </w:rPr>
            </w:pPr>
          </w:p>
        </w:tc>
        <w:tc>
          <w:tcPr>
            <w:tcW w:w="98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377" w:name="page378"/>
    <w:bookmarkEnd w:id="377"/>
    <w:p>
      <w:pPr>
        <w:ind w:left="1720"/>
        <w:spacing w:after="0"/>
        <w:tabs>
          <w:tab w:leader="none" w:pos="256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5"/>
          <w:szCs w:val="15"/>
          <w:color w:val="auto"/>
        </w:rPr>
        <w:t>any information that has become generally available to the public at the time of disclosure;</w:t>
      </w:r>
    </w:p>
    <w:p>
      <w:pPr>
        <w:spacing w:after="0" w:line="228" w:lineRule="exact"/>
        <w:rPr>
          <w:sz w:val="20"/>
          <w:szCs w:val="20"/>
          <w:color w:val="auto"/>
        </w:rPr>
      </w:pPr>
    </w:p>
    <w:p>
      <w:pPr>
        <w:ind w:left="2580" w:right="540" w:hanging="858"/>
        <w:spacing w:after="0" w:line="264" w:lineRule="auto"/>
        <w:tabs>
          <w:tab w:leader="none" w:pos="25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any information that has become generally available to the public after disclosure through no fault of the receiving party of Confidential Information;</w:t>
      </w:r>
    </w:p>
    <w:p>
      <w:pPr>
        <w:spacing w:after="0" w:line="168" w:lineRule="exact"/>
        <w:rPr>
          <w:sz w:val="20"/>
          <w:szCs w:val="20"/>
          <w:color w:val="auto"/>
        </w:rPr>
      </w:pPr>
    </w:p>
    <w:p>
      <w:pPr>
        <w:ind w:left="2580" w:right="520" w:hanging="858"/>
        <w:spacing w:after="0" w:line="254" w:lineRule="auto"/>
        <w:tabs>
          <w:tab w:leader="none" w:pos="256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any information that can be proved by the receiving party of Confidential Information to have been in the possession of the receiving party before disclosure and not to be directly or indirectly received from the providing party of Confidential Information; and</w:t>
      </w:r>
    </w:p>
    <w:p>
      <w:pPr>
        <w:spacing w:after="0" w:line="177" w:lineRule="exact"/>
        <w:rPr>
          <w:sz w:val="20"/>
          <w:szCs w:val="20"/>
          <w:color w:val="auto"/>
        </w:rPr>
      </w:pPr>
    </w:p>
    <w:p>
      <w:pPr>
        <w:ind w:left="2580" w:right="120" w:hanging="858"/>
        <w:spacing w:after="0" w:line="304" w:lineRule="auto"/>
        <w:tabs>
          <w:tab w:leader="none" w:pos="256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color w:val="auto"/>
        </w:rPr>
        <w:t>any information required by law to be disclosed by the receiving party of Confidential Information to the relevant government departments, stock exchange and other institutions, or any of the above Confidential Information disclosed by the receiving party of Confidential Information to its direct legal advisors and financial consultants due to its normal business needs.</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3"/>
          <w:szCs w:val="13"/>
          <w:color w:val="auto"/>
        </w:rPr>
        <w:t>The Parties hereto agree that, whether this Agreement is modified, canceled or terminated, these provisions hereof shall remain in force.</w:t>
      </w:r>
    </w:p>
    <w:p>
      <w:pPr>
        <w:spacing w:after="0" w:line="224" w:lineRule="exact"/>
        <w:rPr>
          <w:sz w:val="20"/>
          <w:szCs w:val="20"/>
          <w:color w:val="auto"/>
        </w:rPr>
      </w:pPr>
    </w:p>
    <w:p>
      <w:pPr>
        <w:ind w:left="860" w:hanging="860"/>
        <w:spacing w:after="0"/>
        <w:tabs>
          <w:tab w:leader="none" w:pos="860" w:val="left"/>
        </w:tabs>
        <w:numPr>
          <w:ilvl w:val="0"/>
          <w:numId w:val="404"/>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Except as otherwise stipulated herein, if any Party fails to fully perform or suspends the performance of its obligations under this Agreement,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and such party fails to correct the above acts within Ten (10) days from receipt of a notice from the other party or makes any untrue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representations and warranties, such party shall be deemed to have breached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any Party hereto breaches this Agreement or any representations and warranties made by such party in this Agreement, the non-breaching</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may notify in writing the breaching party of correcting such breach within Ten (10) days from receipt of a notice, taking appropriate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measures to effectively and promptly avoid any damage and continuing to perform this Agreement. In case of any damage arising out of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breach, the breaching party shall make compensation to the non-breaching party to enable the non-breaching party to obtain all rights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interests that should have been obtained during the performance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5.3</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any breach of this Agreement by any Party hereto renders the other party to bear any costs and liabilities or suffer any losses (including but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not limited to any loss of profits), the breaching party shall make compensation to the non-breaching party in respect of any of the above costs,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7"/>
              </w:rPr>
              <w:t>liabilities or losses (including but not limited to any interest payment or loss and lawyer’s fees arising out of such breach). The total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compensatory payment paid by the breaching party to the non-breaching party shall be the same as the losses arising out of such breach,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the above compensatory payment shall include any interests that should have been obtained by the non-breaching party in the event that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Parties hereto normally perform this Agreement, provided that such compensatory payment shall not exceed any losses reasonably expected by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the Parties hereto at the time of the conclusion of this Agreement that may be caused by such breach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5.4</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and Party B’s Subsidiaries shall bear full responsibility for any claims made by any third party arising out of any failure by Party B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B’s Subsidiaries to carry on their business according to Party A’s instructions or any improper use of Party A’s intellectual property rights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or any improper technical operation. If Party B and Party B’s Subsidiaries find that any third party uses any of Party A’s intellectual property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rights without the legal authorization, Party B and Party B’s Subsidiaries shall immediately notify Party A and cooperate with Party A in</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taking any actions.</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378" w:name="page379"/>
    <w:bookmarkEnd w:id="378"/>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5.5</w:t>
            </w:r>
          </w:p>
        </w:tc>
        <w:tc>
          <w:tcPr>
            <w:tcW w:w="9660" w:type="dxa"/>
            <w:vAlign w:val="bottom"/>
          </w:tcPr>
          <w:p>
            <w:pPr>
              <w:ind w:left="320"/>
              <w:spacing w:after="0"/>
              <w:rPr>
                <w:sz w:val="20"/>
                <w:szCs w:val="20"/>
                <w:color w:val="auto"/>
              </w:rPr>
            </w:pPr>
            <w:r>
              <w:rPr>
                <w:rFonts w:ascii="Arial" w:cs="Arial" w:eastAsia="Arial" w:hAnsi="Arial"/>
                <w:sz w:val="17"/>
                <w:szCs w:val="17"/>
                <w:color w:val="auto"/>
                <w:w w:val="87"/>
              </w:rPr>
              <w:t>If both of the Parties hereto breach this Agreement, the respective amount of compensation payable by the Parties hereto shall be determined</w:t>
            </w:r>
          </w:p>
        </w:tc>
      </w:tr>
      <w:tr>
        <w:trPr>
          <w:trHeight w:val="212"/>
        </w:trPr>
        <w:tc>
          <w:tcPr>
            <w:tcW w:w="54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7"/>
                <w:szCs w:val="17"/>
                <w:color w:val="auto"/>
              </w:rPr>
              <w:t>according to the degree of their respective breach.</w:t>
            </w:r>
          </w:p>
        </w:tc>
      </w:tr>
    </w:tbl>
    <w:p>
      <w:pPr>
        <w:spacing w:after="0" w:line="183" w:lineRule="exact"/>
        <w:rPr>
          <w:sz w:val="20"/>
          <w:szCs w:val="20"/>
          <w:color w:val="auto"/>
        </w:rPr>
      </w:pPr>
    </w:p>
    <w:p>
      <w:pPr>
        <w:ind w:left="860" w:hanging="860"/>
        <w:spacing w:after="0"/>
        <w:tabs>
          <w:tab w:leader="none" w:pos="860" w:val="left"/>
        </w:tabs>
        <w:numPr>
          <w:ilvl w:val="0"/>
          <w:numId w:val="405"/>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Performance and Term</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580" w:type="dxa"/>
            <w:vAlign w:val="bottom"/>
          </w:tcPr>
          <w:p>
            <w:pPr>
              <w:ind w:left="320"/>
              <w:spacing w:after="0"/>
              <w:rPr>
                <w:sz w:val="20"/>
                <w:szCs w:val="20"/>
                <w:color w:val="auto"/>
              </w:rPr>
            </w:pPr>
            <w:r>
              <w:rPr>
                <w:rFonts w:ascii="Arial" w:cs="Arial" w:eastAsia="Arial" w:hAnsi="Arial"/>
                <w:sz w:val="17"/>
                <w:szCs w:val="17"/>
                <w:color w:val="auto"/>
              </w:rPr>
              <w:t>This Agreement shall be signed on the date first above written and become effective at the same time.</w:t>
            </w:r>
          </w:p>
        </w:tc>
      </w:tr>
      <w:tr>
        <w:trPr>
          <w:trHeight w:val="42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58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copies.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6.3</w:t>
            </w:r>
          </w:p>
        </w:tc>
        <w:tc>
          <w:tcPr>
            <w:tcW w:w="9580" w:type="dxa"/>
            <w:vAlign w:val="bottom"/>
          </w:tcPr>
          <w:p>
            <w:pPr>
              <w:ind w:left="320"/>
              <w:spacing w:after="0"/>
              <w:rPr>
                <w:sz w:val="20"/>
                <w:szCs w:val="20"/>
                <w:color w:val="auto"/>
              </w:rPr>
            </w:pPr>
            <w:r>
              <w:rPr>
                <w:rFonts w:ascii="Arial" w:cs="Arial" w:eastAsia="Arial" w:hAnsi="Arial"/>
                <w:sz w:val="17"/>
                <w:szCs w:val="17"/>
                <w:color w:val="auto"/>
                <w:w w:val="89"/>
              </w:rPr>
              <w:t>Unless Party A cancels this Agreement in advance, the term of this Agreement shall be terminated upon dissolution of both of Party B and</w:t>
            </w:r>
          </w:p>
        </w:tc>
      </w:tr>
      <w:tr>
        <w:trPr>
          <w:trHeight w:val="199"/>
        </w:trPr>
        <w:tc>
          <w:tcPr>
            <w:tcW w:w="540" w:type="dxa"/>
            <w:vAlign w:val="bottom"/>
          </w:tcPr>
          <w:p>
            <w:pPr>
              <w:spacing w:after="0"/>
              <w:rPr>
                <w:sz w:val="17"/>
                <w:szCs w:val="17"/>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w w:val="88"/>
              </w:rPr>
              <w:t>Party B’s Subsidiaries in accordance with the laws of the PRC. Upon Party A’s request prior to the expiration of this Agreement, the Parties</w:t>
            </w:r>
          </w:p>
        </w:tc>
      </w:tr>
      <w:tr>
        <w:trPr>
          <w:trHeight w:val="199"/>
        </w:trPr>
        <w:tc>
          <w:tcPr>
            <w:tcW w:w="540" w:type="dxa"/>
            <w:vAlign w:val="bottom"/>
          </w:tcPr>
          <w:p>
            <w:pPr>
              <w:spacing w:after="0"/>
              <w:rPr>
                <w:sz w:val="17"/>
                <w:szCs w:val="17"/>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w w:val="90"/>
              </w:rPr>
              <w:t>hereto shall either extend the term of this Agreement at Party A’s request so as to continue to perform this Agreement or sign a separate</w:t>
            </w:r>
          </w:p>
        </w:tc>
      </w:tr>
      <w:tr>
        <w:trPr>
          <w:trHeight w:val="212"/>
        </w:trPr>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rPr>
              <w:t>exclusive technical consultation and service agreement at Party A’s request.</w:t>
            </w:r>
          </w:p>
        </w:tc>
      </w:tr>
    </w:tbl>
    <w:p>
      <w:pPr>
        <w:spacing w:after="0" w:line="183" w:lineRule="exact"/>
        <w:rPr>
          <w:sz w:val="20"/>
          <w:szCs w:val="20"/>
          <w:color w:val="auto"/>
        </w:rPr>
      </w:pPr>
    </w:p>
    <w:p>
      <w:pPr>
        <w:ind w:left="860" w:hanging="860"/>
        <w:spacing w:after="0"/>
        <w:tabs>
          <w:tab w:leader="none" w:pos="860" w:val="left"/>
        </w:tabs>
        <w:numPr>
          <w:ilvl w:val="0"/>
          <w:numId w:val="406"/>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7.1</w:t>
            </w:r>
          </w:p>
        </w:tc>
        <w:tc>
          <w:tcPr>
            <w:tcW w:w="9740" w:type="dxa"/>
            <w:vAlign w:val="bottom"/>
          </w:tcPr>
          <w:p>
            <w:pPr>
              <w:ind w:left="320"/>
              <w:spacing w:after="0"/>
              <w:rPr>
                <w:sz w:val="20"/>
                <w:szCs w:val="20"/>
                <w:color w:val="auto"/>
              </w:rPr>
            </w:pPr>
            <w:r>
              <w:rPr>
                <w:rFonts w:ascii="Arial" w:cs="Arial" w:eastAsia="Arial" w:hAnsi="Arial"/>
                <w:sz w:val="17"/>
                <w:szCs w:val="17"/>
                <w:color w:val="auto"/>
                <w:w w:val="94"/>
              </w:rPr>
              <w:t>Unless renewed according to the relevant provisions hereof, this Agreement shall be terminated on the expiry date of the term of this</w:t>
            </w:r>
          </w:p>
        </w:tc>
      </w:tr>
      <w:tr>
        <w:trPr>
          <w:trHeight w:val="212"/>
        </w:trPr>
        <w:tc>
          <w:tcPr>
            <w:tcW w:w="5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rPr>
              <w:t>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7.2</w:t>
            </w:r>
          </w:p>
        </w:tc>
        <w:tc>
          <w:tcPr>
            <w:tcW w:w="9740" w:type="dxa"/>
            <w:vAlign w:val="bottom"/>
          </w:tcPr>
          <w:p>
            <w:pPr>
              <w:ind w:left="320"/>
              <w:spacing w:after="0"/>
              <w:rPr>
                <w:sz w:val="20"/>
                <w:szCs w:val="20"/>
                <w:color w:val="auto"/>
              </w:rPr>
            </w:pPr>
            <w:r>
              <w:rPr>
                <w:rFonts w:ascii="Arial" w:cs="Arial" w:eastAsia="Arial" w:hAnsi="Arial"/>
                <w:sz w:val="17"/>
                <w:szCs w:val="17"/>
                <w:color w:val="auto"/>
                <w:w w:val="87"/>
              </w:rPr>
              <w:t>The Parties hereto may terminate this Agreement upon consensus through consultation. Party B and Party B’s Subsidiaries shall not terminate</w:t>
            </w:r>
          </w:p>
        </w:tc>
      </w:tr>
      <w:tr>
        <w:trPr>
          <w:trHeight w:val="199"/>
        </w:trPr>
        <w:tc>
          <w:tcPr>
            <w:tcW w:w="540" w:type="dxa"/>
            <w:vAlign w:val="bottom"/>
          </w:tcPr>
          <w:p>
            <w:pPr>
              <w:spacing w:after="0"/>
              <w:rPr>
                <w:sz w:val="17"/>
                <w:szCs w:val="17"/>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w w:val="94"/>
              </w:rPr>
              <w:t>this Agreement within the term of this Agreement without the written consent of Party A. Party A shall have the right to terminate this</w:t>
            </w:r>
          </w:p>
        </w:tc>
      </w:tr>
      <w:tr>
        <w:trPr>
          <w:trHeight w:val="212"/>
        </w:trPr>
        <w:tc>
          <w:tcPr>
            <w:tcW w:w="5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w w:val="97"/>
              </w:rPr>
              <w:t>Agreement at any time by giving a written notice to Party B, Party B's Subsidiaries and shareholders Thirty (30) days in advance.</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7.3</w:t>
            </w:r>
          </w:p>
        </w:tc>
        <w:tc>
          <w:tcPr>
            <w:tcW w:w="9740" w:type="dxa"/>
            <w:vAlign w:val="bottom"/>
          </w:tcPr>
          <w:p>
            <w:pPr>
              <w:ind w:left="320"/>
              <w:spacing w:after="0"/>
              <w:rPr>
                <w:sz w:val="20"/>
                <w:szCs w:val="20"/>
                <w:color w:val="auto"/>
              </w:rPr>
            </w:pPr>
            <w:r>
              <w:rPr>
                <w:rFonts w:ascii="Arial" w:cs="Arial" w:eastAsia="Arial" w:hAnsi="Arial"/>
                <w:sz w:val="17"/>
                <w:szCs w:val="17"/>
                <w:color w:val="auto"/>
                <w:w w:val="97"/>
              </w:rPr>
              <w:t>Any rights and obligations of the Parties hereto under the Articles 4 and 5 hereof shall survive the termination of this Agreement.</w:t>
            </w:r>
          </w:p>
        </w:tc>
      </w:tr>
    </w:tbl>
    <w:p>
      <w:pPr>
        <w:spacing w:after="0" w:line="208" w:lineRule="exact"/>
        <w:rPr>
          <w:sz w:val="20"/>
          <w:szCs w:val="20"/>
          <w:color w:val="auto"/>
        </w:rPr>
      </w:pPr>
    </w:p>
    <w:p>
      <w:pPr>
        <w:ind w:left="860" w:hanging="860"/>
        <w:spacing w:after="0"/>
        <w:tabs>
          <w:tab w:leader="none" w:pos="860" w:val="left"/>
        </w:tabs>
        <w:numPr>
          <w:ilvl w:val="0"/>
          <w:numId w:val="407"/>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resolve such disputes through consultation in good faith. If such disputes cannot be resolved through consultation, any Party may submit such</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5"/>
              </w:rPr>
              <w:t>arbitration rules of such Commission in force. The place of arbitration shall be Beijing, and the language to be used in the arbitration</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Article shall be affected by</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20" w:type="dxa"/>
            <w:vAlign w:val="bottom"/>
          </w:tcPr>
          <w:p>
            <w:pPr>
              <w:ind w:left="320"/>
              <w:spacing w:after="0"/>
              <w:rPr>
                <w:sz w:val="20"/>
                <w:szCs w:val="20"/>
                <w:color w:val="auto"/>
              </w:rPr>
            </w:pPr>
            <w:r>
              <w:rPr>
                <w:rFonts w:ascii="Arial" w:cs="Arial" w:eastAsia="Arial" w:hAnsi="Arial"/>
                <w:sz w:val="17"/>
                <w:szCs w:val="17"/>
                <w:color w:val="auto"/>
                <w:w w:val="92"/>
              </w:rPr>
              <w:t>Except for any matters disputed by the Parties hereto, the Parties hereto shall continue to perform their respective obligations under this</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408"/>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9.1</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Force Majeure Events</w:t>
            </w:r>
            <w:r>
              <w:rPr>
                <w:rFonts w:ascii="Arial" w:cs="Arial" w:eastAsia="Arial" w:hAnsi="Arial"/>
                <w:sz w:val="17"/>
                <w:szCs w:val="17"/>
                <w:color w:val="auto"/>
                <w:w w:val="95"/>
              </w:rPr>
              <w:t>” mean any events beyond the reasonable control of one party that are unavoidable by the affected party with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reasonable care, including but not limited to any acts of government, natural force, fire, explosion, storm, flood, earthquake, tide, lightning or</w:t>
            </w:r>
          </w:p>
        </w:tc>
      </w:tr>
      <w:tr>
        <w:trPr>
          <w:trHeight w:val="195"/>
        </w:trPr>
        <w:tc>
          <w:tcPr>
            <w:tcW w:w="1400" w:type="dxa"/>
            <w:vAlign w:val="bottom"/>
          </w:tcPr>
          <w:p>
            <w:pPr>
              <w:spacing w:after="0"/>
              <w:rPr>
                <w:sz w:val="16"/>
                <w:szCs w:val="16"/>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war, provided that any credit, capital or financing shortage shall not be deemed to be the event beyond the reasonable control of one party. The</w:t>
            </w:r>
          </w:p>
        </w:tc>
      </w:tr>
      <w:tr>
        <w:trPr>
          <w:trHeight w:val="203"/>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party affected by any Force Majeure Events (hereinafter referred to as “</w:t>
            </w:r>
            <w:r>
              <w:rPr>
                <w:rFonts w:ascii="Arial" w:cs="Arial" w:eastAsia="Arial" w:hAnsi="Arial"/>
                <w:sz w:val="17"/>
                <w:szCs w:val="17"/>
                <w:b w:val="1"/>
                <w:bCs w:val="1"/>
                <w:color w:val="auto"/>
                <w:w w:val="90"/>
              </w:rPr>
              <w:t>Affected Party</w:t>
            </w:r>
            <w:r>
              <w:rPr>
                <w:rFonts w:ascii="Arial" w:cs="Arial" w:eastAsia="Arial" w:hAnsi="Arial"/>
                <w:sz w:val="17"/>
                <w:szCs w:val="17"/>
                <w:color w:val="auto"/>
                <w:w w:val="90"/>
              </w:rPr>
              <w:t>”) shall be exempted from its responsibility in whole or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 part according to the effects of such Force Majeure Events on this Agreement, and the Affected Party</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379" w:name="page380"/>
    <w:bookmarkEnd w:id="379"/>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who seeks exemption from its responsibility for the performance of this Agreement due to such Force Majeure Events shall notify the other</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party of such Force Majeure Events not later than Ten (10) days after occurrence of such Force Majeure Events so that the Parties hereto</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negotiate about the amendment to this Agreement according to the effects of such Force Majeure Events and exempt in whole or in part the</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Affected Party from its obligations under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performance of its obligations delayed or hindered by such Force Majeure Events. Once such Force Majeure Events are eliminated, the Parties</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7"/>
              </w:rPr>
              <w:t>hereto agree that they shall use their best efforts to restore the performance of their rights and obligations under this Agreement.</w:t>
            </w:r>
          </w:p>
        </w:tc>
      </w:tr>
    </w:tbl>
    <w:p>
      <w:pPr>
        <w:spacing w:after="0" w:line="183" w:lineRule="exact"/>
        <w:rPr>
          <w:sz w:val="20"/>
          <w:szCs w:val="20"/>
          <w:color w:val="auto"/>
        </w:rPr>
      </w:pPr>
    </w:p>
    <w:p>
      <w:pPr>
        <w:ind w:left="860" w:hanging="860"/>
        <w:spacing w:after="0"/>
        <w:tabs>
          <w:tab w:leader="none" w:pos="860" w:val="left"/>
        </w:tabs>
        <w:numPr>
          <w:ilvl w:val="0"/>
          <w:numId w:val="409"/>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right="3660"/>
        <w:spacing w:after="0" w:line="252"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LIU Tongbo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and Party B's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Address: 3-303, Buildings 1-3, Dangdai Huaxia Centre For Entrepreneurship, No. 20, Nanguanyuan 1st Road, New Technology Development Zone, Wuhan (China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(Hubei) Pilot Free Trade Zone Wuhan Area), China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Tel.:</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Attn.: XIAO Bowen</w:t>
      </w:r>
    </w:p>
    <w:p>
      <w:pPr>
        <w:spacing w:after="0" w:line="187" w:lineRule="exact"/>
        <w:rPr>
          <w:sz w:val="20"/>
          <w:szCs w:val="20"/>
          <w:color w:val="auto"/>
        </w:rPr>
      </w:pPr>
    </w:p>
    <w:p>
      <w:pPr>
        <w:ind w:left="860" w:hanging="860"/>
        <w:spacing w:after="0"/>
        <w:tabs>
          <w:tab w:leader="none" w:pos="860" w:val="left"/>
        </w:tabs>
        <w:numPr>
          <w:ilvl w:val="0"/>
          <w:numId w:val="410"/>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207"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Unless any Party hereto obtains the prior written consent of the other party, such party shall not assign to any third party its rights or obligations under this Agreement except that Party A assigns its obligations under this Agreement to its affiliates. For the purpose as set forth in this Agreement, the aforesaid “affiliates” mean any enterprises controlled by Party A, controlling Party A or under common control of any third party with Party A. For the purpose as set forth in this Article, “control” means any possession by an enterprise of its influence power to directly or indirectly decide on and/or control the operating management of another enterprise, whether such influence power is formed by holding any shares of the controlled enterprise or formed by any contractual arrangement with the controlled enterprise.</w:t>
      </w:r>
    </w:p>
    <w:p>
      <w:pPr>
        <w:spacing w:after="0" w:line="146" w:lineRule="exact"/>
        <w:rPr>
          <w:sz w:val="20"/>
          <w:szCs w:val="20"/>
          <w:color w:val="auto"/>
        </w:rPr>
      </w:pPr>
    </w:p>
    <w:p>
      <w:pPr>
        <w:ind w:left="860" w:hanging="860"/>
        <w:spacing w:after="0"/>
        <w:tabs>
          <w:tab w:leader="none" w:pos="860" w:val="left"/>
        </w:tabs>
        <w:numPr>
          <w:ilvl w:val="0"/>
          <w:numId w:val="411"/>
        </w:numPr>
        <w:rPr>
          <w:rFonts w:ascii="Arial" w:cs="Arial" w:eastAsia="Arial" w:hAnsi="Arial"/>
          <w:sz w:val="17"/>
          <w:szCs w:val="17"/>
          <w:b w:val="1"/>
          <w:bCs w:val="1"/>
          <w:color w:val="auto"/>
        </w:rPr>
      </w:pPr>
      <w:r>
        <w:rPr>
          <w:rFonts w:ascii="Arial" w:cs="Arial" w:eastAsia="Arial" w:hAnsi="Arial"/>
          <w:sz w:val="17"/>
          <w:szCs w:val="17"/>
          <w:b w:val="1"/>
          <w:bCs w:val="1"/>
          <w:color w:val="auto"/>
        </w:rPr>
        <w:t>Newly Added Party B’s Subsidiaries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case of any newly added Party B’s Subsidiary at any time after the effective date of this Agreement, Party B shall urge such newly added Party B’s Subsidiary to sign a letter of acceptance of rights and obligations in such form and substance as shown in Annex III hereto and 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Subsidiaries shall be deemed to be a signatory to this Agreement. Any other Parties hereto hereby agree to and fully accept the foregoing arrangement.</w:t>
      </w:r>
    </w:p>
    <w:p>
      <w:pPr>
        <w:spacing w:after="0" w:line="163" w:lineRule="exact"/>
        <w:rPr>
          <w:sz w:val="20"/>
          <w:szCs w:val="20"/>
          <w:color w:val="auto"/>
        </w:rPr>
      </w:pPr>
    </w:p>
    <w:p>
      <w:pPr>
        <w:ind w:left="860" w:hanging="860"/>
        <w:spacing w:after="0"/>
        <w:tabs>
          <w:tab w:leader="none" w:pos="860" w:val="left"/>
        </w:tabs>
        <w:numPr>
          <w:ilvl w:val="0"/>
          <w:numId w:val="412"/>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84390" cy="412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0" w:name="page381"/>
    <w:bookmarkEnd w:id="380"/>
    <w:p>
      <w:pPr>
        <w:jc w:val="both"/>
        <w:spacing w:after="0" w:line="304" w:lineRule="auto"/>
        <w:rPr>
          <w:sz w:val="20"/>
          <w:szCs w:val="20"/>
          <w:color w:val="auto"/>
        </w:rPr>
      </w:pPr>
      <w:r>
        <w:rPr>
          <w:rFonts w:ascii="Arial" w:cs="Arial" w:eastAsia="Arial" w:hAnsi="Arial"/>
          <w:sz w:val="15"/>
          <w:szCs w:val="15"/>
          <w:color w:val="auto"/>
        </w:rPr>
        <w:t>The Parties hereby acknowledge that this Agreement shall be a fair and reasonable agreement reached by the Parties hereto on the basis of equality and mutual benefit. If any provisions of this Agreement are invalid or unenforceable due to any inconsistencies between such provisions and the relevant laws, such provisions shall be invalid or unenforceable only to the extent of jurisdiction of the relevant laws and shall not affect the legal effect of any other provisions of this Agreement.</w:t>
      </w:r>
    </w:p>
    <w:p>
      <w:pPr>
        <w:spacing w:after="0" w:line="138" w:lineRule="exact"/>
        <w:rPr>
          <w:sz w:val="20"/>
          <w:szCs w:val="20"/>
          <w:color w:val="auto"/>
        </w:rPr>
      </w:pPr>
    </w:p>
    <w:p>
      <w:pPr>
        <w:ind w:left="860" w:hanging="860"/>
        <w:spacing w:after="0"/>
        <w:tabs>
          <w:tab w:leader="none" w:pos="860"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Supplements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Parties hereto shall make in writing any amendments and supplements to this Agreement. Any amendment and supplementary agreements duly signed by the Parties in relation to this Agreement shall form an integral part of this Agreement and be equally authentic as this Agreement.</w:t>
      </w:r>
    </w:p>
    <w:p>
      <w:pPr>
        <w:spacing w:after="0" w:line="164" w:lineRule="exact"/>
        <w:rPr>
          <w:sz w:val="20"/>
          <w:szCs w:val="20"/>
          <w:color w:val="auto"/>
        </w:rPr>
      </w:pPr>
    </w:p>
    <w:p>
      <w:pPr>
        <w:ind w:left="860" w:hanging="860"/>
        <w:spacing w:after="0"/>
        <w:tabs>
          <w:tab w:leader="none" w:pos="860" w:val="left"/>
        </w:tabs>
        <w:numPr>
          <w:ilvl w:val="0"/>
          <w:numId w:val="414"/>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sz w:val="20"/>
          <w:szCs w:val="20"/>
          <w:color w:val="auto"/>
        </w:rPr>
      </w:pPr>
    </w:p>
    <w:p>
      <w:pPr>
        <w:ind w:left="860" w:hanging="860"/>
        <w:spacing w:after="0"/>
        <w:tabs>
          <w:tab w:leader="none" w:pos="860" w:val="left"/>
        </w:tabs>
        <w:numPr>
          <w:ilvl w:val="0"/>
          <w:numId w:val="415"/>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207" w:lineRule="exact"/>
        <w:rPr>
          <w:sz w:val="20"/>
          <w:szCs w:val="20"/>
          <w:color w:val="auto"/>
        </w:rPr>
      </w:pPr>
    </w:p>
    <w:p>
      <w:pPr>
        <w:ind w:right="460"/>
        <w:spacing w:after="0" w:line="254" w:lineRule="auto"/>
        <w:rPr>
          <w:sz w:val="20"/>
          <w:szCs w:val="20"/>
          <w:color w:val="auto"/>
        </w:rPr>
      </w:pPr>
      <w:r>
        <w:rPr>
          <w:rFonts w:ascii="Arial" w:cs="Arial" w:eastAsia="Arial" w:hAnsi="Arial"/>
          <w:sz w:val="17"/>
          <w:szCs w:val="17"/>
          <w:color w:val="auto"/>
        </w:rPr>
        <w:t>Except for any written amendments, supplements or modifications to this Agreement after the signing of this Agreement, this Agreement shall constitute an entire agreement among the Parties hereto in respect of the subject matter of this Agreement and supersede all prior oral and written negotiations, representations and agreements among the Parties in respect of the subject matter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authorized representative as of the date first above written.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81" w:name="page382"/>
    <w:bookmarkEnd w:id="381"/>
    <w:p>
      <w:pPr>
        <w:jc w:val="right"/>
        <w:ind w:right="1299"/>
        <w:spacing w:after="0"/>
        <w:rPr>
          <w:sz w:val="20"/>
          <w:szCs w:val="20"/>
          <w:color w:val="auto"/>
        </w:rPr>
      </w:pPr>
      <w:r>
        <w:rPr>
          <w:rFonts w:ascii="Arial" w:cs="Arial" w:eastAsia="Arial" w:hAnsi="Arial"/>
          <w:sz w:val="17"/>
          <w:szCs w:val="17"/>
          <w:color w:val="auto"/>
        </w:rPr>
        <w:t>[This page is the signature page to the Exclusive Technical Consultation and Service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XIAO Bowen</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84390" cy="412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382" w:name="page383"/>
    <w:bookmarkEnd w:id="382"/>
    <w:p>
      <w:pPr>
        <w:jc w:val="center"/>
        <w:ind w:right="40"/>
        <w:spacing w:after="0"/>
        <w:rPr>
          <w:sz w:val="20"/>
          <w:szCs w:val="20"/>
          <w:color w:val="auto"/>
        </w:rPr>
      </w:pPr>
      <w:r>
        <w:rPr>
          <w:rFonts w:ascii="Arial" w:cs="Arial" w:eastAsia="Arial" w:hAnsi="Arial"/>
          <w:sz w:val="20"/>
          <w:szCs w:val="20"/>
          <w:b w:val="1"/>
          <w:bCs w:val="1"/>
          <w:color w:val="auto"/>
        </w:rPr>
        <w:t>Annex I List of Technical Consultation and Services</w:t>
      </w:r>
    </w:p>
    <w:p>
      <w:pPr>
        <w:spacing w:after="0" w:line="206" w:lineRule="exact"/>
        <w:rPr>
          <w:sz w:val="20"/>
          <w:szCs w:val="20"/>
          <w:color w:val="auto"/>
        </w:rPr>
      </w:pPr>
    </w:p>
    <w:p>
      <w:pPr>
        <w:ind w:left="420" w:hanging="420"/>
        <w:spacing w:after="0"/>
        <w:tabs>
          <w:tab w:leader="none" w:pos="4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Provide the development and research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Provide website design and design, installation, commissioning and maintenance services of computer network systems.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Provide database support and software services.</w:t>
      </w:r>
    </w:p>
    <w:p>
      <w:pPr>
        <w:spacing w:after="0" w:line="203" w:lineRule="exact"/>
        <w:rPr>
          <w:rFonts w:ascii="Arial" w:cs="Arial" w:eastAsia="Arial" w:hAnsi="Arial"/>
          <w:sz w:val="17"/>
          <w:szCs w:val="17"/>
          <w:color w:val="auto"/>
        </w:rPr>
      </w:pPr>
    </w:p>
    <w:p>
      <w:pPr>
        <w:ind w:left="420" w:right="600" w:hanging="420"/>
        <w:spacing w:after="0" w:line="264" w:lineRule="auto"/>
        <w:tabs>
          <w:tab w:leader="none" w:pos="4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Provide economic information consultation, project investment consultation, scientific and technological information consultation, enterprise management consultation and other consultation services.</w:t>
      </w:r>
    </w:p>
    <w:p>
      <w:pPr>
        <w:spacing w:after="0" w:line="167" w:lineRule="exact"/>
        <w:rPr>
          <w:rFonts w:ascii="Arial" w:cs="Arial" w:eastAsia="Arial" w:hAnsi="Arial"/>
          <w:sz w:val="17"/>
          <w:szCs w:val="17"/>
          <w:color w:val="auto"/>
        </w:rPr>
      </w:pPr>
    </w:p>
    <w:p>
      <w:pPr>
        <w:ind w:left="420" w:hanging="420"/>
        <w:spacing w:after="0"/>
        <w:tabs>
          <w:tab w:leader="none" w:pos="4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Provide pre-job training and in-service training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Provide technical development, consultation and technology transfer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Provide public relations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Provide market survey and research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Provide the services of developing medium and short term market development plans and market planning service.</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Provide technical services.</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Annex II Calculation and Payment Methods of Service Fees</w:t>
      </w:r>
    </w:p>
    <w:p>
      <w:pPr>
        <w:spacing w:after="0" w:line="206" w:lineRule="exact"/>
        <w:rPr>
          <w:sz w:val="20"/>
          <w:szCs w:val="20"/>
          <w:color w:val="auto"/>
        </w:rPr>
      </w:pPr>
    </w:p>
    <w:p>
      <w:pPr>
        <w:ind w:left="860" w:right="60" w:hanging="860"/>
        <w:spacing w:after="0" w:line="251" w:lineRule="auto"/>
        <w:tabs>
          <w:tab w:leader="none" w:pos="86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Service Fees under this Agreement shall be calculated on the basis of 10% to 100% of the monthly total business income of Party B and/or Party B’s Subsidiaries, and the specific proportion of the above Service Fees (limited to 10% to 100%) shall be determined and notified in writing by Party A to Party B and/or Party B’s Subsidiaries according to the actual technical support service provided by Party A as required by Party B and/or Party B’s Subsidiaries and based on the number of persons and number of days invested by Party A.</w:t>
      </w:r>
    </w:p>
    <w:p>
      <w:pPr>
        <w:spacing w:after="0" w:line="179" w:lineRule="exact"/>
        <w:rPr>
          <w:sz w:val="20"/>
          <w:szCs w:val="20"/>
          <w:color w:val="auto"/>
        </w:rPr>
      </w:pPr>
    </w:p>
    <w:p>
      <w:pPr>
        <w:ind w:left="860" w:hanging="860"/>
        <w:spacing w:after="0"/>
        <w:tabs>
          <w:tab w:leader="none" w:pos="8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Party B shall determine the amount of Service Fees according to the following factors:</w:t>
      </w:r>
    </w:p>
    <w:p>
      <w:pPr>
        <w:spacing w:after="0" w:line="203" w:lineRule="exact"/>
        <w:rPr>
          <w:rFonts w:ascii="Arial" w:cs="Arial" w:eastAsia="Arial" w:hAnsi="Arial"/>
          <w:sz w:val="17"/>
          <w:szCs w:val="17"/>
          <w:color w:val="auto"/>
        </w:rPr>
      </w:pPr>
    </w:p>
    <w:p>
      <w:pPr>
        <w:ind w:left="1720" w:hanging="861"/>
        <w:spacing w:after="0"/>
        <w:tabs>
          <w:tab w:leader="none" w:pos="1720" w:val="left"/>
        </w:tabs>
        <w:numPr>
          <w:ilvl w:val="1"/>
          <w:numId w:val="418"/>
        </w:numPr>
        <w:rPr>
          <w:rFonts w:ascii="Arial" w:cs="Arial" w:eastAsia="Arial" w:hAnsi="Arial"/>
          <w:sz w:val="17"/>
          <w:szCs w:val="17"/>
          <w:color w:val="auto"/>
        </w:rPr>
      </w:pPr>
      <w:r>
        <w:rPr>
          <w:rFonts w:ascii="Arial" w:cs="Arial" w:eastAsia="Arial" w:hAnsi="Arial"/>
          <w:sz w:val="17"/>
          <w:szCs w:val="17"/>
          <w:color w:val="auto"/>
        </w:rPr>
        <w:t>Technical difficulty and complexity of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418"/>
        </w:numPr>
        <w:rPr>
          <w:rFonts w:ascii="Arial" w:cs="Arial" w:eastAsia="Arial" w:hAnsi="Arial"/>
          <w:sz w:val="17"/>
          <w:szCs w:val="17"/>
          <w:color w:val="auto"/>
        </w:rPr>
      </w:pPr>
      <w:r>
        <w:rPr>
          <w:rFonts w:ascii="Arial" w:cs="Arial" w:eastAsia="Arial" w:hAnsi="Arial"/>
          <w:sz w:val="17"/>
          <w:szCs w:val="17"/>
          <w:color w:val="auto"/>
        </w:rPr>
        <w:t>Time spent by Party A’s employees in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418"/>
        </w:numPr>
        <w:rPr>
          <w:rFonts w:ascii="Arial" w:cs="Arial" w:eastAsia="Arial" w:hAnsi="Arial"/>
          <w:sz w:val="17"/>
          <w:szCs w:val="17"/>
          <w:color w:val="auto"/>
        </w:rPr>
      </w:pPr>
      <w:r>
        <w:rPr>
          <w:rFonts w:ascii="Arial" w:cs="Arial" w:eastAsia="Arial" w:hAnsi="Arial"/>
          <w:sz w:val="17"/>
          <w:szCs w:val="17"/>
          <w:color w:val="auto"/>
        </w:rPr>
        <w:t>Specific content and commercial value of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418"/>
        </w:numPr>
        <w:rPr>
          <w:rFonts w:ascii="Arial" w:cs="Arial" w:eastAsia="Arial" w:hAnsi="Arial"/>
          <w:sz w:val="17"/>
          <w:szCs w:val="17"/>
          <w:color w:val="auto"/>
        </w:rPr>
      </w:pPr>
      <w:r>
        <w:rPr>
          <w:rFonts w:ascii="Arial" w:cs="Arial" w:eastAsia="Arial" w:hAnsi="Arial"/>
          <w:sz w:val="17"/>
          <w:szCs w:val="17"/>
          <w:color w:val="auto"/>
        </w:rPr>
        <w:t>Market reference price of similar technical consultation and services.</w:t>
      </w:r>
    </w:p>
    <w:p>
      <w:pPr>
        <w:spacing w:after="0" w:line="228" w:lineRule="exact"/>
        <w:rPr>
          <w:sz w:val="20"/>
          <w:szCs w:val="20"/>
          <w:color w:val="auto"/>
        </w:rPr>
      </w:pPr>
    </w:p>
    <w:p>
      <w:pPr>
        <w:ind w:left="860" w:right="140" w:hanging="860"/>
        <w:spacing w:after="0" w:line="249" w:lineRule="auto"/>
        <w:tabs>
          <w:tab w:leader="none" w:pos="86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Party A shall summarize and calculate the Service Fees on a quarterly basis and shall, within Thirty (30) days from the start date of any quarter, send a bill of technical Service Fees for the last quarter to Party B and/or Party B’s Subsidiaries so as to give a notice to Party B and/or Party B’s Subsidiaries. Within Ten (10) working days after receipt of such notice, Party B and/or Party B’s Subsidiaries shall pay such Service Fees to the bank account designated by Party A. Party B and/or Party B’s Subsidiaries shall send by fax or by mail a copy of the remittance voucher to Party A within Ten (10) working days after remittance.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 w:type="dxa"/>
            <w:vAlign w:val="bottom"/>
          </w:tcPr>
          <w:p>
            <w:pPr>
              <w:spacing w:after="0"/>
              <w:rPr>
                <w:sz w:val="20"/>
                <w:szCs w:val="20"/>
                <w:color w:val="auto"/>
              </w:rPr>
            </w:pPr>
            <w:r>
              <w:rPr>
                <w:rFonts w:ascii="Arial" w:cs="Arial" w:eastAsia="Arial" w:hAnsi="Arial"/>
                <w:sz w:val="17"/>
                <w:szCs w:val="17"/>
                <w:color w:val="auto"/>
              </w:rPr>
              <w:t>IV.</w:t>
            </w:r>
          </w:p>
        </w:tc>
        <w:tc>
          <w:tcPr>
            <w:tcW w:w="10760" w:type="dxa"/>
            <w:vAlign w:val="bottom"/>
          </w:tcPr>
          <w:p>
            <w:pPr>
              <w:ind w:left="340"/>
              <w:spacing w:after="0"/>
              <w:rPr>
                <w:sz w:val="20"/>
                <w:szCs w:val="20"/>
                <w:color w:val="auto"/>
              </w:rPr>
            </w:pPr>
            <w:r>
              <w:rPr>
                <w:rFonts w:ascii="Arial" w:cs="Arial" w:eastAsia="Arial" w:hAnsi="Arial"/>
                <w:sz w:val="17"/>
                <w:szCs w:val="17"/>
                <w:color w:val="auto"/>
                <w:w w:val="91"/>
              </w:rPr>
              <w:t>If Party A considers that it is necessary to adjust the service pricing mechanism as stipulated herein that is not continuously applicable for some reason,</w:t>
            </w:r>
          </w:p>
        </w:tc>
      </w:tr>
      <w:tr>
        <w:trPr>
          <w:trHeight w:val="199"/>
        </w:trPr>
        <w:tc>
          <w:tcPr>
            <w:tcW w:w="520" w:type="dxa"/>
            <w:vAlign w:val="bottom"/>
          </w:tcPr>
          <w:p>
            <w:pPr>
              <w:spacing w:after="0"/>
              <w:rPr>
                <w:sz w:val="17"/>
                <w:szCs w:val="17"/>
                <w:color w:val="auto"/>
              </w:rPr>
            </w:pPr>
          </w:p>
        </w:tc>
        <w:tc>
          <w:tcPr>
            <w:tcW w:w="10760" w:type="dxa"/>
            <w:vAlign w:val="bottom"/>
          </w:tcPr>
          <w:p>
            <w:pPr>
              <w:ind w:left="340"/>
              <w:spacing w:after="0"/>
              <w:rPr>
                <w:sz w:val="20"/>
                <w:szCs w:val="20"/>
                <w:color w:val="auto"/>
              </w:rPr>
            </w:pPr>
            <w:r>
              <w:rPr>
                <w:rFonts w:ascii="Arial" w:cs="Arial" w:eastAsia="Arial" w:hAnsi="Arial"/>
                <w:sz w:val="17"/>
                <w:szCs w:val="17"/>
                <w:color w:val="auto"/>
                <w:w w:val="92"/>
              </w:rPr>
              <w:t>Party A shall give a prompt written notice to Party B and/or Party B’s Subsidiaries, and such written notice shall take effect when it is served to Party B</w:t>
            </w:r>
          </w:p>
        </w:tc>
      </w:tr>
      <w:tr>
        <w:trPr>
          <w:trHeight w:val="212"/>
        </w:trPr>
        <w:tc>
          <w:tcPr>
            <w:tcW w:w="52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7"/>
                <w:szCs w:val="17"/>
                <w:color w:val="auto"/>
              </w:rPr>
              <w:t>and/or Party B’s Subsidiaries.</w:t>
            </w:r>
          </w:p>
        </w:tc>
      </w:tr>
      <w:tr>
        <w:trPr>
          <w:trHeight w:val="104"/>
        </w:trPr>
        <w:tc>
          <w:tcPr>
            <w:tcW w:w="520" w:type="dxa"/>
            <w:vAlign w:val="bottom"/>
            <w:tcBorders>
              <w:bottom w:val="single" w:sz="8" w:color="9A9A9A"/>
            </w:tcBorders>
          </w:tcPr>
          <w:p>
            <w:pPr>
              <w:spacing w:after="0"/>
              <w:rPr>
                <w:sz w:val="9"/>
                <w:szCs w:val="9"/>
                <w:color w:val="auto"/>
              </w:rPr>
            </w:pPr>
          </w:p>
        </w:tc>
        <w:tc>
          <w:tcPr>
            <w:tcW w:w="10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14" w:right="299" w:bottom="1440" w:gutter="0" w:footer="0" w:header="0"/>
        </w:sectPr>
      </w:pPr>
    </w:p>
    <w:bookmarkStart w:id="383" w:name="page384"/>
    <w:bookmarkEnd w:id="383"/>
    <w:p>
      <w:pPr>
        <w:jc w:val="center"/>
        <w:ind w:right="40"/>
        <w:spacing w:after="0"/>
        <w:rPr>
          <w:sz w:val="20"/>
          <w:szCs w:val="20"/>
          <w:color w:val="auto"/>
        </w:rPr>
      </w:pPr>
      <w:r>
        <w:rPr>
          <w:rFonts w:ascii="Arial" w:cs="Arial" w:eastAsia="Arial" w:hAnsi="Arial"/>
          <w:sz w:val="20"/>
          <w:szCs w:val="20"/>
          <w:b w:val="1"/>
          <w:bCs w:val="1"/>
          <w:color w:val="auto"/>
        </w:rPr>
        <w:t>Annex III Letter of Acceptance of Rights and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Our company</w:t>
      </w:r>
      <w:r>
        <w:rPr>
          <w:rFonts w:ascii="Arial" w:cs="Arial" w:eastAsia="Arial" w:hAnsi="Arial"/>
          <w:sz w:val="15"/>
          <w:szCs w:val="15"/>
          <w:b w:val="1"/>
          <w:bCs w:val="1"/>
          <w:color w:val="auto"/>
        </w:rPr>
        <w:t>, ______, is a subsidiary of ______ Co., Ltd. (hereinafter referred to as “______”) incorporated with ______on the ______day of , and Tianjin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Shangde holds % of ______ the shares/equity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accordance with the Exclusive Technical Consultation and Service Agreement (hereinafter referred to as “Agreement”) entered into by ______________Co.,</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Limited and other parties on the day of ______, our company as a newly added “Party B’s Subsidiary” under the Agreement shall join the Agreement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Article 12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114"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114" w:right="339" w:bottom="1440" w:gutter="0" w:footer="0" w:header="0"/>
        </w:sectPr>
      </w:pPr>
    </w:p>
    <w:bookmarkStart w:id="384" w:name="page385"/>
    <w:bookmarkEnd w:id="384"/>
    <w:p>
      <w:pPr>
        <w:ind w:left="10340"/>
        <w:spacing w:after="0"/>
        <w:rPr>
          <w:sz w:val="20"/>
          <w:szCs w:val="20"/>
          <w:color w:val="auto"/>
        </w:rPr>
      </w:pPr>
      <w:r>
        <w:rPr>
          <w:rFonts w:ascii="Arial" w:cs="Arial" w:eastAsia="Arial" w:hAnsi="Arial"/>
          <w:sz w:val="16"/>
          <w:szCs w:val="16"/>
          <w:b w:val="1"/>
          <w:bCs w:val="1"/>
          <w:color w:val="auto"/>
        </w:rPr>
        <w:t>Exhibit 4.47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 Operation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This Business Operation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22nd day of September, 2020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Wuhan Hadeliang Online Education Technology Co., Ltd.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Room 04, 3rd Floor, Building 3, Building 1, 2, 3, Contemporary China Venture Center, No. 20, Guannanyuan 1st Road, East Lake New Technology Development Zone, Wuhan (Wuhan Area, Free Trade Zone)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XIAO Bowen</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or more of the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420" w:hanging="420"/>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Party A has established the business relationship with Party B and Party B’s</w:t>
      </w:r>
    </w:p>
    <w:p>
      <w:pPr>
        <w:spacing w:after="0" w:line="203" w:lineRule="exact"/>
        <w:rPr>
          <w:rFonts w:ascii="Arial" w:cs="Arial" w:eastAsia="Arial" w:hAnsi="Arial"/>
          <w:sz w:val="17"/>
          <w:szCs w:val="17"/>
          <w:color w:val="auto"/>
        </w:rPr>
      </w:pPr>
    </w:p>
    <w:p>
      <w:pPr>
        <w:jc w:val="both"/>
        <w:ind w:left="440"/>
        <w:spacing w:after="0" w:line="254" w:lineRule="auto"/>
        <w:rPr>
          <w:rFonts w:ascii="Arial" w:cs="Arial" w:eastAsia="Arial" w:hAnsi="Arial"/>
          <w:sz w:val="17"/>
          <w:szCs w:val="17"/>
          <w:color w:val="auto"/>
        </w:rPr>
      </w:pPr>
      <w:r>
        <w:rPr>
          <w:rFonts w:ascii="Arial" w:cs="Arial" w:eastAsia="Arial" w:hAnsi="Arial"/>
          <w:sz w:val="17"/>
          <w:szCs w:val="17"/>
          <w:color w:val="auto"/>
        </w:rPr>
        <w:t>Subsidiaries by signing the Exclusive Technical Consultation and Service Agreement and other agreements; Party B and Party B’s Subsidiaries shall pay various amounts to Party A under such agreements, and therefore any daily operating activities of Party B and Party B’s Subsidiaries will have a substantial impact on their ability to pay the corresponding amounts to Party A.</w:t>
      </w:r>
    </w:p>
    <w:p>
      <w:pPr>
        <w:spacing w:after="0" w:line="176" w:lineRule="exact"/>
        <w:rPr>
          <w:rFonts w:ascii="Arial" w:cs="Arial" w:eastAsia="Arial" w:hAnsi="Arial"/>
          <w:sz w:val="17"/>
          <w:szCs w:val="17"/>
          <w:color w:val="auto"/>
        </w:rPr>
      </w:pPr>
    </w:p>
    <w:p>
      <w:pPr>
        <w:ind w:left="420" w:hanging="420"/>
        <w:spacing w:after="0"/>
        <w:tabs>
          <w:tab w:leader="none" w:pos="4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interests held by Party C in Party B and the shareholding structure are shown in Annex II hereto.</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860" w:hanging="860"/>
        <w:spacing w:after="0"/>
        <w:tabs>
          <w:tab w:leader="none" w:pos="860" w:val="left"/>
        </w:tabs>
        <w:numPr>
          <w:ilvl w:val="0"/>
          <w:numId w:val="421"/>
        </w:numPr>
        <w:rPr>
          <w:rFonts w:ascii="Arial" w:cs="Arial" w:eastAsia="Arial" w:hAnsi="Arial"/>
          <w:sz w:val="17"/>
          <w:szCs w:val="17"/>
          <w:color w:val="auto"/>
        </w:rPr>
      </w:pPr>
      <w:r>
        <w:rPr>
          <w:rFonts w:ascii="Arial" w:cs="Arial" w:eastAsia="Arial" w:hAnsi="Arial"/>
          <w:sz w:val="17"/>
          <w:szCs w:val="17"/>
          <w:b w:val="1"/>
          <w:bCs w:val="1"/>
          <w:color w:val="auto"/>
        </w:rPr>
        <w:t>Obligation of omission</w:t>
      </w:r>
    </w:p>
    <w:p>
      <w:pPr>
        <w:spacing w:after="0" w:line="207" w:lineRule="exact"/>
        <w:rPr>
          <w:rFonts w:ascii="Arial" w:cs="Arial" w:eastAsia="Arial" w:hAnsi="Arial"/>
          <w:sz w:val="17"/>
          <w:szCs w:val="17"/>
          <w:color w:val="auto"/>
        </w:rPr>
      </w:pPr>
    </w:p>
    <w:p>
      <w:pPr>
        <w:jc w:val="both"/>
        <w:ind w:left="860"/>
        <w:spacing w:after="0" w:line="278" w:lineRule="auto"/>
        <w:rPr>
          <w:rFonts w:ascii="Arial" w:cs="Arial" w:eastAsia="Arial" w:hAnsi="Arial"/>
          <w:sz w:val="17"/>
          <w:szCs w:val="17"/>
          <w:color w:val="auto"/>
        </w:rPr>
      </w:pPr>
      <w:r>
        <w:rPr>
          <w:rFonts w:ascii="Arial" w:cs="Arial" w:eastAsia="Arial" w:hAnsi="Arial"/>
          <w:sz w:val="16"/>
          <w:szCs w:val="16"/>
          <w:color w:val="auto"/>
        </w:rPr>
        <w:t>In order to ensure that Party B and Party B’s Subsidiaries perform any agreements signed with Party A and their obligations to Party A, Party B, Party B’s Subsidiaries and Party C hereby acknowledge and agree that, unless they obtain the prior written consent of Party A or any other parties designated by Party A, Party B and Party B’s Subsidiaries shall not conduct any transactions and actions that may have substantial adverse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85" w:name="page386"/>
    <w:bookmarkEnd w:id="385"/>
    <w:p>
      <w:pPr>
        <w:ind w:left="860"/>
        <w:spacing w:after="0"/>
        <w:rPr>
          <w:sz w:val="20"/>
          <w:szCs w:val="20"/>
          <w:color w:val="auto"/>
        </w:rPr>
      </w:pPr>
      <w:r>
        <w:rPr>
          <w:rFonts w:ascii="Arial" w:cs="Arial" w:eastAsia="Arial" w:hAnsi="Arial"/>
          <w:sz w:val="17"/>
          <w:szCs w:val="17"/>
          <w:color w:val="auto"/>
        </w:rPr>
        <w:t>effects on their assets, business, personnel, obligations, rights or company operations, including but not limited to: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1.1</w:t>
            </w: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Carrying out any activities beyond the normal business scope of the company or failure to operate company business in any way as consistent</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and usual as those in the past;</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1.2</w:t>
            </w:r>
          </w:p>
        </w:tc>
        <w:tc>
          <w:tcPr>
            <w:tcW w:w="9800" w:type="dxa"/>
            <w:vAlign w:val="bottom"/>
          </w:tcPr>
          <w:p>
            <w:pPr>
              <w:ind w:left="280"/>
              <w:spacing w:after="0"/>
              <w:rPr>
                <w:sz w:val="20"/>
                <w:szCs w:val="20"/>
                <w:color w:val="auto"/>
              </w:rPr>
            </w:pPr>
            <w:r>
              <w:rPr>
                <w:rFonts w:ascii="Arial" w:cs="Arial" w:eastAsia="Arial" w:hAnsi="Arial"/>
                <w:sz w:val="17"/>
                <w:szCs w:val="17"/>
                <w:color w:val="auto"/>
              </w:rPr>
              <w:t>Borrowing money from any third party or assuming any debts;</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1.3</w:t>
            </w:r>
          </w:p>
        </w:tc>
        <w:tc>
          <w:tcPr>
            <w:tcW w:w="9800" w:type="dxa"/>
            <w:vAlign w:val="bottom"/>
          </w:tcPr>
          <w:p>
            <w:pPr>
              <w:ind w:left="280"/>
              <w:spacing w:after="0"/>
              <w:rPr>
                <w:sz w:val="20"/>
                <w:szCs w:val="20"/>
                <w:color w:val="auto"/>
              </w:rPr>
            </w:pPr>
            <w:r>
              <w:rPr>
                <w:rFonts w:ascii="Arial" w:cs="Arial" w:eastAsia="Arial" w:hAnsi="Arial"/>
                <w:sz w:val="17"/>
                <w:szCs w:val="17"/>
                <w:color w:val="auto"/>
              </w:rPr>
              <w:t>Changing or removing any directors of the company or dismissing and replacing any senior managers of the company;</w:t>
            </w:r>
          </w:p>
        </w:tc>
      </w:tr>
      <w:tr>
        <w:trPr>
          <w:trHeight w:val="411"/>
        </w:trPr>
        <w:tc>
          <w:tcPr>
            <w:tcW w:w="580" w:type="dxa"/>
            <w:vAlign w:val="bottom"/>
          </w:tcPr>
          <w:p>
            <w:pPr>
              <w:spacing w:after="0"/>
              <w:rPr>
                <w:sz w:val="20"/>
                <w:szCs w:val="20"/>
                <w:color w:val="auto"/>
              </w:rPr>
            </w:pPr>
            <w:r>
              <w:rPr>
                <w:rFonts w:ascii="Arial" w:cs="Arial" w:eastAsia="Arial" w:hAnsi="Arial"/>
                <w:sz w:val="17"/>
                <w:szCs w:val="17"/>
                <w:color w:val="auto"/>
              </w:rPr>
              <w:t>1.4</w:t>
            </w:r>
          </w:p>
        </w:tc>
        <w:tc>
          <w:tcPr>
            <w:tcW w:w="9800" w:type="dxa"/>
            <w:vAlign w:val="bottom"/>
          </w:tcPr>
          <w:p>
            <w:pPr>
              <w:ind w:left="280"/>
              <w:spacing w:after="0"/>
              <w:rPr>
                <w:sz w:val="20"/>
                <w:szCs w:val="20"/>
                <w:color w:val="auto"/>
              </w:rPr>
            </w:pPr>
            <w:r>
              <w:rPr>
                <w:rFonts w:ascii="Arial" w:cs="Arial" w:eastAsia="Arial" w:hAnsi="Arial"/>
                <w:sz w:val="17"/>
                <w:szCs w:val="17"/>
                <w:color w:val="auto"/>
                <w:w w:val="90"/>
              </w:rPr>
              <w:t>Selling to or acquiring from any third party or otherwise disposing of any assets or rights (including but not limited to any intellectual property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rights) with the total value of RMB 0.05 million or more;</w:t>
            </w:r>
          </w:p>
        </w:tc>
      </w:tr>
      <w:tr>
        <w:trPr>
          <w:trHeight w:val="386"/>
        </w:trPr>
        <w:tc>
          <w:tcPr>
            <w:tcW w:w="580" w:type="dxa"/>
            <w:vAlign w:val="bottom"/>
          </w:tcPr>
          <w:p>
            <w:pPr>
              <w:spacing w:after="0"/>
              <w:rPr>
                <w:sz w:val="20"/>
                <w:szCs w:val="20"/>
                <w:color w:val="auto"/>
              </w:rPr>
            </w:pPr>
            <w:r>
              <w:rPr>
                <w:rFonts w:ascii="Arial" w:cs="Arial" w:eastAsia="Arial" w:hAnsi="Arial"/>
                <w:sz w:val="17"/>
                <w:szCs w:val="17"/>
                <w:color w:val="auto"/>
              </w:rPr>
              <w:t>1.5</w:t>
            </w:r>
          </w:p>
        </w:tc>
        <w:tc>
          <w:tcPr>
            <w:tcW w:w="9800" w:type="dxa"/>
            <w:vAlign w:val="bottom"/>
          </w:tcPr>
          <w:p>
            <w:pPr>
              <w:ind w:left="280"/>
              <w:spacing w:after="0"/>
              <w:rPr>
                <w:sz w:val="20"/>
                <w:szCs w:val="20"/>
                <w:color w:val="auto"/>
              </w:rPr>
            </w:pPr>
            <w:r>
              <w:rPr>
                <w:rFonts w:ascii="Arial" w:cs="Arial" w:eastAsia="Arial" w:hAnsi="Arial"/>
                <w:sz w:val="17"/>
                <w:szCs w:val="17"/>
                <w:color w:val="auto"/>
                <w:w w:val="92"/>
              </w:rPr>
              <w:t>Providing any third party with any form of guarantees or creating any form of encumbrances on any assets of the company (including any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intellectual property rights);</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1.6</w:t>
            </w:r>
          </w:p>
        </w:tc>
        <w:tc>
          <w:tcPr>
            <w:tcW w:w="9800" w:type="dxa"/>
            <w:vAlign w:val="bottom"/>
          </w:tcPr>
          <w:p>
            <w:pPr>
              <w:ind w:left="280"/>
              <w:spacing w:after="0"/>
              <w:rPr>
                <w:sz w:val="20"/>
                <w:szCs w:val="20"/>
                <w:color w:val="auto"/>
              </w:rPr>
            </w:pPr>
            <w:r>
              <w:rPr>
                <w:rFonts w:ascii="Arial" w:cs="Arial" w:eastAsia="Arial" w:hAnsi="Arial"/>
                <w:sz w:val="17"/>
                <w:szCs w:val="17"/>
                <w:color w:val="auto"/>
              </w:rPr>
              <w:t>Amending the articles of association or changing the business scope of the company;</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1.7</w:t>
            </w:r>
          </w:p>
        </w:tc>
        <w:tc>
          <w:tcPr>
            <w:tcW w:w="9800" w:type="dxa"/>
            <w:vAlign w:val="bottom"/>
          </w:tcPr>
          <w:p>
            <w:pPr>
              <w:ind w:left="280"/>
              <w:spacing w:after="0"/>
              <w:rPr>
                <w:sz w:val="20"/>
                <w:szCs w:val="20"/>
                <w:color w:val="auto"/>
              </w:rPr>
            </w:pPr>
            <w:r>
              <w:rPr>
                <w:rFonts w:ascii="Arial" w:cs="Arial" w:eastAsia="Arial" w:hAnsi="Arial"/>
                <w:sz w:val="17"/>
                <w:szCs w:val="17"/>
                <w:color w:val="auto"/>
                <w:w w:val="98"/>
              </w:rPr>
              <w:t>Changing the normal business procedures of the company or modifying any major internal rules and regulations of the company;</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1.8</w:t>
            </w:r>
          </w:p>
        </w:tc>
        <w:tc>
          <w:tcPr>
            <w:tcW w:w="9800" w:type="dxa"/>
            <w:vAlign w:val="bottom"/>
          </w:tcPr>
          <w:p>
            <w:pPr>
              <w:ind w:left="280"/>
              <w:spacing w:after="0"/>
              <w:rPr>
                <w:sz w:val="20"/>
                <w:szCs w:val="20"/>
                <w:color w:val="auto"/>
              </w:rPr>
            </w:pPr>
            <w:r>
              <w:rPr>
                <w:rFonts w:ascii="Arial" w:cs="Arial" w:eastAsia="Arial" w:hAnsi="Arial"/>
                <w:sz w:val="17"/>
                <w:szCs w:val="17"/>
                <w:color w:val="auto"/>
              </w:rPr>
              <w:t>Transferring their rights and obligations under this Agreement to any third party;</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1.9</w:t>
            </w:r>
          </w:p>
        </w:tc>
        <w:tc>
          <w:tcPr>
            <w:tcW w:w="9800" w:type="dxa"/>
            <w:vAlign w:val="bottom"/>
          </w:tcPr>
          <w:p>
            <w:pPr>
              <w:ind w:left="280"/>
              <w:spacing w:after="0"/>
              <w:rPr>
                <w:sz w:val="20"/>
                <w:szCs w:val="20"/>
                <w:color w:val="auto"/>
              </w:rPr>
            </w:pPr>
            <w:r>
              <w:rPr>
                <w:rFonts w:ascii="Arial" w:cs="Arial" w:eastAsia="Arial" w:hAnsi="Arial"/>
                <w:sz w:val="17"/>
                <w:szCs w:val="17"/>
                <w:color w:val="auto"/>
                <w:w w:val="95"/>
              </w:rPr>
              <w:t>Making any major adjustments to their business operation model, marketing strategy, management policy or customer relations; and</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1.10</w:t>
            </w:r>
          </w:p>
        </w:tc>
        <w:tc>
          <w:tcPr>
            <w:tcW w:w="9800" w:type="dxa"/>
            <w:vAlign w:val="bottom"/>
          </w:tcPr>
          <w:p>
            <w:pPr>
              <w:ind w:left="280"/>
              <w:spacing w:after="0"/>
              <w:rPr>
                <w:sz w:val="20"/>
                <w:szCs w:val="20"/>
                <w:color w:val="auto"/>
              </w:rPr>
            </w:pPr>
            <w:r>
              <w:rPr>
                <w:rFonts w:ascii="Arial" w:cs="Arial" w:eastAsia="Arial" w:hAnsi="Arial"/>
                <w:sz w:val="17"/>
                <w:szCs w:val="17"/>
                <w:color w:val="auto"/>
              </w:rPr>
              <w:t>Distributing any bonus and dividend in any form.</w:t>
            </w:r>
          </w:p>
        </w:tc>
      </w:tr>
    </w:tbl>
    <w:p>
      <w:pPr>
        <w:spacing w:after="0" w:line="208" w:lineRule="exact"/>
        <w:rPr>
          <w:sz w:val="20"/>
          <w:szCs w:val="20"/>
          <w:color w:val="auto"/>
        </w:rPr>
      </w:pPr>
    </w:p>
    <w:p>
      <w:pPr>
        <w:ind w:left="860" w:hanging="860"/>
        <w:spacing w:after="0"/>
        <w:tabs>
          <w:tab w:leader="none" w:pos="860" w:val="left"/>
        </w:tabs>
        <w:numPr>
          <w:ilvl w:val="0"/>
          <w:numId w:val="422"/>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Management and Personnel Arrangement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Party B’s Subsidiaries and Party C hereby agree to accept any appointment and dismissal of employees of the company provided by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A from time to time and any opinions and instructions on the daily operating management, financial management system, etc., of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company and strictly implement them.</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B, Party B’s Subsidiaries and Party C hereby agree that Party C shall, in accordance with the laws and regulations and the articles of</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association, elect or appoint any persons designated by Party A as director (or executive director) or supervisor of Party B and Party B’s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Subsidiaries and cause such persons elected as director to elect the chairman of the company (if the company has a board of directors)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according to Party A’s recommendation of candidate and shall appoint any persons designated by Party A as general manager, chief financial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officer and other senior managers of Party B and</w:t>
            </w:r>
          </w:p>
        </w:tc>
      </w:tr>
      <w:tr>
        <w:trPr>
          <w:trHeight w:val="598"/>
        </w:trPr>
        <w:tc>
          <w:tcPr>
            <w:tcW w:w="1400" w:type="dxa"/>
            <w:vAlign w:val="bottom"/>
          </w:tcPr>
          <w:p>
            <w:pPr>
              <w:spacing w:after="0"/>
              <w:rPr>
                <w:sz w:val="24"/>
                <w:szCs w:val="24"/>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Party B’s Subsidiaries.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When the aforesaid directors or senior managers designated by Party A leave Party A for any reasons whatsoever (including but not limited to</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any voluntary resignation and dismissal by Party A), they will be disqualified from holding a post in Party B and Party B’s Subsidiaries. In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such a case, Party B, Party B’s Subsidiaries and Party C shall immediately dismiss the aforesaid persons from any post in Party B and Party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B’s Subsidiaries and immediately elect or employ any other persons otherwise designated by Party A to hold such post.</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386" w:name="page387"/>
    <w:bookmarkEnd w:id="386"/>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For the purpose of the Section 2.3 above, Party B, Party B’s Subsidiaries and Party C shall, in accordance with the laws, articles of association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and this Agreement, take all necessary internal and external procedures of the company to complete the above dismissal and appointment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procedures.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2.5</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Party C hereby agrees that, when signing this Agreement, it shall sign a power of attorney in such form and substance as shown in Annex III</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hereto and shall, according to such power of attorney, irrevocably authorize any persons designated by Party A to exercise its shareholder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rights on its behalf and exercise all shareholders’ voting rights in the name of shareholders at any meeting of shareholders held by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Party B’s Subsidiaries. Party C further agrees that it shall replace at any time the designated authorized persons in the forgoing power of</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attorney according to Party A’s requirements.</w:t>
            </w:r>
          </w:p>
        </w:tc>
      </w:tr>
    </w:tbl>
    <w:p>
      <w:pPr>
        <w:spacing w:after="0" w:line="183" w:lineRule="exact"/>
        <w:rPr>
          <w:sz w:val="20"/>
          <w:szCs w:val="20"/>
          <w:color w:val="auto"/>
        </w:rPr>
      </w:pPr>
    </w:p>
    <w:p>
      <w:pPr>
        <w:ind w:left="860" w:hanging="860"/>
        <w:spacing w:after="0"/>
        <w:tabs>
          <w:tab w:leader="none" w:pos="860" w:val="left"/>
        </w:tabs>
        <w:numPr>
          <w:ilvl w:val="0"/>
          <w:numId w:val="423"/>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of the agreements among Party A and Party B and Party B’s Subsidiaries is terminated or expires, Party A shall have the right to decide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whether to terminate all agreements among Party A and Party B and Party B’s Subsidiaries, including but not limited to any Exclusive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Technical</w:t>
            </w:r>
          </w:p>
        </w:tc>
      </w:tr>
      <w:tr>
        <w:trPr>
          <w:trHeight w:val="399"/>
        </w:trPr>
        <w:tc>
          <w:tcPr>
            <w:tcW w:w="540" w:type="dxa"/>
            <w:vAlign w:val="bottom"/>
          </w:tcPr>
          <w:p>
            <w:pPr>
              <w:spacing w:after="0"/>
              <w:rPr>
                <w:sz w:val="24"/>
                <w:szCs w:val="24"/>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Consultation and Service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Considering that Party A has established the business relationship with Party B and Party B’s Subsidiaries by signing an Exclusive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Consultation and Service Agreement and other agreements, any daily operating activities of Party B and Party B’s Subsidiaries will have a</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substantial impact on their ability to pay the corresponding amounts to Party A. Party C agrees that, subject to the provisions of Article 1</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hereof, any incomes or interests shall be immediately paid or transferred without compensation to Party A when they are realized, under no</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conditions, out of any bonuses, dividend distributions or any other similar incomes or interests (regardless of their specific form) that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received by Party C from Party B and Party B’s Subsidiaries in the capacity of a shareholder of Party B and Party B’s Subsidiaries and that it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shall, according to Party A’s requirements, provide all necessary documents or take all necessary actions to realize such payment or transfer.</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3.3</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added Party B’s Subsidiary at any time after the effective date of this Agreement, Party B and Party C shall cause such newly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added Party B’s Subsidiary to sign a letter of acceptance of rights and obligations in such form and substance as shown in Annex IV hereto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any other legal documents permitted or required by the laws of the PRC so as to enable such newly added Party B’s Subsidiary to join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 and fully accept any obligations and rights to be assumed and enjoyed by Party B’s Subsidiaries under this Agreement. From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execution date of such letter of acceptance of rights and obligations and any other legal documents permitted or required by the laws of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PRC, such newly added Party B’s Subsidiary shall be deemed to be a signatory to this Agreement. Any other Parties hereto hereby agree to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fully accept the foregoing arrangement.</w:t>
            </w:r>
          </w:p>
        </w:tc>
      </w:tr>
    </w:tbl>
    <w:p>
      <w:pPr>
        <w:spacing w:after="0" w:line="183" w:lineRule="exact"/>
        <w:rPr>
          <w:sz w:val="20"/>
          <w:szCs w:val="20"/>
          <w:color w:val="auto"/>
        </w:rPr>
      </w:pPr>
    </w:p>
    <w:p>
      <w:pPr>
        <w:ind w:left="860" w:hanging="860"/>
        <w:spacing w:after="0"/>
        <w:tabs>
          <w:tab w:leader="none" w:pos="860" w:val="left"/>
        </w:tabs>
        <w:numPr>
          <w:ilvl w:val="0"/>
          <w:numId w:val="424"/>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and Amendment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This Agreement and all agreements and/or documents referred to or expressly contained herein shall constitute an entire agreement among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Parties in respect of the subject matter of this Agreement and supersede all prior oral and written agreements, contracts, understandings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communications among the Parties in relation to the subject matter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4.2</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No amendments to this Agreement shall be valid unless a written agreement is signed by the Parties. Any amendment and supplementary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agreements duly signed by the Parties in relation to</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3</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6" w:right="299" w:bottom="1440" w:gutter="0" w:footer="0" w:header="0"/>
        </w:sectPr>
      </w:pPr>
    </w:p>
    <w:bookmarkStart w:id="387" w:name="page388"/>
    <w:bookmarkEnd w:id="387"/>
    <w:p>
      <w:pPr>
        <w:ind w:left="1720"/>
        <w:spacing w:after="0"/>
        <w:rPr>
          <w:sz w:val="20"/>
          <w:szCs w:val="20"/>
          <w:color w:val="auto"/>
        </w:rPr>
      </w:pPr>
      <w:r>
        <w:rPr>
          <w:rFonts w:ascii="Arial" w:cs="Arial" w:eastAsia="Arial" w:hAnsi="Arial"/>
          <w:sz w:val="17"/>
          <w:szCs w:val="17"/>
          <w:color w:val="auto"/>
        </w:rPr>
        <w:t>this Agreement shall form an integral part of this Agreement and be equally authentic as this Agreement.</w:t>
      </w:r>
    </w:p>
    <w:p>
      <w:pPr>
        <w:spacing w:after="0" w:line="224" w:lineRule="exact"/>
        <w:rPr>
          <w:sz w:val="20"/>
          <w:szCs w:val="20"/>
          <w:color w:val="auto"/>
        </w:rPr>
      </w:pPr>
    </w:p>
    <w:p>
      <w:pPr>
        <w:ind w:left="860" w:hanging="860"/>
        <w:spacing w:after="0"/>
        <w:tabs>
          <w:tab w:leader="none" w:pos="860" w:val="left"/>
        </w:tabs>
        <w:numPr>
          <w:ilvl w:val="0"/>
          <w:numId w:val="425"/>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425"/>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resolve such disputes through consultation in good faith. If such disputes can not be resolved through consultation, any Party may submit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proceedings shall be Chinese. Any arbitral award shall be final and binding upon the Parties. No provisions of this Article shall be affected by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rFonts w:ascii="Arial" w:cs="Arial" w:eastAsia="Arial" w:hAnsi="Arial"/>
          <w:sz w:val="17"/>
          <w:szCs w:val="17"/>
          <w:b w:val="1"/>
          <w:bCs w:val="1"/>
          <w:color w:val="auto"/>
        </w:rPr>
      </w:pPr>
    </w:p>
    <w:p>
      <w:pPr>
        <w:jc w:val="both"/>
        <w:ind w:left="860" w:right="40" w:firstLine="2"/>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2"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A,</w:t>
      </w:r>
    </w:p>
    <w:p>
      <w:pPr>
        <w:spacing w:after="0" w:line="232" w:lineRule="exact"/>
        <w:rPr>
          <w:rFonts w:ascii="Arial" w:cs="Arial" w:eastAsia="Arial" w:hAnsi="Arial"/>
          <w:sz w:val="17"/>
          <w:szCs w:val="17"/>
          <w:b w:val="1"/>
          <w:bCs w:val="1"/>
          <w:color w:val="auto"/>
        </w:rPr>
      </w:pPr>
    </w:p>
    <w:p>
      <w:pPr>
        <w:ind w:left="860" w:right="3580"/>
        <w:spacing w:after="0" w:line="489" w:lineRule="auto"/>
        <w:rPr>
          <w:rFonts w:ascii="Arial" w:cs="Arial" w:eastAsia="Arial" w:hAnsi="Arial"/>
          <w:sz w:val="17"/>
          <w:szCs w:val="17"/>
          <w:b w:val="1"/>
          <w:bCs w:val="1"/>
          <w:color w:val="auto"/>
        </w:rPr>
      </w:pPr>
      <w:r>
        <w:rPr>
          <w:rFonts w:ascii="Arial" w:cs="Arial" w:eastAsia="Arial" w:hAnsi="Arial"/>
          <w:sz w:val="17"/>
          <w:szCs w:val="17"/>
          <w:color w:val="auto"/>
        </w:rPr>
        <w:t>Address: Building 6, Chaolai Science and Technology Park, Laiguangying, Chaoyang District, Beijing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LIU Botong</w:t>
      </w:r>
    </w:p>
    <w:p>
      <w:pPr>
        <w:spacing w:after="0" w:line="19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B and Party B’s Subsidiaries</w:t>
      </w:r>
    </w:p>
    <w:p>
      <w:pPr>
        <w:spacing w:after="0" w:line="207" w:lineRule="exact"/>
        <w:rPr>
          <w:rFonts w:ascii="Arial" w:cs="Arial" w:eastAsia="Arial" w:hAnsi="Arial"/>
          <w:sz w:val="17"/>
          <w:szCs w:val="17"/>
          <w:b w:val="1"/>
          <w:bCs w:val="1"/>
          <w:color w:val="auto"/>
        </w:rPr>
      </w:pPr>
    </w:p>
    <w:p>
      <w:pPr>
        <w:ind w:left="860" w:right="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Address: Room 04, 3rd Floor, Building 3, Building 1, 2, 3, Contemporary China Venture Center, No. 20, Guannanyuan 1st Road, East Lake New Technology Development Zone, Wuhan (Wuhan Area, Free Trade Zone)</w:t>
      </w:r>
    </w:p>
    <w:p>
      <w:pPr>
        <w:spacing w:after="0" w:line="16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Tel.: [•]</w:t>
      </w:r>
    </w:p>
    <w:p>
      <w:pPr>
        <w:spacing w:after="0" w:line="203"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XIAO Bowen</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Term and Miscellaneous Provisions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Any written consents, suggestions and designations of Party A involved herein and any other decisions that have a substantial impact on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daily operation of Party B and Party B’s Subsidiaries shall be made by Party A’s board of directors and/or executive director.</w:t>
            </w:r>
          </w:p>
        </w:tc>
      </w:tr>
      <w:tr>
        <w:trPr>
          <w:trHeight w:val="797"/>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4</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388" w:name="page389"/>
    <w:bookmarkEnd w:id="388"/>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This Agreement is executed by the parties hereto and take effect as of the date first written above herein. Unless Party A cancels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Agreement in advance, the term of this Agreement shall be terminated upon dissolution of both of Party B and Party B’s Subsidiaries in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accordance with the laws of the PRC. Upon Party A’s request prior to the expiration of this Agreement, the Parties shall extend the term of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 at Party A’s request and shall sign a separate business operation agreement or continue to perform this Agreement according to</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Party A’s requirements.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Notwithstanding the above, the Parties acknowledge that, in case of any change of Party B’s shareholding structure or any increase or decrease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of shareholders and other circumstances, Party A, Party B, Party B’s Subsidiaries and all existing shareholders of Party B shall re-sign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Agreement, and this Agreement shall automatically be terminated and become invalid from the effective date of the business operation</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 re-signed by the foregoing Parties.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Within the term of this Agreement, Party B, Party B’s Subsidiaries and Party C shall not terminate this Agreement in advance. Party A shall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have the right to terminate this Agreement at any time by giving a written notice to Party B, Party B’s Subsidiaries and shareholders Thirty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(30) days in advance.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Parties hereby acknowledge that this Agreement shall be a fair and reasonable agreement reached by the Parties hereto on the basis of</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equality and mutual benefit. If any provisions of this Agreement are deemed to be illegal or unenforceable by any applicable law,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provisions shall be deemed to have been deleted from this Agreement and become invalid, provided that any other provisions of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Agreement shall remain in force, and this Agreement shall be deemed to have not contained such provisions from the beginning. The Parties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hereto shall mutually negotiate about the replacement of such provisions that are deemed to have been deleted with any legal and valid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provisions acceptable to the Parties.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8.6</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No failure by any Party to exercise its rights, powers or privileges under this Agreement shall be treated as a waiver of such rights, powers or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privileges by such Party. No single or partial exercise by any Party of its rights, powers or privileges under this Agreement shall exclude any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exercise by such Party of its other rights, powers or privileges under this Agreement.</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8.7</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8.8</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Party B, Party B’s Subsidiaries and Party C shall not transfer to any third party their rights and obligations under this Agreement unless they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obtain the prior written consent of Party A.</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duly authorized representative as of the date first above written.</w:t>
      </w:r>
    </w:p>
    <w:p>
      <w:pPr>
        <w:spacing w:after="0" w:line="215"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89" w:name="page390"/>
    <w:bookmarkEnd w:id="389"/>
    <w:p>
      <w:pPr>
        <w:jc w:val="right"/>
        <w:ind w:right="2159"/>
        <w:spacing w:after="0"/>
        <w:rPr>
          <w:sz w:val="20"/>
          <w:szCs w:val="20"/>
          <w:color w:val="auto"/>
        </w:rPr>
      </w:pPr>
      <w:r>
        <w:rPr>
          <w:rFonts w:ascii="Arial" w:cs="Arial" w:eastAsia="Arial" w:hAnsi="Arial"/>
          <w:sz w:val="17"/>
          <w:szCs w:val="17"/>
          <w:color w:val="auto"/>
        </w:rPr>
        <w:t>[This page is the signature page to the Business Operation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 /s/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-20955</wp:posOffset>
            </wp:positionV>
            <wp:extent cx="67500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675005" cy="762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XIAO Bowen</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6" w:right="1440" w:bottom="1440" w:gutter="0" w:footer="0" w:header="0"/>
        </w:sectPr>
      </w:pPr>
    </w:p>
    <w:bookmarkStart w:id="390" w:name="page391"/>
    <w:bookmarkEnd w:id="390"/>
    <w:p>
      <w:pPr>
        <w:jc w:val="right"/>
        <w:ind w:right="1099"/>
        <w:spacing w:after="0"/>
        <w:rPr>
          <w:sz w:val="20"/>
          <w:szCs w:val="20"/>
          <w:color w:val="auto"/>
        </w:rPr>
      </w:pPr>
      <w:r>
        <w:rPr>
          <w:rFonts w:ascii="Arial" w:cs="Arial" w:eastAsia="Arial" w:hAnsi="Arial"/>
          <w:sz w:val="17"/>
          <w:szCs w:val="17"/>
          <w:b w:val="1"/>
          <w:bCs w:val="1"/>
          <w:color w:val="auto"/>
        </w:rPr>
        <w:t>[This page is intentionally left blank as the signature page of the Business Operation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XIAO Bowen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XIAO Bowen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LI Zhifeng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Zhifeng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391" w:name="page392"/>
    <w:bookmarkEnd w:id="391"/>
    <w:p>
      <w:pPr>
        <w:jc w:val="center"/>
        <w:ind w:right="40"/>
        <w:spacing w:after="0"/>
        <w:rPr>
          <w:sz w:val="20"/>
          <w:szCs w:val="20"/>
          <w:color w:val="auto"/>
        </w:rPr>
      </w:pPr>
      <w:r>
        <w:rPr>
          <w:rFonts w:ascii="Arial" w:cs="Arial" w:eastAsia="Arial" w:hAnsi="Arial"/>
          <w:sz w:val="20"/>
          <w:szCs w:val="20"/>
          <w:b w:val="1"/>
          <w:bCs w:val="1"/>
          <w:color w:val="auto"/>
        </w:rPr>
        <w:t>Annex I Party B’s Shareholders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ID Card No.</w:t>
            </w:r>
          </w:p>
        </w:tc>
        <w:tc>
          <w:tcPr>
            <w:tcW w:w="2840" w:type="dxa"/>
            <w:vAlign w:val="bottom"/>
          </w:tcPr>
          <w:p>
            <w:pPr>
              <w:spacing w:after="0"/>
              <w:rPr>
                <w:sz w:val="20"/>
                <w:szCs w:val="20"/>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XIAO Bowen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LI Zhifeng</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695"/>
        </w:trPr>
        <w:tc>
          <w:tcPr>
            <w:tcW w:w="2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392" w:name="page393"/>
    <w:bookmarkEnd w:id="392"/>
    <w:p>
      <w:pPr>
        <w:jc w:val="center"/>
        <w:ind w:right="40"/>
        <w:spacing w:after="0"/>
        <w:rPr>
          <w:sz w:val="20"/>
          <w:szCs w:val="20"/>
          <w:color w:val="auto"/>
        </w:rPr>
      </w:pPr>
      <w:r>
        <w:rPr>
          <w:rFonts w:ascii="Arial" w:cs="Arial" w:eastAsia="Arial" w:hAnsi="Arial"/>
          <w:sz w:val="20"/>
          <w:szCs w:val="20"/>
          <w:b w:val="1"/>
          <w:bCs w:val="1"/>
          <w:color w:val="auto"/>
        </w:rPr>
        <w:t>Annex II Party B’s Shareholding Structure</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Amount of Contribution</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(CNY10000)</w:t>
            </w:r>
          </w:p>
        </w:tc>
        <w:tc>
          <w:tcPr>
            <w:tcW w:w="248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0" w:type="dxa"/>
            <w:vAlign w:val="bottom"/>
            <w:tcBorders>
              <w:left w:val="single" w:sz="8" w:color="auto"/>
              <w:right w:val="single" w:sz="8" w:color="auto"/>
            </w:tcBorders>
          </w:tcPr>
          <w:p>
            <w:pPr>
              <w:spacing w:after="0"/>
              <w:rPr>
                <w:sz w:val="8"/>
                <w:szCs w:val="8"/>
                <w:color w:val="auto"/>
              </w:rPr>
            </w:pPr>
          </w:p>
        </w:tc>
        <w:tc>
          <w:tcPr>
            <w:tcW w:w="572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XIAO Bowen</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190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LI Zhifeng</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Total</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200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393" w:name="page394"/>
    <w:bookmarkEnd w:id="393"/>
    <w:p>
      <w:pPr>
        <w:jc w:val="center"/>
        <w:spacing w:after="0"/>
        <w:rPr>
          <w:sz w:val="20"/>
          <w:szCs w:val="20"/>
          <w:color w:val="auto"/>
        </w:rPr>
      </w:pPr>
      <w:r>
        <w:rPr>
          <w:rFonts w:ascii="Arial" w:cs="Arial" w:eastAsia="Arial" w:hAnsi="Arial"/>
          <w:sz w:val="20"/>
          <w:szCs w:val="20"/>
          <w:b w:val="1"/>
          <w:bCs w:val="1"/>
          <w:color w:val="auto"/>
        </w:rPr>
        <w:t>Annex III Power of Attorney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Wuhan Hadeliang Online Education Technology Co., Ltd. (“</w:t>
      </w:r>
      <w:r>
        <w:rPr>
          <w:rFonts w:ascii="Arial" w:cs="Arial" w:eastAsia="Arial" w:hAnsi="Arial"/>
          <w:sz w:val="17"/>
          <w:szCs w:val="17"/>
          <w:b w:val="1"/>
          <w:bCs w:val="1"/>
          <w:color w:val="auto"/>
        </w:rPr>
        <w:t>Wuhan Hadeliang</w:t>
      </w:r>
      <w:r>
        <w:rPr>
          <w:rFonts w:ascii="Arial" w:cs="Arial" w:eastAsia="Arial" w:hAnsi="Arial"/>
          <w:sz w:val="17"/>
          <w:szCs w:val="17"/>
          <w:color w:val="auto"/>
        </w:rPr>
        <w:t xml:space="preserve"> ”) of any specific obligations required by them as the shareholders of Wuhan Hadeliang,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XIAO Bowen, LI Zhifeng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The Authorizers hereby irrevocably authorize to the maximum scope permitted by law Wuhan Studyvip Online Education Co., Limited ("</w:t>
      </w:r>
      <w:r>
        <w:rPr>
          <w:rFonts w:ascii="Arial" w:cs="Arial" w:eastAsia="Arial" w:hAnsi="Arial"/>
          <w:sz w:val="15"/>
          <w:szCs w:val="15"/>
          <w:b w:val="1"/>
          <w:bCs w:val="1"/>
          <w:color w:val="auto"/>
        </w:rPr>
        <w:t>WFOE</w:t>
      </w:r>
      <w:r>
        <w:rPr>
          <w:rFonts w:ascii="Arial" w:cs="Arial" w:eastAsia="Arial" w:hAnsi="Arial"/>
          <w:sz w:val="15"/>
          <w:szCs w:val="15"/>
          <w:color w:val="auto"/>
        </w:rPr>
        <w:t>") or its designated person or authorized representative (“</w:t>
      </w:r>
      <w:r>
        <w:rPr>
          <w:rFonts w:ascii="Arial" w:cs="Arial" w:eastAsia="Arial" w:hAnsi="Arial"/>
          <w:sz w:val="15"/>
          <w:szCs w:val="15"/>
          <w:b w:val="1"/>
          <w:bCs w:val="1"/>
          <w:color w:val="auto"/>
        </w:rPr>
        <w:t>Authorized Person</w:t>
      </w:r>
      <w:r>
        <w:rPr>
          <w:rFonts w:ascii="Arial" w:cs="Arial" w:eastAsia="Arial" w:hAnsi="Arial"/>
          <w:sz w:val="15"/>
          <w:szCs w:val="15"/>
          <w:color w:val="auto"/>
        </w:rPr>
        <w:t>”) to exercise all their shareholder rights corresponding to all voting shares (“</w:t>
      </w:r>
      <w:r>
        <w:rPr>
          <w:rFonts w:ascii="Arial" w:cs="Arial" w:eastAsia="Arial" w:hAnsi="Arial"/>
          <w:sz w:val="15"/>
          <w:szCs w:val="15"/>
          <w:b w:val="1"/>
          <w:bCs w:val="1"/>
          <w:color w:val="auto"/>
        </w:rPr>
        <w:t>Shares</w:t>
      </w:r>
      <w:r>
        <w:rPr>
          <w:rFonts w:ascii="Arial" w:cs="Arial" w:eastAsia="Arial" w:hAnsi="Arial"/>
          <w:sz w:val="15"/>
          <w:szCs w:val="15"/>
          <w:color w:val="auto"/>
        </w:rPr>
        <w:t>”) held by them in Wuhan Hadeliang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w:t>
      </w:r>
    </w:p>
    <w:p>
      <w:pPr>
        <w:ind w:right="40"/>
        <w:spacing w:after="0" w:line="246" w:lineRule="auto"/>
        <w:tabs>
          <w:tab w:leader="none" w:pos="236" w:val="left"/>
        </w:tabs>
        <w:numPr>
          <w:ilvl w:val="0"/>
          <w:numId w:val="427"/>
        </w:numPr>
        <w:rPr>
          <w:rFonts w:ascii="Arial" w:cs="Arial" w:eastAsia="Arial" w:hAnsi="Arial"/>
          <w:sz w:val="17"/>
          <w:szCs w:val="17"/>
          <w:color w:val="auto"/>
        </w:rPr>
      </w:pPr>
      <w:r>
        <w:rPr>
          <w:rFonts w:ascii="Arial" w:cs="Arial" w:eastAsia="Arial" w:hAnsi="Arial"/>
          <w:sz w:val="17"/>
          <w:szCs w:val="17"/>
          <w:color w:val="auto"/>
        </w:rPr>
        <w:t>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Wuhan Hadeliang at the meeting of shareholders of Wuhan Hadeliang.</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the WFOE.</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Unless the Business Operation Agreement signed by Wuhan Hadeliang ,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the [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94" w:name="page395"/>
    <w:bookmarkEnd w:id="394"/>
    <w:p>
      <w:pPr>
        <w:jc w:val="center"/>
        <w:ind w:right="40"/>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7"/>
                <w:szCs w:val="17"/>
                <w:b w:val="1"/>
                <w:bCs w:val="1"/>
                <w:color w:val="auto"/>
              </w:rPr>
              <w:t>Authorizers</w:t>
            </w:r>
          </w:p>
        </w:tc>
        <w:tc>
          <w:tcPr>
            <w:tcW w:w="334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386"/>
        </w:trPr>
        <w:tc>
          <w:tcPr>
            <w:tcW w:w="1000" w:type="dxa"/>
            <w:vAlign w:val="bottom"/>
          </w:tcPr>
          <w:p>
            <w:pPr>
              <w:spacing w:after="0"/>
              <w:rPr>
                <w:sz w:val="20"/>
                <w:szCs w:val="20"/>
                <w:color w:val="auto"/>
              </w:rPr>
            </w:pPr>
            <w:r>
              <w:rPr>
                <w:rFonts w:ascii="Arial" w:cs="Arial" w:eastAsia="Arial" w:hAnsi="Arial"/>
                <w:sz w:val="17"/>
                <w:szCs w:val="17"/>
                <w:color w:val="auto"/>
              </w:rPr>
              <w:t>XIAO Bowen</w:t>
            </w:r>
          </w:p>
        </w:tc>
        <w:tc>
          <w:tcPr>
            <w:tcW w:w="334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212"/>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3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XIAO Bowen</w:t>
            </w:r>
          </w:p>
        </w:tc>
        <w:tc>
          <w:tcPr>
            <w:tcW w:w="6940" w:type="dxa"/>
            <w:vAlign w:val="bottom"/>
          </w:tcPr>
          <w:p>
            <w:pPr>
              <w:spacing w:after="0"/>
              <w:rPr>
                <w:sz w:val="18"/>
                <w:szCs w:val="18"/>
                <w:color w:val="auto"/>
              </w:rPr>
            </w:pPr>
          </w:p>
        </w:tc>
      </w:tr>
      <w:tr>
        <w:trPr>
          <w:trHeight w:val="578"/>
        </w:trPr>
        <w:tc>
          <w:tcPr>
            <w:tcW w:w="1000" w:type="dxa"/>
            <w:vAlign w:val="bottom"/>
          </w:tcPr>
          <w:p>
            <w:pPr>
              <w:spacing w:after="0"/>
              <w:rPr>
                <w:sz w:val="20"/>
                <w:szCs w:val="20"/>
                <w:color w:val="auto"/>
              </w:rPr>
            </w:pPr>
            <w:r>
              <w:rPr>
                <w:rFonts w:ascii="Arial" w:cs="Arial" w:eastAsia="Arial" w:hAnsi="Arial"/>
                <w:sz w:val="17"/>
                <w:szCs w:val="17"/>
                <w:color w:val="auto"/>
              </w:rPr>
              <w:t>LI Zhifeng</w:t>
            </w:r>
          </w:p>
        </w:tc>
        <w:tc>
          <w:tcPr>
            <w:tcW w:w="334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212"/>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3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 Zhifeng</w:t>
            </w:r>
          </w:p>
        </w:tc>
        <w:tc>
          <w:tcPr>
            <w:tcW w:w="6940" w:type="dxa"/>
            <w:vAlign w:val="bottom"/>
          </w:tcPr>
          <w:p>
            <w:pPr>
              <w:spacing w:after="0"/>
              <w:rPr>
                <w:sz w:val="18"/>
                <w:szCs w:val="18"/>
                <w:color w:val="auto"/>
              </w:rPr>
            </w:pPr>
          </w:p>
        </w:tc>
      </w:tr>
      <w:tr>
        <w:trPr>
          <w:trHeight w:val="496"/>
        </w:trPr>
        <w:tc>
          <w:tcPr>
            <w:tcW w:w="10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395" w:name="page396"/>
    <w:bookmarkEnd w:id="395"/>
    <w:p>
      <w:pPr>
        <w:jc w:val="right"/>
        <w:ind w:right="2479"/>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Studyvip Online Education Co., Limited</w:t>
      </w:r>
    </w:p>
    <w:p>
      <w:pPr>
        <w:spacing w:after="0" w:line="20"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2540</wp:posOffset>
            </wp:positionV>
            <wp:extent cx="245999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6">
                      <a:extLst>
                        <a:ext uri="{28A0092B-C50C-407E-A947-70E740481C1C}"/>
                      </a:extLst>
                    </a:blip>
                    <a:srcRect/>
                    <a:stretch>
                      <a:fillRect/>
                    </a:stretch>
                  </pic:blipFill>
                  <pic:spPr bwMode="auto">
                    <a:xfrm>
                      <a:off x="0" y="0"/>
                      <a:ext cx="2459990"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LIU Tongbo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Position: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396" w:name="page397"/>
    <w:bookmarkEnd w:id="396"/>
    <w:p>
      <w:pPr>
        <w:jc w:val="center"/>
        <w:spacing w:after="0"/>
        <w:rPr>
          <w:sz w:val="20"/>
          <w:szCs w:val="20"/>
          <w:color w:val="auto"/>
        </w:rPr>
      </w:pPr>
      <w:r>
        <w:rPr>
          <w:rFonts w:ascii="Arial" w:cs="Arial" w:eastAsia="Arial" w:hAnsi="Arial"/>
          <w:sz w:val="20"/>
          <w:szCs w:val="20"/>
          <w:b w:val="1"/>
          <w:bCs w:val="1"/>
          <w:color w:val="auto"/>
        </w:rPr>
        <w:t>Annex IV Letter of Acceptance of Rights and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company , </w:t>
      </w:r>
      <w:r>
        <w:rPr>
          <w:rFonts w:ascii="Arial" w:cs="Arial" w:eastAsia="Arial" w:hAnsi="Arial"/>
          <w:sz w:val="15"/>
          <w:szCs w:val="15"/>
          <w:b w:val="1"/>
          <w:bCs w:val="1"/>
          <w:color w:val="auto"/>
        </w:rPr>
        <w:t>______, is a subsidiary of (hereinafter referred to as “______ ”) incorporated with on the____ day of_______ , and Wuhan Hadeliang holds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 of the shares/equity of _____% of the shares/equity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accordance with the Exclusive Technical Consultation and Service Agreement (hereinafter referred to as “Agreement”) entered into by ______ Co., Limited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 other parties on the ______ day of______ , our company as a newly added “Party B’s Subsidiary” under the Agreement shall join the Agreement pursuant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Section 3.3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114"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313" w:right="339" w:bottom="1440" w:gutter="0" w:footer="0" w:header="0"/>
        </w:sectPr>
      </w:pPr>
    </w:p>
    <w:bookmarkStart w:id="397" w:name="page398"/>
    <w:bookmarkEnd w:id="397"/>
    <w:p>
      <w:pPr>
        <w:jc w:val="right"/>
        <w:ind w:right="40"/>
        <w:spacing w:after="0"/>
        <w:rPr>
          <w:sz w:val="20"/>
          <w:szCs w:val="20"/>
          <w:color w:val="auto"/>
        </w:rPr>
      </w:pPr>
      <w:r>
        <w:rPr>
          <w:rFonts w:ascii="Arial" w:cs="Arial" w:eastAsia="Arial" w:hAnsi="Arial"/>
          <w:sz w:val="17"/>
          <w:szCs w:val="17"/>
          <w:b w:val="1"/>
          <w:bCs w:val="1"/>
          <w:color w:val="auto"/>
        </w:rPr>
        <w:t>Exhibit 4.48</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Equity Interest Pledge Agreement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This Equity Interest Pledge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22nd day of September, 2020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 (hereinafter referred to as the “</w:t>
      </w:r>
      <w:r>
        <w:rPr>
          <w:rFonts w:ascii="Arial" w:cs="Arial" w:eastAsia="Arial" w:hAnsi="Arial"/>
          <w:sz w:val="17"/>
          <w:szCs w:val="17"/>
          <w:b w:val="1"/>
          <w:bCs w:val="1"/>
          <w:color w:val="auto"/>
        </w:rPr>
        <w:t>Pledgors</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Wuhan Hadeliang Online Education Technology Co., Ltd.</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Registered Address: Room 03, 3rd Floor, Building 3, Building 1, 2, 3, Contemporary China Venture Center, No. 20, Guannanyuan 1st Road, East Lake New Technology Development Zone, Wuhan (Wuhan Area, Free Trade Zone)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XIAO Bowen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170" w:lineRule="exact"/>
        <w:rPr>
          <w:sz w:val="20"/>
          <w:szCs w:val="20"/>
          <w:color w:val="auto"/>
        </w:rPr>
      </w:pPr>
    </w:p>
    <w:p>
      <w:pPr>
        <w:ind w:left="420" w:hanging="420"/>
        <w:spacing w:after="0"/>
        <w:tabs>
          <w:tab w:leader="none" w:pos="42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165" w:lineRule="exact"/>
        <w:rPr>
          <w:rFonts w:ascii="Arial" w:cs="Arial" w:eastAsia="Arial" w:hAnsi="Arial"/>
          <w:sz w:val="17"/>
          <w:szCs w:val="17"/>
          <w:color w:val="auto"/>
        </w:rPr>
      </w:pPr>
    </w:p>
    <w:p>
      <w:pPr>
        <w:ind w:left="420" w:hanging="420"/>
        <w:spacing w:after="0"/>
        <w:tabs>
          <w:tab w:leader="none" w:pos="42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Party C is a limited liability company legally incorporated and existing under the law of the PRC.</w:t>
      </w:r>
    </w:p>
    <w:p>
      <w:pPr>
        <w:spacing w:after="0" w:line="165" w:lineRule="exact"/>
        <w:rPr>
          <w:rFonts w:ascii="Arial" w:cs="Arial" w:eastAsia="Arial" w:hAnsi="Arial"/>
          <w:sz w:val="17"/>
          <w:szCs w:val="17"/>
          <w:color w:val="auto"/>
        </w:rPr>
      </w:pPr>
    </w:p>
    <w:p>
      <w:pPr>
        <w:ind w:left="420" w:hanging="420"/>
        <w:spacing w:after="0"/>
        <w:tabs>
          <w:tab w:leader="none" w:pos="42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The Pledgors as a whole holds one hundred (100) percent of the equity of Party C, with the shareholding structure be listed in Annex II hereto.</w:t>
      </w:r>
    </w:p>
    <w:p>
      <w:pPr>
        <w:spacing w:after="0" w:line="165" w:lineRule="exact"/>
        <w:rPr>
          <w:rFonts w:ascii="Arial" w:cs="Arial" w:eastAsia="Arial" w:hAnsi="Arial"/>
          <w:sz w:val="17"/>
          <w:szCs w:val="17"/>
          <w:color w:val="auto"/>
        </w:rPr>
      </w:pPr>
    </w:p>
    <w:p>
      <w:pPr>
        <w:ind w:left="420" w:right="320" w:hanging="420"/>
        <w:spacing w:after="0" w:line="264" w:lineRule="auto"/>
        <w:tabs>
          <w:tab w:leader="none" w:pos="42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The Exclusive Technical Consultation and Service Agreement, the Business Operation Agreement and the Option Agreement were made as of the 22nd day of September, 2020 by and among the Pledgee, the Pledgors and Party C.</w:t>
      </w:r>
    </w:p>
    <w:p>
      <w:pPr>
        <w:spacing w:after="0" w:line="130" w:lineRule="exact"/>
        <w:rPr>
          <w:rFonts w:ascii="Arial" w:cs="Arial" w:eastAsia="Arial" w:hAnsi="Arial"/>
          <w:sz w:val="17"/>
          <w:szCs w:val="17"/>
          <w:color w:val="auto"/>
        </w:rPr>
      </w:pPr>
    </w:p>
    <w:p>
      <w:pPr>
        <w:ind w:left="420" w:right="200" w:hanging="420"/>
        <w:spacing w:after="0" w:line="254" w:lineRule="auto"/>
        <w:tabs>
          <w:tab w:leader="none" w:pos="42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For the purpose of guaranteeing the collection by the Pledgee from Party C the service costs under the Exclusive Technical Consultation and Service Agreement and guaranteeing the performance of Individual Agreements (defined below), the Pledgors jointly and severally use all of the equity they hold in Party C as the pledge security for such Agreement, and the Pledgee shall be Party A.</w:t>
      </w:r>
    </w:p>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39" w:lineRule="exact"/>
        <w:rPr>
          <w:sz w:val="20"/>
          <w:szCs w:val="20"/>
          <w:color w:val="auto"/>
        </w:rPr>
      </w:pPr>
    </w:p>
    <w:p>
      <w:pPr>
        <w:ind w:left="860" w:hanging="860"/>
        <w:spacing w:after="0"/>
        <w:tabs>
          <w:tab w:leader="none" w:pos="860"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shall be interpreted as defined below unless otherwise provided herein: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rPr>
              <w:t xml:space="preserve">Pledge Right </w:t>
            </w:r>
            <w:r>
              <w:rPr>
                <w:rFonts w:ascii="Arial" w:cs="Arial" w:eastAsia="Arial" w:hAnsi="Arial"/>
                <w:sz w:val="17"/>
                <w:szCs w:val="17"/>
                <w:color w:val="auto"/>
              </w:rPr>
              <w:t>shall refer to all the contents as described in Section 2 below.</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89"/>
              </w:rPr>
              <w:t xml:space="preserve">Equity </w:t>
            </w:r>
            <w:r>
              <w:rPr>
                <w:rFonts w:ascii="Arial" w:cs="Arial" w:eastAsia="Arial" w:hAnsi="Arial"/>
                <w:sz w:val="17"/>
                <w:szCs w:val="17"/>
                <w:color w:val="auto"/>
                <w:w w:val="89"/>
              </w:rPr>
              <w:t>shall refer to the one hundred (100) percent of the equity legally held by the Pledgors as a whole and any and all the current and future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rights and benefits arising out of the foregoing.</w:t>
            </w:r>
          </w:p>
        </w:tc>
      </w:tr>
      <w:tr>
        <w:trPr>
          <w:trHeight w:val="633"/>
        </w:trPr>
        <w:tc>
          <w:tcPr>
            <w:tcW w:w="1400" w:type="dxa"/>
            <w:vAlign w:val="bottom"/>
          </w:tcPr>
          <w:p>
            <w:pPr>
              <w:spacing w:after="0"/>
              <w:rPr>
                <w:sz w:val="24"/>
                <w:szCs w:val="24"/>
                <w:color w:val="auto"/>
              </w:rPr>
            </w:pPr>
          </w:p>
        </w:tc>
        <w:tc>
          <w:tcPr>
            <w:tcW w:w="9880" w:type="dxa"/>
            <w:vAlign w:val="bottom"/>
          </w:tcPr>
          <w:p>
            <w:pPr>
              <w:jc w:val="right"/>
              <w:ind w:right="5513"/>
              <w:spacing w:after="0"/>
              <w:rPr>
                <w:sz w:val="20"/>
                <w:szCs w:val="20"/>
                <w:color w:val="auto"/>
              </w:rPr>
            </w:pPr>
            <w:r>
              <w:rPr>
                <w:rFonts w:ascii="Arial" w:cs="Arial" w:eastAsia="Arial" w:hAnsi="Arial"/>
                <w:sz w:val="20"/>
                <w:szCs w:val="20"/>
                <w:color w:val="auto"/>
              </w:rPr>
              <w:t>1</w:t>
            </w:r>
          </w:p>
        </w:tc>
      </w:tr>
      <w:tr>
        <w:trPr>
          <w:trHeight w:val="94"/>
        </w:trPr>
        <w:tc>
          <w:tcPr>
            <w:tcW w:w="1400" w:type="dxa"/>
            <w:vAlign w:val="bottom"/>
            <w:tcBorders>
              <w:bottom w:val="single" w:sz="8" w:color="9A9A9A"/>
            </w:tcBorders>
          </w:tcPr>
          <w:p>
            <w:pPr>
              <w:spacing w:after="0"/>
              <w:rPr>
                <w:sz w:val="8"/>
                <w:szCs w:val="8"/>
                <w:color w:val="auto"/>
              </w:rPr>
            </w:pPr>
          </w:p>
        </w:tc>
        <w:tc>
          <w:tcPr>
            <w:tcW w:w="9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398" w:name="page399"/>
    <w:bookmarkEnd w:id="398"/>
    <w:tbl>
      <w:tblPr>
        <w:tblLayout w:type="fixed"/>
        <w:tblInd w:w="860" w:type="dxa"/>
        <w:tblCellMar>
          <w:top w:w="0" w:type="dxa"/>
          <w:left w:w="0" w:type="dxa"/>
          <w:bottom w:w="0" w:type="dxa"/>
          <w:right w:w="0" w:type="dxa"/>
        </w:tblCellMar>
      </w:tblPr>
      <w:tr>
        <w:trPr>
          <w:trHeight w:val="203"/>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620" w:type="dxa"/>
            <w:vAlign w:val="bottom"/>
          </w:tcPr>
          <w:p>
            <w:pPr>
              <w:ind w:left="320"/>
              <w:spacing w:after="0"/>
              <w:rPr>
                <w:sz w:val="20"/>
                <w:szCs w:val="20"/>
                <w:color w:val="auto"/>
              </w:rPr>
            </w:pPr>
            <w:r>
              <w:rPr>
                <w:rFonts w:ascii="Arial" w:cs="Arial" w:eastAsia="Arial" w:hAnsi="Arial"/>
                <w:sz w:val="17"/>
                <w:szCs w:val="17"/>
                <w:b w:val="1"/>
                <w:bCs w:val="1"/>
                <w:color w:val="auto"/>
                <w:w w:val="88"/>
              </w:rPr>
              <w:t xml:space="preserve">Individual Agreements </w:t>
            </w:r>
            <w:r>
              <w:rPr>
                <w:rFonts w:ascii="Arial" w:cs="Arial" w:eastAsia="Arial" w:hAnsi="Arial"/>
                <w:sz w:val="17"/>
                <w:szCs w:val="17"/>
                <w:color w:val="auto"/>
                <w:w w:val="88"/>
              </w:rPr>
              <w:t>shall refer to the Exclusive Technical Consultation and Service Agreement, the Business Operation Agreement and</w:t>
            </w:r>
          </w:p>
        </w:tc>
      </w:tr>
      <w:tr>
        <w:trPr>
          <w:trHeight w:val="212"/>
        </w:trPr>
        <w:tc>
          <w:tcPr>
            <w:tcW w:w="540" w:type="dxa"/>
            <w:vAlign w:val="bottom"/>
          </w:tcPr>
          <w:p>
            <w:pPr>
              <w:spacing w:after="0"/>
              <w:rPr>
                <w:sz w:val="18"/>
                <w:szCs w:val="18"/>
                <w:color w:val="auto"/>
              </w:rPr>
            </w:pPr>
          </w:p>
        </w:tc>
        <w:tc>
          <w:tcPr>
            <w:tcW w:w="9620" w:type="dxa"/>
            <w:vAlign w:val="bottom"/>
          </w:tcPr>
          <w:p>
            <w:pPr>
              <w:ind w:left="320"/>
              <w:spacing w:after="0"/>
              <w:rPr>
                <w:sz w:val="20"/>
                <w:szCs w:val="20"/>
                <w:color w:val="auto"/>
              </w:rPr>
            </w:pPr>
            <w:r>
              <w:rPr>
                <w:rFonts w:ascii="Arial" w:cs="Arial" w:eastAsia="Arial" w:hAnsi="Arial"/>
                <w:sz w:val="17"/>
                <w:szCs w:val="17"/>
                <w:color w:val="auto"/>
              </w:rPr>
              <w:t>the Option Agreement made as of the 22nd day of September, 2020 by and among the Pledgee, Party C and other parties.</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620" w:type="dxa"/>
            <w:vAlign w:val="bottom"/>
          </w:tcPr>
          <w:p>
            <w:pPr>
              <w:ind w:left="320"/>
              <w:spacing w:after="0"/>
              <w:rPr>
                <w:sz w:val="20"/>
                <w:szCs w:val="20"/>
                <w:color w:val="auto"/>
              </w:rPr>
            </w:pPr>
            <w:r>
              <w:rPr>
                <w:rFonts w:ascii="Arial" w:cs="Arial" w:eastAsia="Arial" w:hAnsi="Arial"/>
                <w:sz w:val="17"/>
                <w:szCs w:val="17"/>
                <w:b w:val="1"/>
                <w:bCs w:val="1"/>
                <w:color w:val="auto"/>
              </w:rPr>
              <w:t xml:space="preserve">A Default Event </w:t>
            </w:r>
            <w:r>
              <w:rPr>
                <w:rFonts w:ascii="Arial" w:cs="Arial" w:eastAsia="Arial" w:hAnsi="Arial"/>
                <w:sz w:val="17"/>
                <w:szCs w:val="17"/>
                <w:color w:val="auto"/>
              </w:rPr>
              <w:t>shall refer to any of the circumstances described in Section 7 below.</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620" w:type="dxa"/>
            <w:vAlign w:val="bottom"/>
          </w:tcPr>
          <w:p>
            <w:pPr>
              <w:ind w:left="320"/>
              <w:spacing w:after="0"/>
              <w:rPr>
                <w:sz w:val="20"/>
                <w:szCs w:val="20"/>
                <w:color w:val="auto"/>
              </w:rPr>
            </w:pPr>
            <w:r>
              <w:rPr>
                <w:rFonts w:ascii="Arial" w:cs="Arial" w:eastAsia="Arial" w:hAnsi="Arial"/>
                <w:sz w:val="17"/>
                <w:szCs w:val="17"/>
                <w:b w:val="1"/>
                <w:bCs w:val="1"/>
                <w:color w:val="auto"/>
              </w:rPr>
              <w:t xml:space="preserve">Default Notice </w:t>
            </w:r>
            <w:r>
              <w:rPr>
                <w:rFonts w:ascii="Arial" w:cs="Arial" w:eastAsia="Arial" w:hAnsi="Arial"/>
                <w:sz w:val="17"/>
                <w:szCs w:val="17"/>
                <w:color w:val="auto"/>
              </w:rPr>
              <w:t>shall refer to a notice declaring a Default Event which is issued by a Pledgor pursuant to this Agreement.</w:t>
            </w:r>
          </w:p>
        </w:tc>
      </w:tr>
    </w:tbl>
    <w:p>
      <w:pPr>
        <w:spacing w:after="0" w:line="170" w:lineRule="exact"/>
        <w:rPr>
          <w:sz w:val="20"/>
          <w:szCs w:val="20"/>
          <w:color w:val="auto"/>
        </w:rPr>
      </w:pPr>
    </w:p>
    <w:p>
      <w:pPr>
        <w:ind w:left="860" w:hanging="860"/>
        <w:spacing w:after="0"/>
        <w:tabs>
          <w:tab w:leader="none" w:pos="860" w:val="left"/>
        </w:tabs>
        <w:numPr>
          <w:ilvl w:val="0"/>
          <w:numId w:val="430"/>
        </w:numPr>
        <w:rPr>
          <w:rFonts w:ascii="Arial" w:cs="Arial" w:eastAsia="Arial" w:hAnsi="Arial"/>
          <w:sz w:val="17"/>
          <w:szCs w:val="17"/>
          <w:b w:val="1"/>
          <w:bCs w:val="1"/>
          <w:color w:val="auto"/>
        </w:rPr>
      </w:pPr>
      <w:r>
        <w:rPr>
          <w:rFonts w:ascii="Arial" w:cs="Arial" w:eastAsia="Arial" w:hAnsi="Arial"/>
          <w:sz w:val="17"/>
          <w:szCs w:val="17"/>
          <w:b w:val="1"/>
          <w:bCs w:val="1"/>
          <w:color w:val="auto"/>
        </w:rPr>
        <w:t>Pledge</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9760" w:type="dxa"/>
            <w:vAlign w:val="bottom"/>
          </w:tcPr>
          <w:p>
            <w:pPr>
              <w:ind w:left="320"/>
              <w:spacing w:after="0"/>
              <w:rPr>
                <w:sz w:val="20"/>
                <w:szCs w:val="20"/>
                <w:color w:val="auto"/>
              </w:rPr>
            </w:pPr>
            <w:r>
              <w:rPr>
                <w:rFonts w:ascii="Arial" w:cs="Arial" w:eastAsia="Arial" w:hAnsi="Arial"/>
                <w:sz w:val="17"/>
                <w:szCs w:val="17"/>
                <w:color w:val="auto"/>
                <w:w w:val="88"/>
              </w:rPr>
              <w:t>The Pledgors pledge to the Pledgee as the security of the Pledgee’s rights and benefits under the Individual Agreements all the Equity owned</w:t>
            </w:r>
          </w:p>
        </w:tc>
      </w:tr>
      <w:tr>
        <w:trPr>
          <w:trHeight w:val="212"/>
        </w:trPr>
        <w:tc>
          <w:tcPr>
            <w:tcW w:w="54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rPr>
              <w:t>by the Pledgors and the dividends which arise from the Equity during the effective term of this 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9760" w:type="dxa"/>
            <w:vAlign w:val="bottom"/>
          </w:tcPr>
          <w:p>
            <w:pPr>
              <w:ind w:left="320"/>
              <w:spacing w:after="0"/>
              <w:rPr>
                <w:sz w:val="20"/>
                <w:szCs w:val="20"/>
                <w:color w:val="auto"/>
              </w:rPr>
            </w:pPr>
            <w:r>
              <w:rPr>
                <w:rFonts w:ascii="Arial" w:cs="Arial" w:eastAsia="Arial" w:hAnsi="Arial"/>
                <w:sz w:val="17"/>
                <w:szCs w:val="17"/>
                <w:color w:val="auto"/>
                <w:w w:val="89"/>
              </w:rPr>
              <w:t>The scope guaranteed by the pledge of the Equity hereunder shall be all fees, costs and expenses (including legal costs) payable by Party C</w:t>
            </w:r>
          </w:p>
        </w:tc>
      </w:tr>
      <w:tr>
        <w:trPr>
          <w:trHeight w:val="199"/>
        </w:trPr>
        <w:tc>
          <w:tcPr>
            <w:tcW w:w="54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w w:val="87"/>
              </w:rPr>
              <w:t>and/or the Pledgors, and the losses, interest, liquidated damages, compensation, the costs for realizing the claims, and the liability that Party C</w:t>
            </w:r>
          </w:p>
        </w:tc>
      </w:tr>
      <w:tr>
        <w:trPr>
          <w:trHeight w:val="212"/>
        </w:trPr>
        <w:tc>
          <w:tcPr>
            <w:tcW w:w="54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rPr>
              <w:t>and/or the Pledgors shall bear in case of entire or partial invalidation of any of Individual Agreements for any reason.</w:t>
            </w:r>
          </w:p>
        </w:tc>
      </w:tr>
    </w:tbl>
    <w:p>
      <w:pPr>
        <w:spacing w:after="0" w:line="149" w:lineRule="exact"/>
        <w:rPr>
          <w:sz w:val="20"/>
          <w:szCs w:val="20"/>
          <w:color w:val="auto"/>
        </w:rPr>
      </w:pPr>
    </w:p>
    <w:p>
      <w:pPr>
        <w:jc w:val="both"/>
        <w:ind w:left="860" w:right="40"/>
        <w:spacing w:after="0" w:line="269" w:lineRule="auto"/>
        <w:rPr>
          <w:sz w:val="20"/>
          <w:szCs w:val="20"/>
          <w:color w:val="auto"/>
        </w:rPr>
      </w:pPr>
      <w:r>
        <w:rPr>
          <w:rFonts w:ascii="Arial" w:cs="Arial" w:eastAsia="Arial" w:hAnsi="Arial"/>
          <w:sz w:val="16"/>
          <w:szCs w:val="16"/>
          <w:color w:val="auto"/>
        </w:rPr>
        <w:t>In case the competent industrial and commercial administration expressly requires a definite amount of the guaranteed claims during the handling of the Equity pledge registration process, the parties hereto agree, for the sole purpose of handling the Equity pledge registration, to register as the amount of the claims under the Individual Agreements CNY 5,000,000 and any and all breach-of-contract liability and damages under the related agreements. The parties further acknowledge that for the purpose of handling the Equity pledge registration, the foregoing amount shall not diminish or limit any rights or interest that Party A has under the Individual Agreements and this Equity Pledge Agreement.</w:t>
      </w:r>
    </w:p>
    <w:p>
      <w:pPr>
        <w:spacing w:after="0" w:line="14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2.3</w:t>
            </w:r>
          </w:p>
        </w:tc>
        <w:tc>
          <w:tcPr>
            <w:tcW w:w="9700" w:type="dxa"/>
            <w:vAlign w:val="bottom"/>
          </w:tcPr>
          <w:p>
            <w:pPr>
              <w:ind w:left="320"/>
              <w:spacing w:after="0"/>
              <w:rPr>
                <w:sz w:val="20"/>
                <w:szCs w:val="20"/>
                <w:color w:val="auto"/>
              </w:rPr>
            </w:pPr>
            <w:r>
              <w:rPr>
                <w:rFonts w:ascii="Arial" w:cs="Arial" w:eastAsia="Arial" w:hAnsi="Arial"/>
                <w:sz w:val="17"/>
                <w:szCs w:val="17"/>
                <w:color w:val="auto"/>
                <w:w w:val="90"/>
              </w:rPr>
              <w:t>The Pledge Rights hereunder shall refer to the rights for the Pledgee to be paid from in priority the money gained from the conversion into</w:t>
            </w:r>
          </w:p>
        </w:tc>
      </w:tr>
      <w:tr>
        <w:trPr>
          <w:trHeight w:val="212"/>
        </w:trPr>
        <w:tc>
          <w:tcPr>
            <w:tcW w:w="54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rPr>
              <w:t>money, auction or sale of the Equity pledged by the Pledgors to the Pledgee.</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700" w:type="dxa"/>
            <w:vAlign w:val="bottom"/>
          </w:tcPr>
          <w:p>
            <w:pPr>
              <w:ind w:left="320"/>
              <w:spacing w:after="0"/>
              <w:rPr>
                <w:sz w:val="20"/>
                <w:szCs w:val="20"/>
                <w:color w:val="auto"/>
              </w:rPr>
            </w:pPr>
            <w:r>
              <w:rPr>
                <w:rFonts w:ascii="Arial" w:cs="Arial" w:eastAsia="Arial" w:hAnsi="Arial"/>
                <w:sz w:val="17"/>
                <w:szCs w:val="17"/>
                <w:color w:val="auto"/>
                <w:w w:val="88"/>
              </w:rPr>
              <w:t>After this Agreement takes effect, unless expressly agreed by the Pledgee in writing, the pledge hereunder may be relieved only after Party C</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88"/>
              </w:rPr>
              <w:t>and the Pledgors have properly and fully performed all of their obligations under the Individual Agreements and the performance thereof has</w:t>
            </w:r>
          </w:p>
        </w:tc>
      </w:tr>
      <w:tr>
        <w:trPr>
          <w:trHeight w:val="212"/>
        </w:trPr>
        <w:tc>
          <w:tcPr>
            <w:tcW w:w="54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rPr>
              <w:t>been recognized by the</w:t>
            </w:r>
          </w:p>
        </w:tc>
      </w:tr>
    </w:tbl>
    <w:p>
      <w:pPr>
        <w:spacing w:after="0" w:line="149" w:lineRule="exact"/>
        <w:rPr>
          <w:sz w:val="20"/>
          <w:szCs w:val="20"/>
          <w:color w:val="auto"/>
        </w:rPr>
      </w:pPr>
    </w:p>
    <w:p>
      <w:pPr>
        <w:jc w:val="both"/>
        <w:ind w:left="860" w:right="40"/>
        <w:spacing w:after="0" w:line="254" w:lineRule="auto"/>
        <w:rPr>
          <w:sz w:val="20"/>
          <w:szCs w:val="20"/>
          <w:color w:val="auto"/>
        </w:rPr>
      </w:pPr>
      <w:r>
        <w:rPr>
          <w:rFonts w:ascii="Arial" w:cs="Arial" w:eastAsia="Arial" w:hAnsi="Arial"/>
          <w:sz w:val="17"/>
          <w:szCs w:val="17"/>
          <w:color w:val="auto"/>
        </w:rPr>
        <w:t>Pledgee in writing. In case Party C or any of the Pledgors fails to fully perform any of its obligations under the Individual Agreements upon expiration of the period described thereunder, the Pledgors shall still has the Pledge Rights herein; and the pledge will be relieved until the foregoing obligations and liability have been fully performed to the Pledgee’s satisfaction.</w:t>
      </w:r>
    </w:p>
    <w:p>
      <w:pPr>
        <w:spacing w:after="0" w:line="135" w:lineRule="exact"/>
        <w:rPr>
          <w:sz w:val="20"/>
          <w:szCs w:val="20"/>
          <w:color w:val="auto"/>
        </w:rPr>
      </w:pPr>
    </w:p>
    <w:p>
      <w:pPr>
        <w:ind w:left="860" w:hanging="860"/>
        <w:spacing w:after="0"/>
        <w:tabs>
          <w:tab w:leader="none" w:pos="860" w:val="left"/>
        </w:tabs>
        <w:numPr>
          <w:ilvl w:val="0"/>
          <w:numId w:val="431"/>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3.1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This Agreement shall be formed and take effect as of the date of being signed and/or sealed by the parties hereto. The Pledge Rights hereunder</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shall be set up and take effect as of the date when the registration formalities regarding the Equity pledge have been completed at Party C’s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competent industrial and commercial administration.</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3.2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During the effective term of this Agreement, in case Party C fails to pay the service costs subject to the Exclusive Technical Consultation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Service Agreement or perform any other obligations thereunder, the Pledgee shall have the right to exercise the Pledge Rights hereunder after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issuing a reasonable notice.</w:t>
            </w:r>
          </w:p>
        </w:tc>
      </w:tr>
      <w:tr>
        <w:trPr>
          <w:trHeight w:val="633"/>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20"/>
                <w:szCs w:val="20"/>
                <w:color w:val="auto"/>
              </w:rPr>
              <w:t>2</w:t>
            </w:r>
          </w:p>
        </w:tc>
      </w:tr>
      <w:tr>
        <w:trPr>
          <w:trHeight w:val="94"/>
        </w:trPr>
        <w:tc>
          <w:tcPr>
            <w:tcW w:w="1400" w:type="dxa"/>
            <w:vAlign w:val="bottom"/>
            <w:tcBorders>
              <w:bottom w:val="single" w:sz="8" w:color="9A9A9A"/>
            </w:tcBorders>
          </w:tcPr>
          <w:p>
            <w:pPr>
              <w:spacing w:after="0"/>
              <w:rPr>
                <w:sz w:val="8"/>
                <w:szCs w:val="8"/>
                <w:color w:val="auto"/>
              </w:rPr>
            </w:pPr>
          </w:p>
        </w:tc>
        <w:tc>
          <w:tcPr>
            <w:tcW w:w="9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4" w:right="299" w:bottom="1440" w:gutter="0" w:footer="0" w:header="0"/>
        </w:sectPr>
      </w:pPr>
    </w:p>
    <w:bookmarkStart w:id="399" w:name="page400"/>
    <w:bookmarkEnd w:id="399"/>
    <w:p>
      <w:pPr>
        <w:ind w:left="860" w:hanging="860"/>
        <w:spacing w:after="0"/>
        <w:tabs>
          <w:tab w:leader="none" w:pos="860" w:val="left"/>
        </w:tabs>
        <w:numPr>
          <w:ilvl w:val="0"/>
          <w:numId w:val="432"/>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and Custody of the Pledge Rights Receipts; Registration of Pledge Rights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Pledgors shall, within Ten (10) business days after the execution of this Agreement or any other date mutually negotiated and fixed by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Parties hereto, deliver to the Pledgee the Equity Contribution Certificate (Original) for the pledge’s custody, submit to the Pledgee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certification that the pledge hereunder has been properly registered in Party C’s Shareholders’ Register, and handle any and all examinations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and approvals and registration and filing formalities (including but not limited to, handling the Equity pledge registration formalities at Party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6"/>
              </w:rPr>
              <w:t>C’s competent industrial and commercial administration subject to the laws of China) required by the laws and regulations of China.</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change of particulars and the registration needs to be legally changed accordingly, the Pledgee and the Pledgors shall, within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Five (5) business days as of the date of change of particulars, carry out the change of registration accordingly, submit the applicable change of</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registration documents and handle the applicable change registration formalities at Party C’s competent industrial and commercial</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administration.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During the Equity pledge period, the Pledgors shall instruct Party C not to distribute any dividend or bonus or approve any profit distribution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program; or in case the Pledgors shall obtain any economic interest of any nature from the pledged Equity other than dividend or bonus or any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other profit distribution program, the Pledgors shall remit, as required and instructed by the Pledgee, to the banking account specified by the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Pledgee the applicable (realized) amount, which shall not be used by the Pledgors without the Pledgee’s prior written consent.</w:t>
            </w:r>
          </w:p>
        </w:tc>
      </w:tr>
      <w:tr>
        <w:trPr>
          <w:trHeight w:val="345"/>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During the Equity pledge period, in case the any of the Pledgors subscribe for or purchase any of Party C’s new registered capital or any of</w:t>
            </w:r>
          </w:p>
        </w:tc>
      </w:tr>
      <w:tr>
        <w:trPr>
          <w:trHeight w:val="203"/>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Party C’s Equity held by any other Pledgor (the “</w:t>
            </w:r>
            <w:r>
              <w:rPr>
                <w:rFonts w:ascii="Arial" w:cs="Arial" w:eastAsia="Arial" w:hAnsi="Arial"/>
                <w:sz w:val="17"/>
                <w:szCs w:val="17"/>
                <w:b w:val="1"/>
                <w:bCs w:val="1"/>
                <w:color w:val="auto"/>
                <w:w w:val="95"/>
              </w:rPr>
              <w:t>New Equity</w:t>
            </w:r>
            <w:r>
              <w:rPr>
                <w:rFonts w:ascii="Arial" w:cs="Arial" w:eastAsia="Arial" w:hAnsi="Arial"/>
                <w:sz w:val="17"/>
                <w:szCs w:val="17"/>
                <w:color w:val="auto"/>
                <w:w w:val="95"/>
              </w:rPr>
              <w:t>”), the New Equity will then automatically form part of the pledged Equity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hereunder, and such Pledgor shall complete any and all formalities regarding the pledge of the New Equity within Ten (10) business days</w:t>
            </w:r>
          </w:p>
        </w:tc>
      </w:tr>
    </w:tbl>
    <w:p>
      <w:pPr>
        <w:ind w:left="1720" w:right="580"/>
        <w:spacing w:after="0" w:line="249" w:lineRule="auto"/>
        <w:rPr>
          <w:sz w:val="20"/>
          <w:szCs w:val="20"/>
          <w:color w:val="auto"/>
        </w:rPr>
      </w:pPr>
      <w:r>
        <w:rPr>
          <w:rFonts w:ascii="Arial" w:cs="Arial" w:eastAsia="Arial" w:hAnsi="Arial"/>
          <w:sz w:val="17"/>
          <w:szCs w:val="17"/>
          <w:color w:val="auto"/>
        </w:rPr>
        <w:t>following its acquisition of the New Equity. In case the Pledgor fails to complete the applicable formalities as required in the preceding sentence, the Pledgee may promptly have the Pledge Rights realized pursuant to Section 8 below.</w:t>
      </w:r>
    </w:p>
    <w:p>
      <w:pPr>
        <w:spacing w:after="0" w:line="138" w:lineRule="exact"/>
        <w:rPr>
          <w:sz w:val="20"/>
          <w:szCs w:val="20"/>
          <w:color w:val="auto"/>
        </w:rPr>
      </w:pPr>
    </w:p>
    <w:p>
      <w:pPr>
        <w:ind w:left="860" w:hanging="860"/>
        <w:spacing w:after="0"/>
        <w:tabs>
          <w:tab w:leader="none" w:pos="860" w:val="left"/>
        </w:tabs>
        <w:numPr>
          <w:ilvl w:val="0"/>
          <w:numId w:val="433"/>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Pledgors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Upon the execution of this Agreement, the Pledgors make to the Pledgee the following representations and warranties and confirm that this Agreement is signed and performed by the Pledgee by them in reliance of such representations and warranties: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9"/>
              </w:rPr>
              <w:t>The Pledgors lawfully hold the Equity hereunder and have the right to use such Equity to provide pledge security to the Pledgee.</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After this Agreement is executed, during the period when the Pledgee has the Pledge Rights subject to Section 2.4 above, when the Pledgee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exercises, at any time, its rights or has the Pledge Rights realized pursuant to this Agreement, there shall be no lawful claim or proper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intervention from or by any third party.</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5.3</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The Pledgee shall have the right to exercise the Pledge Rights as per the method described herein or otherwise permitted by the laws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regulations.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5.4</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The Pledgors have obtained all necessary corporate authorization to sign this Agreement and perform its obligations hereunder, which does not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violate any provisions of any applicable laws and regulations. The authorized representative signatories of this Agreement have obtained legal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effective authorization.</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5.5</w:t>
            </w: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There is no encumbrance or security interest of any nature for any third person (including but not limited to pledge) except for the pledge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hereunder in connection with the Equity held by the Pledgors.</w:t>
            </w:r>
          </w:p>
        </w:tc>
      </w:tr>
      <w:tr>
        <w:trPr>
          <w:trHeight w:val="620"/>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20"/>
                <w:szCs w:val="20"/>
                <w:color w:val="auto"/>
              </w:rPr>
              <w:t>3</w:t>
            </w:r>
          </w:p>
        </w:tc>
      </w:tr>
      <w:tr>
        <w:trPr>
          <w:trHeight w:val="94"/>
        </w:trPr>
        <w:tc>
          <w:tcPr>
            <w:tcW w:w="1400" w:type="dxa"/>
            <w:vAlign w:val="bottom"/>
            <w:tcBorders>
              <w:bottom w:val="single" w:sz="8" w:color="9A9A9A"/>
            </w:tcBorders>
          </w:tcPr>
          <w:p>
            <w:pPr>
              <w:spacing w:after="0"/>
              <w:rPr>
                <w:sz w:val="8"/>
                <w:szCs w:val="8"/>
                <w:color w:val="auto"/>
              </w:rPr>
            </w:pPr>
          </w:p>
        </w:tc>
        <w:tc>
          <w:tcPr>
            <w:tcW w:w="9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4" w:right="299" w:bottom="1440" w:gutter="0" w:footer="0" w:header="0"/>
        </w:sectPr>
      </w:pPr>
    </w:p>
    <w:bookmarkStart w:id="400" w:name="page401"/>
    <w:bookmarkEnd w:id="400"/>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5.6</w:t>
            </w:r>
          </w:p>
        </w:tc>
        <w:tc>
          <w:tcPr>
            <w:tcW w:w="9680" w:type="dxa"/>
            <w:vAlign w:val="bottom"/>
          </w:tcPr>
          <w:p>
            <w:pPr>
              <w:ind w:left="320"/>
              <w:spacing w:after="0"/>
              <w:rPr>
                <w:sz w:val="20"/>
                <w:szCs w:val="20"/>
                <w:color w:val="auto"/>
              </w:rPr>
            </w:pPr>
            <w:r>
              <w:rPr>
                <w:rFonts w:ascii="Arial" w:cs="Arial" w:eastAsia="Arial" w:hAnsi="Arial"/>
                <w:sz w:val="17"/>
                <w:szCs w:val="17"/>
                <w:color w:val="auto"/>
                <w:w w:val="89"/>
              </w:rPr>
              <w:t>There are no pending or threatened civil, administrative or criminal proceedings, administrative punishment or arbitration in connection with</w:t>
            </w:r>
          </w:p>
        </w:tc>
      </w:tr>
      <w:tr>
        <w:trPr>
          <w:trHeight w:val="212"/>
        </w:trPr>
        <w:tc>
          <w:tcPr>
            <w:tcW w:w="540" w:type="dxa"/>
            <w:vAlign w:val="bottom"/>
          </w:tcPr>
          <w:p>
            <w:pPr>
              <w:spacing w:after="0"/>
              <w:rPr>
                <w:sz w:val="18"/>
                <w:szCs w:val="18"/>
                <w:color w:val="auto"/>
              </w:rPr>
            </w:pPr>
          </w:p>
        </w:tc>
        <w:tc>
          <w:tcPr>
            <w:tcW w:w="9680" w:type="dxa"/>
            <w:vAlign w:val="bottom"/>
          </w:tcPr>
          <w:p>
            <w:pPr>
              <w:ind w:left="320"/>
              <w:spacing w:after="0"/>
              <w:rPr>
                <w:sz w:val="20"/>
                <w:szCs w:val="20"/>
                <w:color w:val="auto"/>
              </w:rPr>
            </w:pPr>
            <w:r>
              <w:rPr>
                <w:rFonts w:ascii="Arial" w:cs="Arial" w:eastAsia="Arial" w:hAnsi="Arial"/>
                <w:sz w:val="17"/>
                <w:szCs w:val="17"/>
                <w:color w:val="auto"/>
              </w:rPr>
              <w:t>the Equity.</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5.7</w:t>
            </w:r>
          </w:p>
        </w:tc>
        <w:tc>
          <w:tcPr>
            <w:tcW w:w="9680" w:type="dxa"/>
            <w:vAlign w:val="bottom"/>
          </w:tcPr>
          <w:p>
            <w:pPr>
              <w:ind w:left="320"/>
              <w:spacing w:after="0"/>
              <w:rPr>
                <w:sz w:val="20"/>
                <w:szCs w:val="20"/>
                <w:color w:val="auto"/>
              </w:rPr>
            </w:pPr>
            <w:r>
              <w:rPr>
                <w:rFonts w:ascii="Arial" w:cs="Arial" w:eastAsia="Arial" w:hAnsi="Arial"/>
                <w:sz w:val="17"/>
                <w:szCs w:val="17"/>
                <w:color w:val="auto"/>
                <w:w w:val="89"/>
              </w:rPr>
              <w:t>There are no tax or fee due but unpaid, or legal procedures or formalities that should have been completed but have not been completed, in</w:t>
            </w:r>
          </w:p>
        </w:tc>
      </w:tr>
      <w:tr>
        <w:trPr>
          <w:trHeight w:val="212"/>
        </w:trPr>
        <w:tc>
          <w:tcPr>
            <w:tcW w:w="540" w:type="dxa"/>
            <w:vAlign w:val="bottom"/>
          </w:tcPr>
          <w:p>
            <w:pPr>
              <w:spacing w:after="0"/>
              <w:rPr>
                <w:sz w:val="18"/>
                <w:szCs w:val="18"/>
                <w:color w:val="auto"/>
              </w:rPr>
            </w:pPr>
          </w:p>
        </w:tc>
        <w:tc>
          <w:tcPr>
            <w:tcW w:w="9680" w:type="dxa"/>
            <w:vAlign w:val="bottom"/>
          </w:tcPr>
          <w:p>
            <w:pPr>
              <w:ind w:left="320"/>
              <w:spacing w:after="0"/>
              <w:rPr>
                <w:sz w:val="20"/>
                <w:szCs w:val="20"/>
                <w:color w:val="auto"/>
              </w:rPr>
            </w:pPr>
            <w:r>
              <w:rPr>
                <w:rFonts w:ascii="Arial" w:cs="Arial" w:eastAsia="Arial" w:hAnsi="Arial"/>
                <w:sz w:val="17"/>
                <w:szCs w:val="17"/>
                <w:color w:val="auto"/>
              </w:rPr>
              <w:t>connection with the Equity.</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5.8</w:t>
            </w:r>
          </w:p>
        </w:tc>
        <w:tc>
          <w:tcPr>
            <w:tcW w:w="9680" w:type="dxa"/>
            <w:vAlign w:val="bottom"/>
          </w:tcPr>
          <w:p>
            <w:pPr>
              <w:ind w:left="320"/>
              <w:spacing w:after="0"/>
              <w:rPr>
                <w:sz w:val="20"/>
                <w:szCs w:val="20"/>
                <w:color w:val="auto"/>
              </w:rPr>
            </w:pPr>
            <w:r>
              <w:rPr>
                <w:rFonts w:ascii="Arial" w:cs="Arial" w:eastAsia="Arial" w:hAnsi="Arial"/>
                <w:sz w:val="17"/>
                <w:szCs w:val="17"/>
                <w:color w:val="auto"/>
              </w:rPr>
              <w:t>Any and all provisions hereof are the expression of the Pledgors’ true intention and are binding upon the Pledgors.</w:t>
            </w:r>
          </w:p>
        </w:tc>
      </w:tr>
    </w:tbl>
    <w:p>
      <w:pPr>
        <w:spacing w:after="0" w:line="170" w:lineRule="exact"/>
        <w:rPr>
          <w:sz w:val="20"/>
          <w:szCs w:val="20"/>
          <w:color w:val="auto"/>
        </w:rPr>
      </w:pPr>
    </w:p>
    <w:p>
      <w:pPr>
        <w:ind w:left="860" w:hanging="860"/>
        <w:spacing w:after="0"/>
        <w:tabs>
          <w:tab w:leader="none" w:pos="860" w:val="left"/>
        </w:tabs>
        <w:numPr>
          <w:ilvl w:val="0"/>
          <w:numId w:val="434"/>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 of the Pledgors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rPr>
              <w:t>During the effective term of this Agreement, the Pledgors undertake to the Pledgee that the Pledgors:</w:t>
            </w:r>
          </w:p>
        </w:tc>
      </w:tr>
      <w:tr>
        <w:trPr>
          <w:trHeight w:val="374"/>
        </w:trPr>
        <w:tc>
          <w:tcPr>
            <w:tcW w:w="54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6.1.1</w:t>
            </w:r>
          </w:p>
        </w:tc>
        <w:tc>
          <w:tcPr>
            <w:tcW w:w="8920" w:type="dxa"/>
            <w:vAlign w:val="bottom"/>
          </w:tcPr>
          <w:p>
            <w:pPr>
              <w:ind w:left="260"/>
              <w:spacing w:after="0"/>
              <w:rPr>
                <w:sz w:val="20"/>
                <w:szCs w:val="20"/>
                <w:color w:val="auto"/>
              </w:rPr>
            </w:pPr>
            <w:r>
              <w:rPr>
                <w:rFonts w:ascii="Arial" w:cs="Arial" w:eastAsia="Arial" w:hAnsi="Arial"/>
                <w:sz w:val="17"/>
                <w:szCs w:val="17"/>
                <w:color w:val="auto"/>
                <w:w w:val="88"/>
              </w:rPr>
              <w:t>Except for the transfer of the Equity to the Pledgee or any other person specified by the Pledgee as required by the Pledgee, prior</w:t>
            </w:r>
          </w:p>
        </w:tc>
      </w:tr>
      <w:tr>
        <w:trPr>
          <w:trHeight w:val="199"/>
        </w:trPr>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20" w:type="dxa"/>
            <w:vAlign w:val="bottom"/>
          </w:tcPr>
          <w:p>
            <w:pPr>
              <w:ind w:left="260"/>
              <w:spacing w:after="0"/>
              <w:rPr>
                <w:sz w:val="20"/>
                <w:szCs w:val="20"/>
                <w:color w:val="auto"/>
              </w:rPr>
            </w:pPr>
            <w:r>
              <w:rPr>
                <w:rFonts w:ascii="Arial" w:cs="Arial" w:eastAsia="Arial" w:hAnsi="Arial"/>
                <w:sz w:val="17"/>
                <w:szCs w:val="17"/>
                <w:color w:val="auto"/>
                <w:w w:val="90"/>
              </w:rPr>
              <w:t>to the full performance of their obligations thereunder, without the Pledgee’s prior written consent, will not transfer the Equity or</w:t>
            </w:r>
          </w:p>
        </w:tc>
      </w:tr>
      <w:tr>
        <w:trPr>
          <w:trHeight w:val="199"/>
        </w:trPr>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20" w:type="dxa"/>
            <w:vAlign w:val="bottom"/>
          </w:tcPr>
          <w:p>
            <w:pPr>
              <w:ind w:left="260"/>
              <w:spacing w:after="0"/>
              <w:rPr>
                <w:sz w:val="20"/>
                <w:szCs w:val="20"/>
                <w:color w:val="auto"/>
              </w:rPr>
            </w:pPr>
            <w:r>
              <w:rPr>
                <w:rFonts w:ascii="Arial" w:cs="Arial" w:eastAsia="Arial" w:hAnsi="Arial"/>
                <w:sz w:val="17"/>
                <w:szCs w:val="17"/>
                <w:color w:val="auto"/>
                <w:w w:val="88"/>
              </w:rPr>
              <w:t>create, or permit, any pledge or any other encumbrance that may affect the Pledgee’s rights or interest or any third-person security</w:t>
            </w:r>
          </w:p>
        </w:tc>
      </w:tr>
      <w:tr>
        <w:trPr>
          <w:trHeight w:val="199"/>
        </w:trPr>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20" w:type="dxa"/>
            <w:vAlign w:val="bottom"/>
          </w:tcPr>
          <w:p>
            <w:pPr>
              <w:ind w:left="260"/>
              <w:spacing w:after="0"/>
              <w:rPr>
                <w:sz w:val="20"/>
                <w:szCs w:val="20"/>
                <w:color w:val="auto"/>
              </w:rPr>
            </w:pPr>
            <w:r>
              <w:rPr>
                <w:rFonts w:ascii="Arial" w:cs="Arial" w:eastAsia="Arial" w:hAnsi="Arial"/>
                <w:sz w:val="17"/>
                <w:szCs w:val="17"/>
                <w:color w:val="auto"/>
                <w:w w:val="90"/>
              </w:rPr>
              <w:t>interest of any form. Without the Pledgee’s prior written consent, the Pledgors shall not take any action which will or may result</w:t>
            </w:r>
          </w:p>
        </w:tc>
      </w:tr>
      <w:tr>
        <w:trPr>
          <w:trHeight w:val="199"/>
        </w:trPr>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20" w:type="dxa"/>
            <w:vAlign w:val="bottom"/>
          </w:tcPr>
          <w:p>
            <w:pPr>
              <w:ind w:left="260"/>
              <w:spacing w:after="0"/>
              <w:rPr>
                <w:sz w:val="20"/>
                <w:szCs w:val="20"/>
                <w:color w:val="auto"/>
              </w:rPr>
            </w:pPr>
            <w:r>
              <w:rPr>
                <w:rFonts w:ascii="Arial" w:cs="Arial" w:eastAsia="Arial" w:hAnsi="Arial"/>
                <w:sz w:val="17"/>
                <w:szCs w:val="17"/>
                <w:color w:val="auto"/>
                <w:w w:val="91"/>
              </w:rPr>
              <w:t>in change to the Equity or any rights incidental to the Equity, which will or may then result in substantially adverse effects upon</w:t>
            </w:r>
          </w:p>
        </w:tc>
      </w:tr>
      <w:tr>
        <w:trPr>
          <w:trHeight w:val="212"/>
        </w:trPr>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20" w:type="dxa"/>
            <w:vAlign w:val="bottom"/>
          </w:tcPr>
          <w:p>
            <w:pPr>
              <w:ind w:left="260"/>
              <w:spacing w:after="0"/>
              <w:rPr>
                <w:sz w:val="20"/>
                <w:szCs w:val="20"/>
                <w:color w:val="auto"/>
              </w:rPr>
            </w:pPr>
            <w:r>
              <w:rPr>
                <w:rFonts w:ascii="Arial" w:cs="Arial" w:eastAsia="Arial" w:hAnsi="Arial"/>
                <w:sz w:val="17"/>
                <w:szCs w:val="17"/>
                <w:color w:val="auto"/>
              </w:rPr>
              <w:t>the Pledgee’s rights.</w:t>
            </w:r>
          </w:p>
        </w:tc>
      </w:tr>
      <w:tr>
        <w:trPr>
          <w:trHeight w:val="349"/>
        </w:trPr>
        <w:tc>
          <w:tcPr>
            <w:tcW w:w="54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6.1.2</w:t>
            </w:r>
          </w:p>
        </w:tc>
        <w:tc>
          <w:tcPr>
            <w:tcW w:w="8920" w:type="dxa"/>
            <w:vAlign w:val="bottom"/>
          </w:tcPr>
          <w:p>
            <w:pPr>
              <w:ind w:left="260"/>
              <w:spacing w:after="0"/>
              <w:rPr>
                <w:sz w:val="20"/>
                <w:szCs w:val="20"/>
                <w:color w:val="auto"/>
              </w:rPr>
            </w:pPr>
            <w:r>
              <w:rPr>
                <w:rFonts w:ascii="Arial" w:cs="Arial" w:eastAsia="Arial" w:hAnsi="Arial"/>
                <w:sz w:val="17"/>
                <w:szCs w:val="17"/>
                <w:color w:val="auto"/>
                <w:w w:val="90"/>
              </w:rPr>
              <w:t>Comply with and implement the provisions of all applicable laws and regulations, and within Five (5) business days upon receipt</w:t>
            </w:r>
          </w:p>
        </w:tc>
      </w:tr>
      <w:tr>
        <w:trPr>
          <w:trHeight w:val="199"/>
        </w:trPr>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20" w:type="dxa"/>
            <w:vAlign w:val="bottom"/>
          </w:tcPr>
          <w:p>
            <w:pPr>
              <w:ind w:left="260"/>
              <w:spacing w:after="0"/>
              <w:rPr>
                <w:sz w:val="20"/>
                <w:szCs w:val="20"/>
                <w:color w:val="auto"/>
              </w:rPr>
            </w:pPr>
            <w:r>
              <w:rPr>
                <w:rFonts w:ascii="Arial" w:cs="Arial" w:eastAsia="Arial" w:hAnsi="Arial"/>
                <w:sz w:val="17"/>
                <w:szCs w:val="17"/>
                <w:color w:val="auto"/>
                <w:w w:val="90"/>
              </w:rPr>
              <w:t>of any notice, order or suggestion issued or prepared by the relevant competent authority in connection with the Pledge Rights,</w:t>
            </w:r>
          </w:p>
        </w:tc>
      </w:tr>
      <w:tr>
        <w:trPr>
          <w:trHeight w:val="212"/>
        </w:trPr>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20" w:type="dxa"/>
            <w:vAlign w:val="bottom"/>
          </w:tcPr>
          <w:p>
            <w:pPr>
              <w:ind w:left="260"/>
              <w:spacing w:after="0"/>
              <w:rPr>
                <w:sz w:val="20"/>
                <w:szCs w:val="20"/>
                <w:color w:val="auto"/>
              </w:rPr>
            </w:pPr>
            <w:r>
              <w:rPr>
                <w:rFonts w:ascii="Arial" w:cs="Arial" w:eastAsia="Arial" w:hAnsi="Arial"/>
                <w:sz w:val="17"/>
                <w:szCs w:val="17"/>
                <w:color w:val="auto"/>
              </w:rPr>
              <w:t>produce to the Pledgee such notice, order or suggestion and take action as reasonably instructed by the Pledgee.</w:t>
            </w:r>
          </w:p>
        </w:tc>
      </w:tr>
      <w:tr>
        <w:trPr>
          <w:trHeight w:val="349"/>
        </w:trPr>
        <w:tc>
          <w:tcPr>
            <w:tcW w:w="54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6.1.3</w:t>
            </w:r>
          </w:p>
        </w:tc>
        <w:tc>
          <w:tcPr>
            <w:tcW w:w="8920" w:type="dxa"/>
            <w:vAlign w:val="bottom"/>
          </w:tcPr>
          <w:p>
            <w:pPr>
              <w:ind w:left="260"/>
              <w:spacing w:after="0"/>
              <w:rPr>
                <w:sz w:val="20"/>
                <w:szCs w:val="20"/>
                <w:color w:val="auto"/>
              </w:rPr>
            </w:pPr>
            <w:r>
              <w:rPr>
                <w:rFonts w:ascii="Arial" w:cs="Arial" w:eastAsia="Arial" w:hAnsi="Arial"/>
                <w:sz w:val="17"/>
                <w:szCs w:val="17"/>
                <w:color w:val="auto"/>
                <w:w w:val="88"/>
              </w:rPr>
              <w:t>Timely notify the Pledgee any event or notice received that may affect the Pledgors’ Equity or other rights hereunder, any event or</w:t>
            </w:r>
          </w:p>
        </w:tc>
      </w:tr>
      <w:tr>
        <w:trPr>
          <w:trHeight w:val="199"/>
        </w:trPr>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20" w:type="dxa"/>
            <w:vAlign w:val="bottom"/>
          </w:tcPr>
          <w:p>
            <w:pPr>
              <w:ind w:left="260"/>
              <w:spacing w:after="0"/>
              <w:rPr>
                <w:sz w:val="20"/>
                <w:szCs w:val="20"/>
                <w:color w:val="auto"/>
              </w:rPr>
            </w:pPr>
            <w:r>
              <w:rPr>
                <w:rFonts w:ascii="Arial" w:cs="Arial" w:eastAsia="Arial" w:hAnsi="Arial"/>
                <w:sz w:val="17"/>
                <w:szCs w:val="17"/>
                <w:color w:val="auto"/>
                <w:w w:val="92"/>
              </w:rPr>
              <w:t>notice received that may affect any of the Pledgors’ obligations hereunder or affect the Pledgors’ performance of any of their</w:t>
            </w:r>
          </w:p>
        </w:tc>
      </w:tr>
      <w:tr>
        <w:trPr>
          <w:trHeight w:val="212"/>
        </w:trPr>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20" w:type="dxa"/>
            <w:vAlign w:val="bottom"/>
          </w:tcPr>
          <w:p>
            <w:pPr>
              <w:ind w:left="260"/>
              <w:spacing w:after="0"/>
              <w:rPr>
                <w:sz w:val="20"/>
                <w:szCs w:val="20"/>
                <w:color w:val="auto"/>
              </w:rPr>
            </w:pPr>
            <w:r>
              <w:rPr>
                <w:rFonts w:ascii="Arial" w:cs="Arial" w:eastAsia="Arial" w:hAnsi="Arial"/>
                <w:sz w:val="17"/>
                <w:szCs w:val="17"/>
                <w:color w:val="auto"/>
              </w:rPr>
              <w:t>obligations hereunder, and take action as reasonably instructed by the Pledgee.</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agree that they will procure that the exercise by the Pledgee of any of its rights pursuant to the provisions of this Agreement will</w:t>
            </w:r>
          </w:p>
        </w:tc>
      </w:tr>
      <w:tr>
        <w:trPr>
          <w:trHeight w:val="212"/>
        </w:trPr>
        <w:tc>
          <w:tcPr>
            <w:tcW w:w="54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rPr>
              <w:t>not be interrupted or prevented by the Pledgors or their successors or assignees or any other persons.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6.3</w:t>
            </w: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90"/>
              </w:rPr>
              <w:t>The Pledgors warrant to the Pledgee that for the purpose of protecting or perfecting the security of the Pledgors and/or Party C’s obligations</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94"/>
              </w:rPr>
              <w:t>under the Individual Agreements, the Pledgors will make all necessary amendments to Party C’s Articles of Association (if applicable),</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9"/>
              </w:rPr>
              <w:t>honestly sign, and procure any other persons who has interest in Pledge Rights to sign all title or right certificates and deeds as requested by</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92"/>
              </w:rPr>
              <w:t>the Pledgee, and/or perform, and procure any other persons who has interest therein to perform, the acts as reasonably requested by the</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7"/>
              </w:rPr>
              <w:t>Pledgee, facilitate the exercise by the Pledgee of the Pledge Rights, sign all documents related to the Equity certificate change with the Pledgee</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91"/>
              </w:rPr>
              <w:t>or any third party appointed by the Pledgee, and provide to the Pledgee within a reasonable period all the documents related to the Pledge</w:t>
            </w:r>
          </w:p>
        </w:tc>
      </w:tr>
      <w:tr>
        <w:trPr>
          <w:trHeight w:val="212"/>
        </w:trPr>
        <w:tc>
          <w:tcPr>
            <w:tcW w:w="54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rPr>
              <w:t>Rights as needed by the Pledgee.</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6.4</w:t>
            </w: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warrant to the Pledgee that for the protection of the Pledgee’s interest, the Pledgors will comply with and perform all warranties,</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9"/>
              </w:rPr>
              <w:t>undertaking, covenants and representations. In case the Pledgors fail to perform, or partially perform, their warranties, undertaking, covenants</w:t>
            </w:r>
          </w:p>
        </w:tc>
      </w:tr>
      <w:tr>
        <w:trPr>
          <w:trHeight w:val="212"/>
        </w:trPr>
        <w:tc>
          <w:tcPr>
            <w:tcW w:w="54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97"/>
              </w:rPr>
              <w:t>or representations, the Pledgors shall indemnify all the loss suffered by the Pledgee arising out thereof or in connection therewith.</w:t>
            </w:r>
          </w:p>
        </w:tc>
      </w:tr>
    </w:tbl>
    <w:p>
      <w:pPr>
        <w:spacing w:after="0" w:line="145" w:lineRule="exact"/>
        <w:rPr>
          <w:sz w:val="20"/>
          <w:szCs w:val="20"/>
          <w:color w:val="auto"/>
        </w:rPr>
      </w:pPr>
    </w:p>
    <w:p>
      <w:pPr>
        <w:ind w:left="860" w:hanging="860"/>
        <w:spacing w:after="0"/>
        <w:tabs>
          <w:tab w:leader="none" w:pos="860" w:val="left"/>
        </w:tabs>
        <w:numPr>
          <w:ilvl w:val="0"/>
          <w:numId w:val="435"/>
        </w:numPr>
        <w:rPr>
          <w:rFonts w:ascii="Arial" w:cs="Arial" w:eastAsia="Arial" w:hAnsi="Arial"/>
          <w:sz w:val="17"/>
          <w:szCs w:val="17"/>
          <w:b w:val="1"/>
          <w:bCs w:val="1"/>
          <w:color w:val="auto"/>
        </w:rPr>
      </w:pPr>
      <w:r>
        <w:rPr>
          <w:rFonts w:ascii="Arial" w:cs="Arial" w:eastAsia="Arial" w:hAnsi="Arial"/>
          <w:sz w:val="17"/>
          <w:szCs w:val="17"/>
          <w:b w:val="1"/>
          <w:bCs w:val="1"/>
          <w:color w:val="auto"/>
        </w:rPr>
        <w:t>Default Event</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Any of the following events will be deemed to be a Default Event: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84390" cy="412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401" w:name="page402"/>
    <w:bookmarkEnd w:id="401"/>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w:t>
            </w:r>
          </w:p>
        </w:tc>
        <w:tc>
          <w:tcPr>
            <w:tcW w:w="8880" w:type="dxa"/>
            <w:vAlign w:val="bottom"/>
          </w:tcPr>
          <w:p>
            <w:pPr>
              <w:ind w:left="220"/>
              <w:spacing w:after="0"/>
              <w:rPr>
                <w:sz w:val="20"/>
                <w:szCs w:val="20"/>
                <w:color w:val="auto"/>
              </w:rPr>
            </w:pPr>
            <w:r>
              <w:rPr>
                <w:rFonts w:ascii="Arial" w:cs="Arial" w:eastAsia="Arial" w:hAnsi="Arial"/>
                <w:sz w:val="17"/>
                <w:szCs w:val="17"/>
                <w:color w:val="auto"/>
                <w:w w:val="88"/>
              </w:rPr>
              <w:t>Party C or any of its successors or assignees fails to fully pay on schedule any amounts payable under the Individual Agreements,</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w w:val="95"/>
              </w:rPr>
              <w:t>or the Pledgors or their successors or assignees fail to perform any of their obligations under the Individual Agreements.</w:t>
            </w:r>
          </w:p>
        </w:tc>
      </w:tr>
      <w:tr>
        <w:trPr>
          <w:trHeight w:val="349"/>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7.1.2</w:t>
            </w:r>
          </w:p>
        </w:tc>
        <w:tc>
          <w:tcPr>
            <w:tcW w:w="8880" w:type="dxa"/>
            <w:vAlign w:val="bottom"/>
          </w:tcPr>
          <w:p>
            <w:pPr>
              <w:ind w:left="220"/>
              <w:spacing w:after="0"/>
              <w:rPr>
                <w:sz w:val="20"/>
                <w:szCs w:val="20"/>
                <w:color w:val="auto"/>
              </w:rPr>
            </w:pPr>
            <w:r>
              <w:rPr>
                <w:rFonts w:ascii="Arial" w:cs="Arial" w:eastAsia="Arial" w:hAnsi="Arial"/>
                <w:sz w:val="17"/>
                <w:szCs w:val="17"/>
                <w:color w:val="auto"/>
                <w:w w:val="92"/>
              </w:rPr>
              <w:t>Any representation, warranty or undertaking made by the Pledgors under Section 5 or 6 above is substantially misleading or</w:t>
            </w:r>
          </w:p>
        </w:tc>
      </w:tr>
      <w:tr>
        <w:trPr>
          <w:trHeight w:val="199"/>
        </w:trPr>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w w:val="91"/>
              </w:rPr>
              <w:t>incorrect, and/or the Pledgors violates any representation, warranty or undertaking made by the Pledgors under Section 5 or 6</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above.</w:t>
            </w:r>
          </w:p>
        </w:tc>
      </w:tr>
      <w:tr>
        <w:trPr>
          <w:trHeight w:val="361"/>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7.1.3</w:t>
            </w:r>
          </w:p>
        </w:tc>
        <w:tc>
          <w:tcPr>
            <w:tcW w:w="8880" w:type="dxa"/>
            <w:vAlign w:val="bottom"/>
          </w:tcPr>
          <w:p>
            <w:pPr>
              <w:ind w:left="220"/>
              <w:spacing w:after="0"/>
              <w:rPr>
                <w:sz w:val="20"/>
                <w:szCs w:val="20"/>
                <w:color w:val="auto"/>
              </w:rPr>
            </w:pPr>
            <w:r>
              <w:rPr>
                <w:rFonts w:ascii="Arial" w:cs="Arial" w:eastAsia="Arial" w:hAnsi="Arial"/>
                <w:sz w:val="17"/>
                <w:szCs w:val="17"/>
                <w:color w:val="auto"/>
              </w:rPr>
              <w:t>The Pledgors or Party C violates any provision of this Agreement.</w:t>
            </w:r>
          </w:p>
        </w:tc>
      </w:tr>
      <w:tr>
        <w:trPr>
          <w:trHeight w:val="374"/>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7.1.4</w:t>
            </w:r>
          </w:p>
        </w:tc>
        <w:tc>
          <w:tcPr>
            <w:tcW w:w="8880" w:type="dxa"/>
            <w:vAlign w:val="bottom"/>
          </w:tcPr>
          <w:p>
            <w:pPr>
              <w:ind w:left="220"/>
              <w:spacing w:after="0"/>
              <w:rPr>
                <w:sz w:val="20"/>
                <w:szCs w:val="20"/>
                <w:color w:val="auto"/>
              </w:rPr>
            </w:pPr>
            <w:r>
              <w:rPr>
                <w:rFonts w:ascii="Arial" w:cs="Arial" w:eastAsia="Arial" w:hAnsi="Arial"/>
                <w:sz w:val="17"/>
                <w:szCs w:val="17"/>
                <w:color w:val="auto"/>
                <w:w w:val="91"/>
              </w:rPr>
              <w:t>Except as otherwise agreed in Section 6.1.1 above, the Pledgors transfer or otherwise dispose the pledged Equity without the</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Pledgee’s written consent.</w:t>
            </w:r>
          </w:p>
        </w:tc>
      </w:tr>
      <w:tr>
        <w:trPr>
          <w:trHeight w:val="349"/>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7.1.5</w:t>
            </w:r>
          </w:p>
        </w:tc>
        <w:tc>
          <w:tcPr>
            <w:tcW w:w="8880" w:type="dxa"/>
            <w:vAlign w:val="bottom"/>
          </w:tcPr>
          <w:p>
            <w:pPr>
              <w:ind w:left="220"/>
              <w:spacing w:after="0"/>
              <w:rPr>
                <w:sz w:val="20"/>
                <w:szCs w:val="20"/>
                <w:color w:val="auto"/>
              </w:rPr>
            </w:pPr>
            <w:r>
              <w:rPr>
                <w:rFonts w:ascii="Arial" w:cs="Arial" w:eastAsia="Arial" w:hAnsi="Arial"/>
                <w:sz w:val="17"/>
                <w:szCs w:val="17"/>
                <w:color w:val="auto"/>
                <w:w w:val="96"/>
              </w:rPr>
              <w:t>Any of the Pledgors’ external borrowings, security, compensation, undertaking or other debt or liability shall be repaid or</w:t>
            </w:r>
          </w:p>
        </w:tc>
      </w:tr>
      <w:tr>
        <w:trPr>
          <w:trHeight w:val="199"/>
        </w:trPr>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w w:val="88"/>
              </w:rPr>
              <w:t>performed in advance or is due but cannot be repaid or performed on schedule, which makes the Pledgee reasonably believe that</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the Pledgors’ ability to perform any of their obligations is affected, which further affect the Pledgee’s interest.</w:t>
            </w:r>
          </w:p>
        </w:tc>
      </w:tr>
      <w:tr>
        <w:trPr>
          <w:trHeight w:val="361"/>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7.1.6</w:t>
            </w:r>
          </w:p>
        </w:tc>
        <w:tc>
          <w:tcPr>
            <w:tcW w:w="8880" w:type="dxa"/>
            <w:vAlign w:val="bottom"/>
          </w:tcPr>
          <w:p>
            <w:pPr>
              <w:ind w:left="220"/>
              <w:spacing w:after="0"/>
              <w:rPr>
                <w:sz w:val="20"/>
                <w:szCs w:val="20"/>
                <w:color w:val="auto"/>
              </w:rPr>
            </w:pPr>
            <w:r>
              <w:rPr>
                <w:rFonts w:ascii="Arial" w:cs="Arial" w:eastAsia="Arial" w:hAnsi="Arial"/>
                <w:sz w:val="17"/>
                <w:szCs w:val="17"/>
                <w:color w:val="auto"/>
              </w:rPr>
              <w:t>The Pledgors cannot perform any of their general debt or other debt, which further affects the Pledgee’s interest.</w:t>
            </w:r>
          </w:p>
        </w:tc>
      </w:tr>
      <w:tr>
        <w:trPr>
          <w:trHeight w:val="374"/>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7.1.7</w:t>
            </w:r>
          </w:p>
        </w:tc>
        <w:tc>
          <w:tcPr>
            <w:tcW w:w="8880" w:type="dxa"/>
            <w:vAlign w:val="bottom"/>
          </w:tcPr>
          <w:p>
            <w:pPr>
              <w:ind w:left="220"/>
              <w:spacing w:after="0"/>
              <w:rPr>
                <w:sz w:val="20"/>
                <w:szCs w:val="20"/>
                <w:color w:val="auto"/>
              </w:rPr>
            </w:pPr>
            <w:r>
              <w:rPr>
                <w:rFonts w:ascii="Arial" w:cs="Arial" w:eastAsia="Arial" w:hAnsi="Arial"/>
                <w:sz w:val="17"/>
                <w:szCs w:val="17"/>
                <w:color w:val="auto"/>
                <w:w w:val="91"/>
              </w:rPr>
              <w:t>The promulgation of any law results in invalidation of this Agreement or inability of the Pledgors to continuously perform any of</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their obligations hereunder.</w:t>
            </w:r>
          </w:p>
        </w:tc>
      </w:tr>
      <w:tr>
        <w:trPr>
          <w:trHeight w:val="349"/>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7.1.8</w:t>
            </w:r>
          </w:p>
        </w:tc>
        <w:tc>
          <w:tcPr>
            <w:tcW w:w="8880" w:type="dxa"/>
            <w:vAlign w:val="bottom"/>
          </w:tcPr>
          <w:p>
            <w:pPr>
              <w:ind w:left="220"/>
              <w:spacing w:after="0"/>
              <w:rPr>
                <w:sz w:val="20"/>
                <w:szCs w:val="20"/>
                <w:color w:val="auto"/>
              </w:rPr>
            </w:pPr>
            <w:r>
              <w:rPr>
                <w:rFonts w:ascii="Arial" w:cs="Arial" w:eastAsia="Arial" w:hAnsi="Arial"/>
                <w:sz w:val="17"/>
                <w:szCs w:val="17"/>
                <w:color w:val="auto"/>
                <w:w w:val="91"/>
              </w:rPr>
              <w:t>The consent, permit, approval or authorization of any governmental department necessary to legalize, validate or enforce this</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Agreement is withdrawn, suspended, invalidated or substantially amended.</w:t>
            </w:r>
          </w:p>
        </w:tc>
      </w:tr>
      <w:tr>
        <w:trPr>
          <w:trHeight w:val="349"/>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7.1.9</w:t>
            </w:r>
          </w:p>
        </w:tc>
        <w:tc>
          <w:tcPr>
            <w:tcW w:w="8880" w:type="dxa"/>
            <w:vAlign w:val="bottom"/>
          </w:tcPr>
          <w:p>
            <w:pPr>
              <w:ind w:left="220"/>
              <w:spacing w:after="0"/>
              <w:rPr>
                <w:sz w:val="20"/>
                <w:szCs w:val="20"/>
                <w:color w:val="auto"/>
              </w:rPr>
            </w:pPr>
            <w:r>
              <w:rPr>
                <w:rFonts w:ascii="Arial" w:cs="Arial" w:eastAsia="Arial" w:hAnsi="Arial"/>
                <w:sz w:val="17"/>
                <w:szCs w:val="17"/>
                <w:color w:val="auto"/>
                <w:w w:val="87"/>
              </w:rPr>
              <w:t>There occurs any adverse change to any of the assets owned by the Pledgors, which makes the Pledgee believe that the Pledgors’</w:t>
            </w:r>
          </w:p>
        </w:tc>
      </w:tr>
      <w:tr>
        <w:trPr>
          <w:trHeight w:val="212"/>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7"/>
                <w:szCs w:val="17"/>
                <w:color w:val="auto"/>
              </w:rPr>
              <w:t>ability to perform any of their obligations is affected.</w:t>
            </w:r>
          </w:p>
        </w:tc>
      </w:tr>
      <w:tr>
        <w:trPr>
          <w:trHeight w:val="361"/>
        </w:trPr>
        <w:tc>
          <w:tcPr>
            <w:tcW w:w="5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7.1.10</w:t>
            </w:r>
          </w:p>
        </w:tc>
        <w:tc>
          <w:tcPr>
            <w:tcW w:w="8880" w:type="dxa"/>
            <w:vAlign w:val="bottom"/>
          </w:tcPr>
          <w:p>
            <w:pPr>
              <w:ind w:left="220"/>
              <w:spacing w:after="0"/>
              <w:rPr>
                <w:sz w:val="20"/>
                <w:szCs w:val="20"/>
                <w:color w:val="auto"/>
              </w:rPr>
            </w:pPr>
            <w:r>
              <w:rPr>
                <w:rFonts w:ascii="Arial" w:cs="Arial" w:eastAsia="Arial" w:hAnsi="Arial"/>
                <w:sz w:val="17"/>
                <w:szCs w:val="17"/>
                <w:color w:val="auto"/>
                <w:w w:val="96"/>
              </w:rPr>
              <w:t>Any other event that the Pledgee cannot exercise or otherwise dispose of the Pledge Rights under the applicable laws.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7.2</w:t>
            </w: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8"/>
              </w:rPr>
              <w:t>The Pledgors and/or Party C shall immediately notify the Pledgee in writing any of the events described in Section 7.1 above or the occurrence</w:t>
            </w:r>
          </w:p>
        </w:tc>
      </w:tr>
      <w:tr>
        <w:trPr>
          <w:trHeight w:val="212"/>
        </w:trPr>
        <w:tc>
          <w:tcPr>
            <w:tcW w:w="54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rPr>
              <w:t>or potential occurrence thereof the Pledgors and/or Party C becomes aware of or discovers.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7.3</w:t>
            </w: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92"/>
              </w:rPr>
              <w:t>Unless the default events listed in Section 7.1 above have been perfectly settled to the Pledgee’s satisfaction, the Pledgee may, upon the</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9"/>
              </w:rPr>
              <w:t>occurrence of such default event or at any time following the occurrence thereof, issue a written default notice to the Pledgors and/or Party C,</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8"/>
              </w:rPr>
              <w:t>requesting the Pledgors and/or Party C to immediately pay the money owned or other payables under the Exclusive Technical Consultation and</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94"/>
              </w:rPr>
              <w:t>Service Agreement or to timely perform the obligations under the Individual Agreements. In case the Pledgors or Party C fails to timely</w:t>
            </w:r>
          </w:p>
        </w:tc>
      </w:tr>
      <w:tr>
        <w:trPr>
          <w:trHeight w:val="199"/>
        </w:trPr>
        <w:tc>
          <w:tcPr>
            <w:tcW w:w="540" w:type="dxa"/>
            <w:vAlign w:val="bottom"/>
          </w:tcPr>
          <w:p>
            <w:pPr>
              <w:spacing w:after="0"/>
              <w:rPr>
                <w:sz w:val="17"/>
                <w:szCs w:val="17"/>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w w:val="88"/>
              </w:rPr>
              <w:t>correct their defaults, or take necessary remedies, within Ten (10) business days following the issuance of such written notice, the Pledgee may</w:t>
            </w:r>
          </w:p>
        </w:tc>
      </w:tr>
      <w:tr>
        <w:trPr>
          <w:trHeight w:val="212"/>
        </w:trPr>
        <w:tc>
          <w:tcPr>
            <w:tcW w:w="54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7"/>
                <w:szCs w:val="17"/>
                <w:color w:val="auto"/>
              </w:rPr>
              <w:t>exercise the Pledge Rights pursuant to Section 8 below.</w:t>
            </w:r>
          </w:p>
        </w:tc>
      </w:tr>
    </w:tbl>
    <w:p>
      <w:pPr>
        <w:spacing w:after="0" w:line="282" w:lineRule="exact"/>
        <w:rPr>
          <w:sz w:val="20"/>
          <w:szCs w:val="20"/>
          <w:color w:val="auto"/>
        </w:rPr>
      </w:pPr>
    </w:p>
    <w:p>
      <w:pPr>
        <w:ind w:left="860" w:hanging="860"/>
        <w:spacing w:after="0"/>
        <w:tabs>
          <w:tab w:leader="none" w:pos="860" w:val="left"/>
        </w:tabs>
        <w:numPr>
          <w:ilvl w:val="0"/>
          <w:numId w:val="436"/>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Pledge Rights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8.1</w:t>
            </w:r>
          </w:p>
        </w:tc>
        <w:tc>
          <w:tcPr>
            <w:tcW w:w="9880" w:type="dxa"/>
            <w:vAlign w:val="bottom"/>
          </w:tcPr>
          <w:p>
            <w:pPr>
              <w:ind w:left="320"/>
              <w:spacing w:after="0"/>
              <w:rPr>
                <w:sz w:val="20"/>
                <w:szCs w:val="20"/>
                <w:color w:val="auto"/>
              </w:rPr>
            </w:pPr>
            <w:r>
              <w:rPr>
                <w:rFonts w:ascii="Arial" w:cs="Arial" w:eastAsia="Arial" w:hAnsi="Arial"/>
                <w:sz w:val="17"/>
                <w:szCs w:val="17"/>
                <w:color w:val="auto"/>
                <w:w w:val="97"/>
              </w:rPr>
              <w:t>The Pledgee shall issue a default notice to the Pledgors as described in Section 7.3 above upon its exercise of the Pledge Rights.</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8.2</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Subject to Section 7.3 above, the Pledgee may exercise the Pledge Rights at any time following its issuance of the default notice as described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 Section 7.3.</w:t>
            </w:r>
          </w:p>
        </w:tc>
      </w:tr>
      <w:tr>
        <w:trPr>
          <w:trHeight w:val="633"/>
        </w:trPr>
        <w:tc>
          <w:tcPr>
            <w:tcW w:w="1400" w:type="dxa"/>
            <w:vAlign w:val="bottom"/>
          </w:tcPr>
          <w:p>
            <w:pPr>
              <w:spacing w:after="0"/>
              <w:rPr>
                <w:sz w:val="24"/>
                <w:szCs w:val="24"/>
                <w:color w:val="auto"/>
              </w:rPr>
            </w:pPr>
          </w:p>
        </w:tc>
        <w:tc>
          <w:tcPr>
            <w:tcW w:w="9880" w:type="dxa"/>
            <w:vAlign w:val="bottom"/>
          </w:tcPr>
          <w:p>
            <w:pPr>
              <w:jc w:val="right"/>
              <w:ind w:right="5513"/>
              <w:spacing w:after="0"/>
              <w:rPr>
                <w:sz w:val="20"/>
                <w:szCs w:val="20"/>
                <w:color w:val="auto"/>
              </w:rPr>
            </w:pPr>
            <w:r>
              <w:rPr>
                <w:rFonts w:ascii="Arial" w:cs="Arial" w:eastAsia="Arial" w:hAnsi="Arial"/>
                <w:sz w:val="20"/>
                <w:szCs w:val="20"/>
                <w:color w:val="auto"/>
              </w:rPr>
              <w:t>5</w:t>
            </w:r>
          </w:p>
        </w:tc>
      </w:tr>
      <w:tr>
        <w:trPr>
          <w:trHeight w:val="94"/>
        </w:trPr>
        <w:tc>
          <w:tcPr>
            <w:tcW w:w="1400" w:type="dxa"/>
            <w:vAlign w:val="bottom"/>
            <w:tcBorders>
              <w:bottom w:val="single" w:sz="8" w:color="9A9A9A"/>
            </w:tcBorders>
          </w:tcPr>
          <w:p>
            <w:pPr>
              <w:spacing w:after="0"/>
              <w:rPr>
                <w:sz w:val="8"/>
                <w:szCs w:val="8"/>
                <w:color w:val="auto"/>
              </w:rPr>
            </w:pPr>
          </w:p>
        </w:tc>
        <w:tc>
          <w:tcPr>
            <w:tcW w:w="9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402" w:name="page403"/>
    <w:bookmarkEnd w:id="402"/>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Pledgee shall have the right to convert into money and sell all or part of the Equity hereunder subject to the statutory procedures, or to be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paid in priority from the money gained from auction or sale of such Equity, until full offset of the service costs and other payables unpaid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under the Individual Agreements and full performance of other obligations under the Individual Agreements.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When the Pledgee exercises the Pledge Rights pursuant to this Agreement, the Pledgors and/or Party C shall not create any barrier or hindrance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but shall offer necessary assistance, so as to facilitate the Pledgee’s realization of its Pledge Rights.</w:t>
            </w:r>
          </w:p>
        </w:tc>
      </w:tr>
    </w:tbl>
    <w:p>
      <w:pPr>
        <w:spacing w:after="0" w:line="145" w:lineRule="exact"/>
        <w:rPr>
          <w:sz w:val="20"/>
          <w:szCs w:val="20"/>
          <w:color w:val="auto"/>
        </w:rPr>
      </w:pPr>
    </w:p>
    <w:p>
      <w:pPr>
        <w:ind w:left="860" w:hanging="860"/>
        <w:spacing w:after="0"/>
        <w:tabs>
          <w:tab w:leader="none" w:pos="860" w:val="left"/>
        </w:tabs>
        <w:numPr>
          <w:ilvl w:val="0"/>
          <w:numId w:val="437"/>
        </w:numPr>
        <w:rPr>
          <w:rFonts w:ascii="Arial" w:cs="Arial" w:eastAsia="Arial" w:hAnsi="Arial"/>
          <w:sz w:val="17"/>
          <w:szCs w:val="17"/>
          <w:b w:val="1"/>
          <w:bCs w:val="1"/>
          <w:color w:val="auto"/>
        </w:rPr>
      </w:pPr>
      <w:r>
        <w:rPr>
          <w:rFonts w:ascii="Arial" w:cs="Arial" w:eastAsia="Arial" w:hAnsi="Arial"/>
          <w:sz w:val="17"/>
          <w:szCs w:val="17"/>
          <w:b w:val="1"/>
          <w:bCs w:val="1"/>
          <w:color w:val="auto"/>
        </w:rPr>
        <w:t>Transfer</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9.1</w:t>
            </w: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The Pledgors shall not transfer to any third party any of their rights or obligations hereunder without the Pledgee’s prior written and explicit</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consent.</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780" w:type="dxa"/>
            <w:vAlign w:val="bottom"/>
          </w:tcPr>
          <w:p>
            <w:pPr>
              <w:ind w:left="320"/>
              <w:spacing w:after="0"/>
              <w:rPr>
                <w:sz w:val="20"/>
                <w:szCs w:val="20"/>
                <w:color w:val="auto"/>
              </w:rPr>
            </w:pPr>
            <w:r>
              <w:rPr>
                <w:rFonts w:ascii="Arial" w:cs="Arial" w:eastAsia="Arial" w:hAnsi="Arial"/>
                <w:sz w:val="17"/>
                <w:szCs w:val="17"/>
                <w:color w:val="auto"/>
              </w:rPr>
              <w:t>This Agreement shall be binding upon the Pledgors and their successors and the Pledgee and its successors or assignees.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9.3</w:t>
            </w: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The Pledgee may at any time transfer any or all of its rights or obligations under the Individual Agreements to any third party it specified,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under which circumstance, the assignee shall accordingly have and bear the rights and obligations which the Pledgee have and bear hereunder.</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Upon the transfer by the Pledgee of the rights or obligations hereunder, the Pledgors shall, as requested by the Pledgee, sign the corresponding</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agreements and/or documents regarding the transfer thereof.</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9.4</w:t>
            </w: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In case there is a change of the Pledgee due to the transfer of the rights or obligations as described in Section 9.3 above, the substitute Pledgee</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and the Pledgors shall re-sign the pledge agreement and the Pledgors shall be responsible for handling all applicable registration formalities.</w:t>
            </w:r>
          </w:p>
        </w:tc>
      </w:tr>
    </w:tbl>
    <w:p>
      <w:pPr>
        <w:spacing w:after="0" w:line="145" w:lineRule="exact"/>
        <w:rPr>
          <w:sz w:val="20"/>
          <w:szCs w:val="20"/>
          <w:color w:val="auto"/>
        </w:rPr>
      </w:pPr>
    </w:p>
    <w:p>
      <w:pPr>
        <w:ind w:left="860" w:hanging="860"/>
        <w:spacing w:after="0"/>
        <w:tabs>
          <w:tab w:leader="none" w:pos="860"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color w:val="auto"/>
        </w:rPr>
        <w:t>Charges and Other Costs</w:t>
      </w:r>
    </w:p>
    <w:p>
      <w:pPr>
        <w:spacing w:after="0" w:line="169" w:lineRule="exact"/>
        <w:rPr>
          <w:rFonts w:ascii="Arial" w:cs="Arial" w:eastAsia="Arial" w:hAnsi="Arial"/>
          <w:sz w:val="17"/>
          <w:szCs w:val="17"/>
          <w:b w:val="1"/>
          <w:bCs w:val="1"/>
          <w:color w:val="auto"/>
        </w:rPr>
      </w:pPr>
    </w:p>
    <w:p>
      <w:pPr>
        <w:ind w:left="8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All costs and actual expenses related to this Agreement, including but not limited to the legal costs, print costs, stamp duty and any other tax and charges, shall be equally borne by the Pledgee and Party C.</w:t>
      </w:r>
    </w:p>
    <w:p>
      <w:pPr>
        <w:spacing w:after="0" w:line="138" w:lineRule="exact"/>
        <w:rPr>
          <w:rFonts w:ascii="Arial" w:cs="Arial" w:eastAsia="Arial" w:hAnsi="Arial"/>
          <w:sz w:val="17"/>
          <w:szCs w:val="17"/>
          <w:b w:val="1"/>
          <w:bCs w:val="1"/>
          <w:color w:val="auto"/>
        </w:rPr>
      </w:pPr>
    </w:p>
    <w:p>
      <w:pPr>
        <w:ind w:left="860" w:hanging="860"/>
        <w:spacing w:after="0"/>
        <w:tabs>
          <w:tab w:leader="none" w:pos="860"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165" w:lineRule="exact"/>
        <w:rPr>
          <w:rFonts w:ascii="Arial" w:cs="Arial" w:eastAsia="Arial" w:hAnsi="Arial"/>
          <w:sz w:val="17"/>
          <w:szCs w:val="17"/>
          <w:b w:val="1"/>
          <w:bCs w:val="1"/>
          <w:color w:val="auto"/>
        </w:rPr>
      </w:pPr>
    </w:p>
    <w:p>
      <w:pPr>
        <w:ind w:left="1720" w:hanging="86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11.1</w:t>
      </w:r>
      <w:r>
        <w:rPr>
          <w:rFonts w:ascii="Arial" w:cs="Arial" w:eastAsia="Arial" w:hAnsi="Arial"/>
          <w:sz w:val="16"/>
          <w:szCs w:val="16"/>
          <w:color w:val="auto"/>
        </w:rPr>
        <w:t>“</w:t>
      </w:r>
      <w:r>
        <w:rPr>
          <w:rFonts w:ascii="Arial" w:cs="Arial" w:eastAsia="Arial" w:hAnsi="Arial"/>
          <w:sz w:val="16"/>
          <w:szCs w:val="16"/>
          <w:b w:val="1"/>
          <w:bCs w:val="1"/>
          <w:color w:val="auto"/>
        </w:rPr>
        <w:t>Force Majeure Events</w:t>
      </w:r>
      <w:r>
        <w:rPr>
          <w:rFonts w:ascii="Arial" w:cs="Arial" w:eastAsia="Arial" w:hAnsi="Arial"/>
          <w:sz w:val="16"/>
          <w:szCs w:val="16"/>
          <w:color w:val="auto"/>
        </w:rPr>
        <w:t>” mean any events beyond the reasonable control of one Party that are unavoidable by the affected Party with reasonable care, including but not limited to any acts of government, natural force, fire, explosion, storm, flood, earthquake, tide, lightning or war, provided that any credit, capital or financing shortage shall not be deemed to be the event beyond the reasonable control of one Party. The Party affected by any Force Majeure Events (hereinafter referred to as “</w:t>
      </w:r>
      <w:r>
        <w:rPr>
          <w:rFonts w:ascii="Arial" w:cs="Arial" w:eastAsia="Arial" w:hAnsi="Arial"/>
          <w:sz w:val="16"/>
          <w:szCs w:val="16"/>
          <w:b w:val="1"/>
          <w:bCs w:val="1"/>
          <w:color w:val="auto"/>
        </w:rPr>
        <w:t>Affected Party</w:t>
      </w:r>
      <w:r>
        <w:rPr>
          <w:rFonts w:ascii="Arial" w:cs="Arial" w:eastAsia="Arial" w:hAnsi="Arial"/>
          <w:sz w:val="16"/>
          <w:szCs w:val="16"/>
          <w:color w:val="auto"/>
        </w:rPr>
        <w:t>”) shall be exempted from its responsibility in whole or in part according to the effects of such Force Majeure Events on this Agreement, and the Affected Party who seeks exemption from its responsibility for the performance of this Agreement due to such Force Majeure Events shall notify the other Party of such Force Majeure Events not later than Ten (10) days after occurrence of such Force Majeure Events so that the Parties hereto negotiate about the amendment to this Agreement according to the effects of such Force Majeure Events and exempt in whole or in part the Affected Party from its obligations under this Agreement.</w:t>
      </w:r>
    </w:p>
    <w:p>
      <w:pPr>
        <w:spacing w:after="0" w:line="131"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11.2</w:t>
            </w:r>
          </w:p>
        </w:tc>
        <w:tc>
          <w:tcPr>
            <w:tcW w:w="9740" w:type="dxa"/>
            <w:vAlign w:val="bottom"/>
          </w:tcPr>
          <w:p>
            <w:pPr>
              <w:ind w:left="28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80" w:type="dxa"/>
            <w:vAlign w:val="bottom"/>
          </w:tcPr>
          <w:p>
            <w:pPr>
              <w:spacing w:after="0"/>
              <w:rPr>
                <w:sz w:val="17"/>
                <w:szCs w:val="17"/>
                <w:color w:val="auto"/>
              </w:rPr>
            </w:pPr>
          </w:p>
        </w:tc>
        <w:tc>
          <w:tcPr>
            <w:tcW w:w="9740" w:type="dxa"/>
            <w:vAlign w:val="bottom"/>
          </w:tcPr>
          <w:p>
            <w:pPr>
              <w:ind w:left="280"/>
              <w:spacing w:after="0"/>
              <w:rPr>
                <w:sz w:val="20"/>
                <w:szCs w:val="20"/>
                <w:color w:val="auto"/>
              </w:rPr>
            </w:pPr>
            <w:r>
              <w:rPr>
                <w:rFonts w:ascii="Arial" w:cs="Arial" w:eastAsia="Arial" w:hAnsi="Arial"/>
                <w:sz w:val="17"/>
                <w:szCs w:val="17"/>
                <w:color w:val="auto"/>
                <w:w w:val="87"/>
              </w:rPr>
              <w:t>performance of its obligations delayed or hindered by such Force Majeure Events. Once such Force Majeure Events are eliminated, the Parties</w:t>
            </w:r>
          </w:p>
        </w:tc>
      </w:tr>
      <w:tr>
        <w:trPr>
          <w:trHeight w:val="212"/>
        </w:trPr>
        <w:tc>
          <w:tcPr>
            <w:tcW w:w="58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7"/>
                <w:szCs w:val="17"/>
                <w:color w:val="auto"/>
                <w:w w:val="97"/>
              </w:rPr>
              <w:t>hereto agree that they shall use their best efforts to restore the performance of their rights and obligations under this Agreement.</w:t>
            </w:r>
          </w:p>
        </w:tc>
      </w:tr>
    </w:tbl>
    <w:p>
      <w:pPr>
        <w:spacing w:after="0" w:line="145" w:lineRule="exact"/>
        <w:rPr>
          <w:sz w:val="20"/>
          <w:szCs w:val="20"/>
          <w:color w:val="auto"/>
        </w:rPr>
      </w:pPr>
    </w:p>
    <w:p>
      <w:pPr>
        <w:ind w:left="860" w:hanging="860"/>
        <w:spacing w:after="0"/>
        <w:tabs>
          <w:tab w:leader="none" w:pos="860"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Settlement</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3"/>
          <w:szCs w:val="13"/>
          <w:color w:val="auto"/>
        </w:rPr>
        <w:t>This Agreement shall be governed by and construed in accordance with the laws of the PRC.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84390" cy="412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403" w:name="page404"/>
    <w:bookmarkEnd w:id="403"/>
    <w:tbl>
      <w:tblPr>
        <w:tblLayout w:type="fixed"/>
        <w:tblInd w:w="860" w:type="dxa"/>
        <w:tblCellMar>
          <w:top w:w="0" w:type="dxa"/>
          <w:left w:w="0" w:type="dxa"/>
          <w:bottom w:w="0" w:type="dxa"/>
          <w:right w:w="0" w:type="dxa"/>
        </w:tblCellMar>
      </w:tblPr>
      <w:tr>
        <w:trPr>
          <w:trHeight w:val="19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12.2</w:t>
            </w: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89"/>
              </w:rPr>
              <w:t>resolve such disputes through consultation in good faith. If such disputes cannot be resolved through consultation, any Party may submit such</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Section shall be affected by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any termination or cancellation of this Agreement.</w:t>
            </w:r>
          </w:p>
        </w:tc>
      </w:tr>
      <w:tr>
        <w:trPr>
          <w:trHeight w:val="34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12.3</w:t>
            </w:r>
          </w:p>
        </w:tc>
        <w:tc>
          <w:tcPr>
            <w:tcW w:w="9800" w:type="dxa"/>
            <w:vAlign w:val="bottom"/>
          </w:tcPr>
          <w:p>
            <w:pPr>
              <w:ind w:left="28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45" w:lineRule="exact"/>
        <w:rPr>
          <w:sz w:val="20"/>
          <w:szCs w:val="20"/>
          <w:color w:val="auto"/>
        </w:rPr>
      </w:pPr>
    </w:p>
    <w:p>
      <w:pPr>
        <w:ind w:left="860" w:hanging="860"/>
        <w:spacing w:after="0"/>
        <w:tabs>
          <w:tab w:leader="none" w:pos="860"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69" w:lineRule="exact"/>
        <w:rPr>
          <w:rFonts w:ascii="Arial" w:cs="Arial" w:eastAsia="Arial" w:hAnsi="Arial"/>
          <w:sz w:val="17"/>
          <w:szCs w:val="17"/>
          <w:b w:val="1"/>
          <w:bCs w:val="1"/>
          <w:color w:val="auto"/>
        </w:rPr>
      </w:pPr>
    </w:p>
    <w:p>
      <w:pPr>
        <w:jc w:val="both"/>
        <w:ind w:left="860" w:right="4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51"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Party A,</w:t>
      </w:r>
    </w:p>
    <w:p>
      <w:pPr>
        <w:spacing w:after="0" w:line="165"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Address: Building 6, No. 36 Yard, Laiguangying Chuangyuan Road, Chaoyang District, Beijing</w:t>
      </w:r>
    </w:p>
    <w:p>
      <w:pPr>
        <w:spacing w:after="0" w:line="165" w:lineRule="exact"/>
        <w:rPr>
          <w:rFonts w:ascii="Arial" w:cs="Arial" w:eastAsia="Arial" w:hAnsi="Arial"/>
          <w:sz w:val="17"/>
          <w:szCs w:val="17"/>
          <w:b w:val="1"/>
          <w:bCs w:val="1"/>
          <w:color w:val="auto"/>
        </w:rPr>
      </w:pPr>
    </w:p>
    <w:p>
      <w:pPr>
        <w:ind w:left="860" w:right="9040"/>
        <w:spacing w:after="0" w:line="448" w:lineRule="auto"/>
        <w:rPr>
          <w:rFonts w:ascii="Arial" w:cs="Arial" w:eastAsia="Arial" w:hAnsi="Arial"/>
          <w:sz w:val="17"/>
          <w:szCs w:val="17"/>
          <w:b w:val="1"/>
          <w:bCs w:val="1"/>
          <w:color w:val="auto"/>
        </w:rPr>
      </w:pPr>
      <w:r>
        <w:rPr>
          <w:rFonts w:ascii="Arial" w:cs="Arial" w:eastAsia="Arial" w:hAnsi="Arial"/>
          <w:sz w:val="17"/>
          <w:szCs w:val="17"/>
          <w:color w:val="auto"/>
        </w:rPr>
        <w:t>Tel.: [•] Attn.:LIU Tongbo Party B and Party C:</w:t>
      </w:r>
    </w:p>
    <w:p>
      <w:pPr>
        <w:spacing w:after="0" w:line="1" w:lineRule="exact"/>
        <w:rPr>
          <w:rFonts w:ascii="Arial" w:cs="Arial" w:eastAsia="Arial" w:hAnsi="Arial"/>
          <w:sz w:val="17"/>
          <w:szCs w:val="17"/>
          <w:b w:val="1"/>
          <w:bCs w:val="1"/>
          <w:color w:val="auto"/>
        </w:rPr>
      </w:pPr>
    </w:p>
    <w:p>
      <w:pPr>
        <w:ind w:left="860" w:right="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Address: Room 03, 3rd Floor, Building 3, Building 1, 2, 3, Contemporary China Venture Center, No. 20, Guannanyuan 1st Road, East Lake New Technology Development Zone, Wuhan (Wuhan Area, Free Trade Zone)</w:t>
      </w:r>
    </w:p>
    <w:p>
      <w:pPr>
        <w:spacing w:after="0" w:line="142" w:lineRule="exact"/>
        <w:rPr>
          <w:rFonts w:ascii="Arial" w:cs="Arial" w:eastAsia="Arial" w:hAnsi="Arial"/>
          <w:sz w:val="17"/>
          <w:szCs w:val="17"/>
          <w:b w:val="1"/>
          <w:bCs w:val="1"/>
          <w:color w:val="auto"/>
        </w:rPr>
      </w:pPr>
    </w:p>
    <w:p>
      <w:pPr>
        <w:ind w:left="880" w:right="9100"/>
        <w:spacing w:after="0" w:line="468" w:lineRule="auto"/>
        <w:rPr>
          <w:rFonts w:ascii="Arial" w:cs="Arial" w:eastAsia="Arial" w:hAnsi="Arial"/>
          <w:sz w:val="17"/>
          <w:szCs w:val="17"/>
          <w:b w:val="1"/>
          <w:bCs w:val="1"/>
          <w:color w:val="auto"/>
        </w:rPr>
      </w:pPr>
      <w:r>
        <w:rPr>
          <w:rFonts w:ascii="Arial" w:cs="Arial" w:eastAsia="Arial" w:hAnsi="Arial"/>
          <w:sz w:val="16"/>
          <w:szCs w:val="16"/>
          <w:color w:val="auto"/>
        </w:rPr>
        <w:t>Tel.: [•] Attn.:XIAO Bowen</w:t>
      </w:r>
    </w:p>
    <w:p>
      <w:pPr>
        <w:ind w:left="860" w:hanging="860"/>
        <w:spacing w:after="0"/>
        <w:tabs>
          <w:tab w:leader="none" w:pos="860"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color w:val="auto"/>
        </w:rPr>
        <w:t>Annex</w:t>
      </w:r>
    </w:p>
    <w:p>
      <w:pPr>
        <w:spacing w:after="0" w:line="169"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The annexes hereto shall form part of this Agreement.</w:t>
      </w:r>
    </w:p>
    <w:p>
      <w:pPr>
        <w:spacing w:after="0" w:line="174" w:lineRule="exact"/>
        <w:rPr>
          <w:rFonts w:ascii="Arial" w:cs="Arial" w:eastAsia="Arial" w:hAnsi="Arial"/>
          <w:sz w:val="17"/>
          <w:szCs w:val="17"/>
          <w:b w:val="1"/>
          <w:bCs w:val="1"/>
          <w:color w:val="auto"/>
        </w:rPr>
      </w:pPr>
    </w:p>
    <w:p>
      <w:pPr>
        <w:ind w:left="860" w:hanging="860"/>
        <w:spacing w:after="0"/>
        <w:tabs>
          <w:tab w:leader="none" w:pos="860"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169" w:lineRule="exact"/>
        <w:rPr>
          <w:rFonts w:ascii="Arial" w:cs="Arial" w:eastAsia="Arial" w:hAnsi="Arial"/>
          <w:sz w:val="17"/>
          <w:szCs w:val="17"/>
          <w:b w:val="1"/>
          <w:bCs w:val="1"/>
          <w:color w:val="auto"/>
        </w:rPr>
      </w:pPr>
    </w:p>
    <w:p>
      <w:pPr>
        <w:jc w:val="both"/>
        <w:ind w:left="860" w:right="4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Pledgee’s failure to exercise or delayed exercise of any rights, remedies, powers or privileges hereunder shall not be deemed to be waiver of such rights, remedies, powers or privileges. The Pledgee’s single or partial exercise of any rights, remedies, powers or privileges shall not exclude its exercise of any other rights, remedies, powers or privileges.</w:t>
      </w:r>
    </w:p>
    <w:p>
      <w:pPr>
        <w:spacing w:after="0" w:line="13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5"/>
          <w:szCs w:val="15"/>
          <w:color w:val="auto"/>
        </w:rPr>
        <w:t>The rights, remedies, powers and privileges hereunder are cumulative and in addition to any other rights, remedies, powers and privileges under any law.</w:t>
      </w:r>
    </w:p>
    <w:p>
      <w:pPr>
        <w:spacing w:after="0" w:line="184" w:lineRule="exact"/>
        <w:rPr>
          <w:rFonts w:ascii="Arial" w:cs="Arial" w:eastAsia="Arial" w:hAnsi="Arial"/>
          <w:sz w:val="17"/>
          <w:szCs w:val="17"/>
          <w:b w:val="1"/>
          <w:bCs w:val="1"/>
          <w:color w:val="auto"/>
        </w:rPr>
      </w:pPr>
    </w:p>
    <w:p>
      <w:pPr>
        <w:ind w:left="860" w:hanging="860"/>
        <w:spacing w:after="0"/>
        <w:tabs>
          <w:tab w:leader="none" w:pos="860"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40" w:type="dxa"/>
            <w:vAlign w:val="bottom"/>
          </w:tcPr>
          <w:p>
            <w:pPr>
              <w:jc w:val="right"/>
              <w:ind w:right="217"/>
              <w:spacing w:after="0"/>
              <w:rPr>
                <w:sz w:val="20"/>
                <w:szCs w:val="20"/>
                <w:color w:val="auto"/>
              </w:rPr>
            </w:pPr>
            <w:r>
              <w:rPr>
                <w:rFonts w:ascii="Arial" w:cs="Arial" w:eastAsia="Arial" w:hAnsi="Arial"/>
                <w:sz w:val="17"/>
                <w:szCs w:val="17"/>
                <w:color w:val="auto"/>
              </w:rPr>
              <w:t>16.1</w:t>
            </w:r>
          </w:p>
        </w:tc>
        <w:tc>
          <w:tcPr>
            <w:tcW w:w="9840" w:type="dxa"/>
            <w:vAlign w:val="bottom"/>
          </w:tcPr>
          <w:p>
            <w:pPr>
              <w:ind w:left="280"/>
              <w:spacing w:after="0"/>
              <w:rPr>
                <w:sz w:val="20"/>
                <w:szCs w:val="20"/>
                <w:color w:val="auto"/>
              </w:rPr>
            </w:pPr>
            <w:r>
              <w:rPr>
                <w:rFonts w:ascii="Arial" w:cs="Arial" w:eastAsia="Arial" w:hAnsi="Arial"/>
                <w:sz w:val="17"/>
                <w:szCs w:val="17"/>
                <w:color w:val="auto"/>
                <w:w w:val="94"/>
              </w:rPr>
              <w:t>Any modification or supplementation of or amendment to this Agreement shall be in writing and be effective only after being sealed and</w:t>
            </w:r>
          </w:p>
        </w:tc>
      </w:tr>
      <w:tr>
        <w:trPr>
          <w:trHeight w:val="212"/>
        </w:trPr>
        <w:tc>
          <w:tcPr>
            <w:tcW w:w="1440" w:type="dxa"/>
            <w:vAlign w:val="bottom"/>
          </w:tcPr>
          <w:p>
            <w:pPr>
              <w:spacing w:after="0"/>
              <w:rPr>
                <w:sz w:val="18"/>
                <w:szCs w:val="18"/>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rPr>
              <w:t>signed by the Parties hereto.</w:t>
            </w:r>
          </w:p>
        </w:tc>
      </w:tr>
      <w:tr>
        <w:trPr>
          <w:trHeight w:val="349"/>
        </w:trPr>
        <w:tc>
          <w:tcPr>
            <w:tcW w:w="1440" w:type="dxa"/>
            <w:vAlign w:val="bottom"/>
          </w:tcPr>
          <w:p>
            <w:pPr>
              <w:jc w:val="right"/>
              <w:ind w:right="217"/>
              <w:spacing w:after="0"/>
              <w:rPr>
                <w:sz w:val="20"/>
                <w:szCs w:val="20"/>
                <w:color w:val="auto"/>
              </w:rPr>
            </w:pPr>
            <w:r>
              <w:rPr>
                <w:rFonts w:ascii="Arial" w:cs="Arial" w:eastAsia="Arial" w:hAnsi="Arial"/>
                <w:sz w:val="17"/>
                <w:szCs w:val="17"/>
                <w:color w:val="auto"/>
              </w:rPr>
              <w:t>16.2</w:t>
            </w:r>
          </w:p>
        </w:tc>
        <w:tc>
          <w:tcPr>
            <w:tcW w:w="9840" w:type="dxa"/>
            <w:vAlign w:val="bottom"/>
          </w:tcPr>
          <w:p>
            <w:pPr>
              <w:ind w:left="280"/>
              <w:spacing w:after="0"/>
              <w:rPr>
                <w:sz w:val="20"/>
                <w:szCs w:val="20"/>
                <w:color w:val="auto"/>
              </w:rPr>
            </w:pPr>
            <w:r>
              <w:rPr>
                <w:rFonts w:ascii="Arial" w:cs="Arial" w:eastAsia="Arial" w:hAnsi="Arial"/>
                <w:sz w:val="17"/>
                <w:szCs w:val="17"/>
                <w:color w:val="auto"/>
                <w:w w:val="90"/>
              </w:rPr>
              <w:t>The Parties hereby acknowledge that this Agreement shall be a fair and reasonable agreement reached by the Parties hereto on the basis of</w:t>
            </w:r>
          </w:p>
        </w:tc>
      </w:tr>
      <w:tr>
        <w:trPr>
          <w:trHeight w:val="212"/>
        </w:trPr>
        <w:tc>
          <w:tcPr>
            <w:tcW w:w="1440" w:type="dxa"/>
            <w:vAlign w:val="bottom"/>
          </w:tcPr>
          <w:p>
            <w:pPr>
              <w:spacing w:after="0"/>
              <w:rPr>
                <w:sz w:val="18"/>
                <w:szCs w:val="18"/>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90"/>
              </w:rPr>
              <w:t>equality and mutual benefit. In case any provision hereof becomes invalid or cannot be enforced due to conflict with any applicable law, such</w:t>
            </w:r>
          </w:p>
        </w:tc>
      </w:tr>
      <w:tr>
        <w:trPr>
          <w:trHeight w:val="633"/>
        </w:trPr>
        <w:tc>
          <w:tcPr>
            <w:tcW w:w="1440" w:type="dxa"/>
            <w:vAlign w:val="bottom"/>
          </w:tcPr>
          <w:p>
            <w:pPr>
              <w:spacing w:after="0"/>
              <w:rPr>
                <w:sz w:val="24"/>
                <w:szCs w:val="24"/>
                <w:color w:val="auto"/>
              </w:rPr>
            </w:pPr>
          </w:p>
        </w:tc>
        <w:tc>
          <w:tcPr>
            <w:tcW w:w="9840" w:type="dxa"/>
            <w:vAlign w:val="bottom"/>
          </w:tcPr>
          <w:p>
            <w:pPr>
              <w:ind w:left="4140"/>
              <w:spacing w:after="0"/>
              <w:rPr>
                <w:sz w:val="20"/>
                <w:szCs w:val="20"/>
                <w:color w:val="auto"/>
              </w:rPr>
            </w:pPr>
            <w:r>
              <w:rPr>
                <w:rFonts w:ascii="Arial" w:cs="Arial" w:eastAsia="Arial" w:hAnsi="Arial"/>
                <w:sz w:val="20"/>
                <w:szCs w:val="20"/>
                <w:color w:val="auto"/>
              </w:rPr>
              <w:t>7</w:t>
            </w:r>
          </w:p>
        </w:tc>
      </w:tr>
      <w:tr>
        <w:trPr>
          <w:trHeight w:val="94"/>
        </w:trPr>
        <w:tc>
          <w:tcPr>
            <w:tcW w:w="1440" w:type="dxa"/>
            <w:vAlign w:val="bottom"/>
            <w:tcBorders>
              <w:bottom w:val="single" w:sz="8" w:color="9A9A9A"/>
            </w:tcBorders>
          </w:tcPr>
          <w:p>
            <w:pPr>
              <w:spacing w:after="0"/>
              <w:rPr>
                <w:sz w:val="8"/>
                <w:szCs w:val="8"/>
                <w:color w:val="auto"/>
              </w:rPr>
            </w:pPr>
          </w:p>
        </w:tc>
        <w:tc>
          <w:tcPr>
            <w:tcW w:w="9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404" w:name="page405"/>
    <w:bookmarkEnd w:id="404"/>
    <w:tbl>
      <w:tblPr>
        <w:tblLayout w:type="fixed"/>
        <w:tblInd w:w="860" w:type="dxa"/>
        <w:tblCellMar>
          <w:top w:w="0" w:type="dxa"/>
          <w:left w:w="0" w:type="dxa"/>
          <w:bottom w:w="0" w:type="dxa"/>
          <w:right w:w="0" w:type="dxa"/>
        </w:tblCellMar>
      </w:tblPr>
      <w:tr>
        <w:trPr>
          <w:trHeight w:val="199"/>
        </w:trPr>
        <w:tc>
          <w:tcPr>
            <w:tcW w:w="580" w:type="dxa"/>
            <w:vAlign w:val="bottom"/>
          </w:tcPr>
          <w:p>
            <w:pPr>
              <w:spacing w:after="0"/>
              <w:rPr>
                <w:sz w:val="17"/>
                <w:szCs w:val="17"/>
                <w:color w:val="auto"/>
              </w:rPr>
            </w:pPr>
          </w:p>
        </w:tc>
        <w:tc>
          <w:tcPr>
            <w:tcW w:w="9660" w:type="dxa"/>
            <w:vAlign w:val="bottom"/>
          </w:tcPr>
          <w:p>
            <w:pPr>
              <w:ind w:left="280"/>
              <w:spacing w:after="0"/>
              <w:rPr>
                <w:sz w:val="20"/>
                <w:szCs w:val="20"/>
                <w:color w:val="auto"/>
              </w:rPr>
            </w:pPr>
            <w:r>
              <w:rPr>
                <w:rFonts w:ascii="Arial" w:cs="Arial" w:eastAsia="Arial" w:hAnsi="Arial"/>
                <w:sz w:val="17"/>
                <w:szCs w:val="17"/>
                <w:color w:val="auto"/>
                <w:w w:val="89"/>
              </w:rPr>
              <w:t>provision shall be invalid or unenforceable to the sole extent of the jurisdiction of such applicable law and shall in no way influence the legal</w:t>
            </w:r>
          </w:p>
        </w:tc>
      </w:tr>
      <w:tr>
        <w:trPr>
          <w:trHeight w:val="212"/>
        </w:trPr>
        <w:tc>
          <w:tcPr>
            <w:tcW w:w="580" w:type="dxa"/>
            <w:vAlign w:val="bottom"/>
          </w:tcPr>
          <w:p>
            <w:pPr>
              <w:spacing w:after="0"/>
              <w:rPr>
                <w:sz w:val="18"/>
                <w:szCs w:val="18"/>
                <w:color w:val="auto"/>
              </w:rPr>
            </w:pPr>
          </w:p>
        </w:tc>
        <w:tc>
          <w:tcPr>
            <w:tcW w:w="9660" w:type="dxa"/>
            <w:vAlign w:val="bottom"/>
          </w:tcPr>
          <w:p>
            <w:pPr>
              <w:ind w:left="280"/>
              <w:spacing w:after="0"/>
              <w:rPr>
                <w:sz w:val="20"/>
                <w:szCs w:val="20"/>
                <w:color w:val="auto"/>
              </w:rPr>
            </w:pPr>
            <w:r>
              <w:rPr>
                <w:rFonts w:ascii="Arial" w:cs="Arial" w:eastAsia="Arial" w:hAnsi="Arial"/>
                <w:sz w:val="17"/>
                <w:szCs w:val="17"/>
                <w:color w:val="auto"/>
              </w:rPr>
              <w:t>force of the remaining provisions of this Agreement.</w:t>
            </w:r>
          </w:p>
        </w:tc>
      </w:tr>
      <w:tr>
        <w:trPr>
          <w:trHeight w:val="34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16.3</w:t>
            </w:r>
          </w:p>
        </w:tc>
        <w:tc>
          <w:tcPr>
            <w:tcW w:w="9660" w:type="dxa"/>
            <w:vAlign w:val="bottom"/>
          </w:tcPr>
          <w:p>
            <w:pPr>
              <w:ind w:left="280"/>
              <w:spacing w:after="0"/>
              <w:rPr>
                <w:sz w:val="20"/>
                <w:szCs w:val="20"/>
                <w:color w:val="auto"/>
              </w:rPr>
            </w:pPr>
            <w:r>
              <w:rPr>
                <w:rFonts w:ascii="Arial" w:cs="Arial" w:eastAsia="Arial" w:hAnsi="Arial"/>
                <w:sz w:val="17"/>
                <w:szCs w:val="17"/>
                <w:color w:val="auto"/>
                <w:w w:val="92"/>
              </w:rPr>
              <w:t>The Parties hereto agree that in case of any change to Party C’s shareholding structure or any addition or deduction of any of Party C’s</w:t>
            </w:r>
          </w:p>
        </w:tc>
      </w:tr>
      <w:tr>
        <w:trPr>
          <w:trHeight w:val="199"/>
        </w:trPr>
        <w:tc>
          <w:tcPr>
            <w:tcW w:w="580" w:type="dxa"/>
            <w:vAlign w:val="bottom"/>
          </w:tcPr>
          <w:p>
            <w:pPr>
              <w:spacing w:after="0"/>
              <w:rPr>
                <w:sz w:val="17"/>
                <w:szCs w:val="17"/>
                <w:color w:val="auto"/>
              </w:rPr>
            </w:pPr>
          </w:p>
        </w:tc>
        <w:tc>
          <w:tcPr>
            <w:tcW w:w="9660" w:type="dxa"/>
            <w:vAlign w:val="bottom"/>
          </w:tcPr>
          <w:p>
            <w:pPr>
              <w:ind w:left="280"/>
              <w:spacing w:after="0"/>
              <w:rPr>
                <w:sz w:val="20"/>
                <w:szCs w:val="20"/>
                <w:color w:val="auto"/>
              </w:rPr>
            </w:pPr>
            <w:r>
              <w:rPr>
                <w:rFonts w:ascii="Arial" w:cs="Arial" w:eastAsia="Arial" w:hAnsi="Arial"/>
                <w:sz w:val="17"/>
                <w:szCs w:val="17"/>
                <w:color w:val="auto"/>
                <w:w w:val="87"/>
              </w:rPr>
              <w:t>shareholders, Party A, Party C and Party C’s then-current shareholders shall re-sign this Agreement, and as of the effective date of the Equity</w:t>
            </w:r>
          </w:p>
        </w:tc>
      </w:tr>
      <w:tr>
        <w:trPr>
          <w:trHeight w:val="199"/>
        </w:trPr>
        <w:tc>
          <w:tcPr>
            <w:tcW w:w="580" w:type="dxa"/>
            <w:vAlign w:val="bottom"/>
          </w:tcPr>
          <w:p>
            <w:pPr>
              <w:spacing w:after="0"/>
              <w:rPr>
                <w:sz w:val="17"/>
                <w:szCs w:val="17"/>
                <w:color w:val="auto"/>
              </w:rPr>
            </w:pPr>
          </w:p>
        </w:tc>
        <w:tc>
          <w:tcPr>
            <w:tcW w:w="9660" w:type="dxa"/>
            <w:vAlign w:val="bottom"/>
          </w:tcPr>
          <w:p>
            <w:pPr>
              <w:ind w:left="280"/>
              <w:spacing w:after="0"/>
              <w:rPr>
                <w:sz w:val="20"/>
                <w:szCs w:val="20"/>
                <w:color w:val="auto"/>
              </w:rPr>
            </w:pPr>
            <w:r>
              <w:rPr>
                <w:rFonts w:ascii="Arial" w:cs="Arial" w:eastAsia="Arial" w:hAnsi="Arial"/>
                <w:sz w:val="17"/>
                <w:szCs w:val="17"/>
                <w:color w:val="auto"/>
                <w:w w:val="91"/>
              </w:rPr>
              <w:t>Interest Pledge Agreement re-entered into by and among the foregoing parties, this Agreement will automatically terminate and become</w:t>
            </w:r>
          </w:p>
        </w:tc>
      </w:tr>
      <w:tr>
        <w:trPr>
          <w:trHeight w:val="212"/>
        </w:trPr>
        <w:tc>
          <w:tcPr>
            <w:tcW w:w="580" w:type="dxa"/>
            <w:vAlign w:val="bottom"/>
          </w:tcPr>
          <w:p>
            <w:pPr>
              <w:spacing w:after="0"/>
              <w:rPr>
                <w:sz w:val="18"/>
                <w:szCs w:val="18"/>
                <w:color w:val="auto"/>
              </w:rPr>
            </w:pPr>
          </w:p>
        </w:tc>
        <w:tc>
          <w:tcPr>
            <w:tcW w:w="9660" w:type="dxa"/>
            <w:vAlign w:val="bottom"/>
          </w:tcPr>
          <w:p>
            <w:pPr>
              <w:ind w:left="280"/>
              <w:spacing w:after="0"/>
              <w:rPr>
                <w:sz w:val="20"/>
                <w:szCs w:val="20"/>
                <w:color w:val="auto"/>
              </w:rPr>
            </w:pPr>
            <w:r>
              <w:rPr>
                <w:rFonts w:ascii="Arial" w:cs="Arial" w:eastAsia="Arial" w:hAnsi="Arial"/>
                <w:sz w:val="17"/>
                <w:szCs w:val="17"/>
                <w:color w:val="auto"/>
              </w:rPr>
              <w:t>invalid.</w:t>
            </w:r>
          </w:p>
        </w:tc>
      </w:tr>
      <w:tr>
        <w:trPr>
          <w:trHeight w:val="361"/>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16.4</w:t>
            </w:r>
          </w:p>
        </w:tc>
        <w:tc>
          <w:tcPr>
            <w:tcW w:w="9660" w:type="dxa"/>
            <w:vAlign w:val="bottom"/>
          </w:tcPr>
          <w:p>
            <w:pPr>
              <w:ind w:left="28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page is the signature page to the Equity Interest Pledge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XIAO Bowen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XIAO Bowen</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LI Zhifeng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Zhifeng</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XIAO Bowen</w:t>
      </w:r>
      <w:r>
        <w:rPr>
          <w:rFonts w:ascii="Arial" w:cs="Arial" w:eastAsia="Arial" w:hAnsi="Arial"/>
          <w:sz w:val="17"/>
          <w:szCs w:val="17"/>
          <w:color w:val="auto"/>
        </w:rPr>
        <w:t xml:space="preserve"> (Seal)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Interest Pledge Agreement - Signature Page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 Pledgor</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680" w:type="dxa"/>
            <w:vAlign w:val="bottom"/>
            <w:tcBorders>
              <w:top w:val="single" w:sz="8" w:color="auto"/>
            </w:tcBorders>
          </w:tcPr>
          <w:p>
            <w:pPr>
              <w:spacing w:after="0"/>
              <w:rPr>
                <w:sz w:val="20"/>
                <w:szCs w:val="20"/>
                <w:color w:val="auto"/>
              </w:rPr>
            </w:pPr>
          </w:p>
        </w:tc>
        <w:tc>
          <w:tcPr>
            <w:tcW w:w="2280" w:type="dxa"/>
            <w:vAlign w:val="bottom"/>
            <w:tcBorders>
              <w:top w:val="single" w:sz="8" w:color="auto"/>
              <w:right w:val="single" w:sz="8" w:color="auto"/>
            </w:tcBorders>
            <w:gridSpan w:val="2"/>
          </w:tcPr>
          <w:p>
            <w:pPr>
              <w:jc w:val="center"/>
              <w:ind w:right="633"/>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jc w:val="center"/>
              <w:ind w:right="597"/>
              <w:spacing w:after="0"/>
              <w:rPr>
                <w:sz w:val="20"/>
                <w:szCs w:val="20"/>
                <w:color w:val="auto"/>
              </w:rPr>
            </w:pPr>
            <w:r>
              <w:rPr>
                <w:rFonts w:ascii="Arial" w:cs="Arial" w:eastAsia="Arial" w:hAnsi="Arial"/>
                <w:sz w:val="17"/>
                <w:szCs w:val="17"/>
                <w:color w:val="auto"/>
                <w:w w:val="91"/>
              </w:rPr>
              <w:t>ID Card No.</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
        </w:trPr>
        <w:tc>
          <w:tcPr>
            <w:tcW w:w="6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Borders>
              <w:right w:val="single" w:sz="8" w:color="auto"/>
            </w:tcBorders>
          </w:tcPr>
          <w:p>
            <w:pPr>
              <w:jc w:val="center"/>
              <w:ind w:right="793"/>
              <w:spacing w:after="0"/>
              <w:rPr>
                <w:sz w:val="20"/>
                <w:szCs w:val="20"/>
                <w:color w:val="auto"/>
              </w:rPr>
            </w:pPr>
            <w:r>
              <w:rPr>
                <w:rFonts w:ascii="Arial" w:cs="Arial" w:eastAsia="Arial" w:hAnsi="Arial"/>
                <w:sz w:val="17"/>
                <w:szCs w:val="17"/>
                <w:color w:val="auto"/>
                <w:w w:val="94"/>
              </w:rPr>
              <w:t>XIAO Bowen</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right w:val="single" w:sz="8" w:color="auto"/>
            </w:tcBorders>
          </w:tcPr>
          <w:p>
            <w:pPr>
              <w:jc w:val="center"/>
              <w:ind w:right="57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5"/>
        </w:trPr>
        <w:tc>
          <w:tcPr>
            <w:tcW w:w="6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Borders>
              <w:right w:val="single" w:sz="8" w:color="auto"/>
            </w:tcBorders>
          </w:tcPr>
          <w:p>
            <w:pPr>
              <w:jc w:val="center"/>
              <w:ind w:right="793"/>
              <w:spacing w:after="0"/>
              <w:rPr>
                <w:sz w:val="20"/>
                <w:szCs w:val="20"/>
                <w:color w:val="auto"/>
              </w:rPr>
            </w:pPr>
            <w:r>
              <w:rPr>
                <w:rFonts w:ascii="Arial" w:cs="Arial" w:eastAsia="Arial" w:hAnsi="Arial"/>
                <w:sz w:val="17"/>
                <w:szCs w:val="17"/>
                <w:color w:val="auto"/>
                <w:w w:val="95"/>
              </w:rPr>
              <w:t>LI Zhifeng</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right w:val="single" w:sz="8" w:color="auto"/>
            </w:tcBorders>
          </w:tcPr>
          <w:p>
            <w:pPr>
              <w:jc w:val="center"/>
              <w:ind w:right="57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5"/>
        </w:trPr>
        <w:tc>
          <w:tcPr>
            <w:tcW w:w="6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426"/>
        </w:trPr>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00" w:type="dxa"/>
            <w:vAlign w:val="bottom"/>
            <w:gridSpan w:val="5"/>
          </w:tcPr>
          <w:p>
            <w:pPr>
              <w:jc w:val="right"/>
              <w:ind w:right="1337"/>
              <w:spacing w:after="0"/>
              <w:rPr>
                <w:sz w:val="20"/>
                <w:szCs w:val="20"/>
                <w:color w:val="auto"/>
              </w:rPr>
            </w:pPr>
            <w:r>
              <w:rPr>
                <w:rFonts w:ascii="Arial" w:cs="Arial" w:eastAsia="Arial" w:hAnsi="Arial"/>
                <w:sz w:val="20"/>
                <w:szCs w:val="20"/>
                <w:b w:val="1"/>
                <w:bCs w:val="1"/>
                <w:color w:val="auto"/>
                <w:w w:val="93"/>
              </w:rPr>
              <w:t>Annex II Shareholding Structure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9"/>
        </w:trPr>
        <w:tc>
          <w:tcPr>
            <w:tcW w:w="6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spacing w:after="0"/>
              <w:rPr>
                <w:sz w:val="16"/>
                <w:szCs w:val="16"/>
                <w:color w:val="auto"/>
              </w:rPr>
            </w:pPr>
          </w:p>
        </w:tc>
        <w:tc>
          <w:tcPr>
            <w:tcW w:w="2180" w:type="dxa"/>
            <w:vAlign w:val="bottom"/>
            <w:tcBorders>
              <w:bottom w:val="single" w:sz="8" w:color="auto"/>
            </w:tcBorders>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2100" w:type="dxa"/>
            <w:vAlign w:val="bottom"/>
          </w:tcPr>
          <w:p>
            <w:pPr>
              <w:spacing w:after="0"/>
              <w:rPr>
                <w:sz w:val="18"/>
                <w:szCs w:val="18"/>
                <w:color w:val="auto"/>
              </w:rPr>
            </w:pPr>
          </w:p>
        </w:tc>
        <w:tc>
          <w:tcPr>
            <w:tcW w:w="3620" w:type="dxa"/>
            <w:vAlign w:val="bottom"/>
            <w:tcBorders>
              <w:right w:val="single" w:sz="8" w:color="auto"/>
            </w:tcBorders>
            <w:gridSpan w:val="6"/>
          </w:tcPr>
          <w:p>
            <w:pPr>
              <w:jc w:val="center"/>
              <w:ind w:right="2140"/>
              <w:spacing w:after="0"/>
              <w:rPr>
                <w:sz w:val="20"/>
                <w:szCs w:val="20"/>
                <w:color w:val="auto"/>
              </w:rPr>
            </w:pPr>
            <w:r>
              <w:rPr>
                <w:rFonts w:ascii="Arial" w:cs="Arial" w:eastAsia="Arial" w:hAnsi="Arial"/>
                <w:sz w:val="17"/>
                <w:szCs w:val="17"/>
                <w:color w:val="auto"/>
                <w:w w:val="86"/>
              </w:rPr>
              <w:t>Name of Shareholders</w:t>
            </w:r>
          </w:p>
        </w:tc>
        <w:tc>
          <w:tcPr>
            <w:tcW w:w="340" w:type="dxa"/>
            <w:vAlign w:val="bottom"/>
          </w:tcPr>
          <w:p>
            <w:pPr>
              <w:spacing w:after="0"/>
              <w:rPr>
                <w:sz w:val="18"/>
                <w:szCs w:val="18"/>
                <w:color w:val="auto"/>
              </w:rPr>
            </w:pPr>
          </w:p>
        </w:tc>
        <w:tc>
          <w:tcPr>
            <w:tcW w:w="1780" w:type="dxa"/>
            <w:vAlign w:val="bottom"/>
            <w:gridSpan w:val="2"/>
          </w:tcPr>
          <w:p>
            <w:pPr>
              <w:jc w:val="right"/>
              <w:ind w:right="17"/>
              <w:spacing w:after="0"/>
              <w:rPr>
                <w:sz w:val="20"/>
                <w:szCs w:val="20"/>
                <w:color w:val="auto"/>
              </w:rPr>
            </w:pPr>
            <w:r>
              <w:rPr>
                <w:rFonts w:ascii="Arial" w:cs="Arial" w:eastAsia="Arial" w:hAnsi="Arial"/>
                <w:sz w:val="17"/>
                <w:szCs w:val="17"/>
                <w:color w:val="auto"/>
                <w:w w:val="95"/>
              </w:rPr>
              <w:t>Amount of Contribution</w:t>
            </w:r>
          </w:p>
        </w:tc>
        <w:tc>
          <w:tcPr>
            <w:tcW w:w="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Equity Proportion</w:t>
            </w: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auto"/>
                <w:w w:val="94"/>
              </w:rPr>
              <w:t>XIAO Bowen</w:t>
            </w: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7"/>
                <w:szCs w:val="17"/>
                <w:color w:val="auto"/>
                <w:w w:val="84"/>
              </w:rPr>
              <w:t>190</w:t>
            </w:r>
          </w:p>
        </w:tc>
        <w:tc>
          <w:tcPr>
            <w:tcW w:w="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Borders>
              <w:right w:val="single" w:sz="8" w:color="auto"/>
            </w:tcBorders>
          </w:tcPr>
          <w:p>
            <w:pPr>
              <w:jc w:val="center"/>
              <w:ind w:right="597"/>
              <w:spacing w:after="0"/>
              <w:rPr>
                <w:sz w:val="20"/>
                <w:szCs w:val="20"/>
                <w:color w:val="auto"/>
              </w:rPr>
            </w:pPr>
            <w:r>
              <w:rPr>
                <w:rFonts w:ascii="Arial" w:cs="Arial" w:eastAsia="Arial" w:hAnsi="Arial"/>
                <w:sz w:val="17"/>
                <w:szCs w:val="17"/>
                <w:color w:val="auto"/>
                <w:w w:val="88"/>
              </w:rPr>
              <w:t>95%</w:t>
            </w: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auto"/>
                <w:w w:val="95"/>
              </w:rPr>
              <w:t>LI Zhifeng</w:t>
            </w: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7"/>
                <w:szCs w:val="17"/>
                <w:color w:val="auto"/>
                <w:w w:val="84"/>
              </w:rPr>
              <w:t>10</w:t>
            </w:r>
          </w:p>
        </w:tc>
        <w:tc>
          <w:tcPr>
            <w:tcW w:w="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Borders>
              <w:right w:val="single" w:sz="8" w:color="auto"/>
            </w:tcBorders>
          </w:tcPr>
          <w:p>
            <w:pPr>
              <w:jc w:val="center"/>
              <w:ind w:right="597"/>
              <w:spacing w:after="0"/>
              <w:rPr>
                <w:sz w:val="20"/>
                <w:szCs w:val="20"/>
                <w:color w:val="auto"/>
              </w:rPr>
            </w:pPr>
            <w:r>
              <w:rPr>
                <w:rFonts w:ascii="Arial" w:cs="Arial" w:eastAsia="Arial" w:hAnsi="Arial"/>
                <w:sz w:val="17"/>
                <w:szCs w:val="17"/>
                <w:color w:val="auto"/>
                <w:w w:val="89"/>
              </w:rPr>
              <w:t>5%</w:t>
            </w: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auto"/>
                <w:w w:val="89"/>
              </w:rPr>
              <w:t>Total</w:t>
            </w: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7"/>
                <w:szCs w:val="17"/>
                <w:color w:val="auto"/>
                <w:w w:val="84"/>
              </w:rPr>
              <w:t>200</w:t>
            </w:r>
          </w:p>
        </w:tc>
        <w:tc>
          <w:tcPr>
            <w:tcW w:w="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Borders>
              <w:right w:val="single" w:sz="8" w:color="auto"/>
            </w:tcBorders>
          </w:tcPr>
          <w:p>
            <w:pPr>
              <w:jc w:val="center"/>
              <w:ind w:right="597"/>
              <w:spacing w:after="0"/>
              <w:rPr>
                <w:sz w:val="20"/>
                <w:szCs w:val="20"/>
                <w:color w:val="auto"/>
              </w:rPr>
            </w:pPr>
            <w:r>
              <w:rPr>
                <w:rFonts w:ascii="Arial" w:cs="Arial" w:eastAsia="Arial" w:hAnsi="Arial"/>
                <w:sz w:val="17"/>
                <w:szCs w:val="17"/>
                <w:color w:val="auto"/>
                <w:w w:val="87"/>
              </w:rPr>
              <w:t>100%</w:t>
            </w: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180" w:type="dxa"/>
            <w:vAlign w:val="bottom"/>
            <w:tcBorders>
              <w:bottom w:val="single" w:sz="8" w:color="auto"/>
              <w:right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426"/>
        </w:trPr>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7"/>
          </w:tcPr>
          <w:p>
            <w:pPr>
              <w:jc w:val="right"/>
              <w:ind w:right="517"/>
              <w:spacing w:after="0"/>
              <w:rPr>
                <w:sz w:val="20"/>
                <w:szCs w:val="20"/>
                <w:color w:val="auto"/>
              </w:rPr>
            </w:pPr>
            <w:r>
              <w:rPr>
                <w:rFonts w:ascii="Arial" w:cs="Arial" w:eastAsia="Arial" w:hAnsi="Arial"/>
                <w:sz w:val="20"/>
                <w:szCs w:val="20"/>
                <w:b w:val="1"/>
                <w:bCs w:val="1"/>
                <w:color w:val="auto"/>
                <w:w w:val="94"/>
              </w:rPr>
              <w:t>Annex III Form of Party C’s Shareholders’ Register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89"/>
        </w:trPr>
        <w:tc>
          <w:tcPr>
            <w:tcW w:w="6660" w:type="dxa"/>
            <w:vAlign w:val="bottom"/>
            <w:gridSpan w:val="9"/>
          </w:tcPr>
          <w:p>
            <w:pPr>
              <w:spacing w:after="0"/>
              <w:rPr>
                <w:sz w:val="20"/>
                <w:szCs w:val="20"/>
                <w:color w:val="auto"/>
              </w:rPr>
            </w:pPr>
            <w:r>
              <w:rPr>
                <w:rFonts w:ascii="Arial" w:cs="Arial" w:eastAsia="Arial" w:hAnsi="Arial"/>
                <w:sz w:val="17"/>
                <w:szCs w:val="17"/>
                <w:b w:val="1"/>
                <w:bCs w:val="1"/>
                <w:color w:val="auto"/>
              </w:rPr>
              <w:t>Name of Company: Tianjin Shangde Online Education Technology Co., Ltd.</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9"/>
        </w:trPr>
        <w:tc>
          <w:tcPr>
            <w:tcW w:w="270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r>
      <w:tr>
        <w:trPr>
          <w:trHeight w:val="242"/>
        </w:trPr>
        <w:tc>
          <w:tcPr>
            <w:tcW w:w="2700" w:type="dxa"/>
            <w:vAlign w:val="bottom"/>
            <w:tcBorders>
              <w:left w:val="single" w:sz="8" w:color="auto"/>
              <w:right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Full name of the Shareholder</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7"/>
                <w:szCs w:val="17"/>
                <w:b w:val="1"/>
                <w:bCs w:val="1"/>
                <w:color w:val="auto"/>
                <w:w w:val="95"/>
              </w:rPr>
              <w:t>[XIAO Bowen]</w:t>
            </w:r>
          </w:p>
        </w:tc>
        <w:tc>
          <w:tcPr>
            <w:tcW w:w="160" w:type="dxa"/>
            <w:vAlign w:val="bottom"/>
            <w:tcBorders>
              <w:right w:val="single" w:sz="8" w:color="auto"/>
            </w:tcBorders>
          </w:tcPr>
          <w:p>
            <w:pPr>
              <w:spacing w:after="0"/>
              <w:rPr>
                <w:sz w:val="21"/>
                <w:szCs w:val="21"/>
                <w:color w:val="auto"/>
              </w:rPr>
            </w:pPr>
          </w:p>
        </w:tc>
        <w:tc>
          <w:tcPr>
            <w:tcW w:w="2520" w:type="dxa"/>
            <w:vAlign w:val="bottom"/>
            <w:gridSpan w:val="3"/>
          </w:tcPr>
          <w:p>
            <w:pPr>
              <w:ind w:left="300"/>
              <w:spacing w:after="0"/>
              <w:rPr>
                <w:sz w:val="20"/>
                <w:szCs w:val="20"/>
                <w:color w:val="auto"/>
              </w:rPr>
            </w:pPr>
            <w:r>
              <w:rPr>
                <w:rFonts w:ascii="Arial" w:cs="Arial" w:eastAsia="Arial" w:hAnsi="Arial"/>
                <w:sz w:val="17"/>
                <w:szCs w:val="17"/>
                <w:b w:val="1"/>
                <w:bCs w:val="1"/>
                <w:color w:val="auto"/>
                <w:w w:val="94"/>
              </w:rPr>
              <w:t>ID Card No./ Registration No.</w:t>
            </w:r>
          </w:p>
        </w:tc>
        <w:tc>
          <w:tcPr>
            <w:tcW w:w="240" w:type="dxa"/>
            <w:vAlign w:val="bottom"/>
            <w:tcBorders>
              <w:right w:val="single" w:sz="8" w:color="auto"/>
            </w:tcBorders>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[[•]]Occupa tion/]</w:t>
            </w:r>
          </w:p>
        </w:tc>
        <w:tc>
          <w:tcPr>
            <w:tcW w:w="14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Identity</w:t>
            </w:r>
          </w:p>
        </w:tc>
        <w:tc>
          <w:tcPr>
            <w:tcW w:w="1860" w:type="dxa"/>
            <w:vAlign w:val="bottom"/>
            <w:tcBorders>
              <w:right w:val="single" w:sz="8" w:color="auto"/>
            </w:tcBorders>
          </w:tcPr>
          <w:p>
            <w:pPr>
              <w:ind w:left="220"/>
              <w:spacing w:after="0"/>
              <w:rPr>
                <w:sz w:val="20"/>
                <w:szCs w:val="20"/>
                <w:color w:val="auto"/>
              </w:rPr>
            </w:pPr>
            <w:r>
              <w:rPr>
                <w:rFonts w:ascii="Arial" w:cs="Arial" w:eastAsia="Arial" w:hAnsi="Arial"/>
                <w:sz w:val="17"/>
                <w:szCs w:val="17"/>
                <w:b w:val="1"/>
                <w:bCs w:val="1"/>
                <w:color w:val="auto"/>
              </w:rPr>
              <w:t>Executive Director</w:t>
            </w: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84390" cy="412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405" w:name="page406"/>
    <w:bookmarkEnd w:id="405"/>
    <w:tbl>
      <w:tblPr>
        <w:tblLayout w:type="fixed"/>
        <w:tblInd w:w="10" w:type="dxa"/>
        <w:tblCellMar>
          <w:top w:w="0" w:type="dxa"/>
          <w:left w:w="0" w:type="dxa"/>
          <w:bottom w:w="0" w:type="dxa"/>
          <w:right w:w="0" w:type="dxa"/>
        </w:tblCellMar>
      </w:tblPr>
      <w:tr>
        <w:trPr>
          <w:trHeight w:val="249"/>
        </w:trPr>
        <w:tc>
          <w:tcPr>
            <w:tcW w:w="1880" w:type="dxa"/>
            <w:vAlign w:val="bottom"/>
            <w:tcBorders>
              <w:left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90"/>
              </w:rPr>
              <w:t>Address of Domicile</w:t>
            </w:r>
          </w:p>
        </w:tc>
        <w:tc>
          <w:tcPr>
            <w:tcW w:w="1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gridSpan w:val="2"/>
          </w:tcPr>
          <w:p>
            <w:pPr>
              <w:jc w:val="right"/>
              <w:ind w:right="17"/>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417"/>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42"/>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2960" w:type="dxa"/>
            <w:vAlign w:val="bottom"/>
            <w:gridSpan w:val="8"/>
          </w:tcPr>
          <w:p>
            <w:pPr>
              <w:jc w:val="center"/>
              <w:ind w:left="117"/>
              <w:spacing w:after="0"/>
              <w:rPr>
                <w:sz w:val="20"/>
                <w:szCs w:val="20"/>
                <w:color w:val="auto"/>
              </w:rPr>
            </w:pPr>
            <w:r>
              <w:rPr>
                <w:rFonts w:ascii="Arial" w:cs="Arial" w:eastAsia="Arial" w:hAnsi="Arial"/>
                <w:sz w:val="17"/>
                <w:szCs w:val="17"/>
                <w:b w:val="1"/>
                <w:bCs w:val="1"/>
                <w:color w:val="auto"/>
                <w:w w:val="89"/>
              </w:rPr>
              <w:t>Contribution Amount/ Consideration</w:t>
            </w:r>
          </w:p>
        </w:tc>
        <w:tc>
          <w:tcPr>
            <w:tcW w:w="2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60" w:type="dxa"/>
            <w:vAlign w:val="bottom"/>
            <w:tcBorders>
              <w:right w:val="single" w:sz="8" w:color="auto"/>
            </w:tcBorders>
            <w:gridSpan w:val="4"/>
          </w:tcPr>
          <w:p>
            <w:pPr>
              <w:ind w:left="380"/>
              <w:spacing w:after="0"/>
              <w:rPr>
                <w:sz w:val="20"/>
                <w:szCs w:val="20"/>
                <w:color w:val="auto"/>
              </w:rPr>
            </w:pPr>
            <w:r>
              <w:rPr>
                <w:rFonts w:ascii="Arial" w:cs="Arial" w:eastAsia="Arial" w:hAnsi="Arial"/>
                <w:sz w:val="17"/>
                <w:szCs w:val="17"/>
                <w:b w:val="1"/>
                <w:bCs w:val="1"/>
                <w:color w:val="auto"/>
              </w:rPr>
              <w:t>Shareholding Percentage</w:t>
            </w: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7"/>
                <w:szCs w:val="17"/>
                <w:b w:val="1"/>
                <w:bCs w:val="1"/>
                <w:color w:val="auto"/>
              </w:rPr>
              <w:t>Note</w:t>
            </w:r>
          </w:p>
        </w:tc>
        <w:tc>
          <w:tcPr>
            <w:tcW w:w="30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gridSpan w:val="2"/>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center"/>
              <w:ind w:right="317"/>
              <w:spacing w:after="0"/>
              <w:rPr>
                <w:sz w:val="20"/>
                <w:szCs w:val="20"/>
                <w:color w:val="auto"/>
              </w:rPr>
            </w:pPr>
            <w:r>
              <w:rPr>
                <w:rFonts w:ascii="Arial" w:cs="Arial" w:eastAsia="Arial" w:hAnsi="Arial"/>
                <w:sz w:val="17"/>
                <w:szCs w:val="17"/>
                <w:color w:val="auto"/>
                <w:w w:val="96"/>
              </w:rPr>
              <w:t>CNY [190]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gridSpan w:val="2"/>
          </w:tcPr>
          <w:p>
            <w:pPr>
              <w:jc w:val="right"/>
              <w:ind w:right="197"/>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95]%</w:t>
            </w:r>
          </w:p>
        </w:tc>
        <w:tc>
          <w:tcPr>
            <w:tcW w:w="1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auto"/>
                <w:w w:val="91"/>
              </w:rPr>
              <w:t>100% of the equity being pledged to [</w:t>
            </w:r>
          </w:p>
        </w:tc>
        <w:tc>
          <w:tcPr>
            <w:tcW w:w="1800" w:type="dxa"/>
            <w:vAlign w:val="bottom"/>
            <w:tcBorders>
              <w:right w:val="single" w:sz="8" w:color="auto"/>
            </w:tcBorders>
            <w:gridSpan w:val="2"/>
          </w:tcPr>
          <w:p>
            <w:pPr>
              <w:jc w:val="right"/>
              <w:ind w:right="37"/>
              <w:spacing w:after="0"/>
              <w:rPr>
                <w:sz w:val="20"/>
                <w:szCs w:val="20"/>
                <w:color w:val="auto"/>
              </w:rPr>
            </w:pPr>
            <w:r>
              <w:rPr>
                <w:rFonts w:ascii="Arial" w:cs="Arial" w:eastAsia="Arial" w:hAnsi="Arial"/>
                <w:sz w:val="17"/>
                <w:szCs w:val="17"/>
                <w:color w:val="auto"/>
                <w:w w:val="93"/>
              </w:rPr>
              <w:t>Wuhan Studyvip Online</w:t>
            </w: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gridSpan w:val="3"/>
          </w:tcPr>
          <w:p>
            <w:pPr>
              <w:ind w:left="780"/>
              <w:spacing w:after="0"/>
              <w:rPr>
                <w:sz w:val="20"/>
                <w:szCs w:val="20"/>
                <w:color w:val="auto"/>
              </w:rPr>
            </w:pPr>
            <w:r>
              <w:rPr>
                <w:rFonts w:ascii="Arial" w:cs="Arial" w:eastAsia="Arial" w:hAnsi="Arial"/>
                <w:sz w:val="17"/>
                <w:szCs w:val="17"/>
                <w:color w:val="auto"/>
              </w:rPr>
              <w:t>Education Co., Limited</w:t>
            </w:r>
          </w:p>
        </w:tc>
        <w:tc>
          <w:tcPr>
            <w:tcW w:w="1500" w:type="dxa"/>
            <w:vAlign w:val="bottom"/>
            <w:tcBorders>
              <w:right w:val="single" w:sz="8" w:color="auto"/>
            </w:tcBorders>
          </w:tcPr>
          <w:p>
            <w:pPr>
              <w:jc w:val="right"/>
              <w:ind w:right="1197"/>
              <w:spacing w:after="0"/>
              <w:rPr>
                <w:sz w:val="20"/>
                <w:szCs w:val="20"/>
                <w:color w:val="auto"/>
              </w:rPr>
            </w:pPr>
            <w:r>
              <w:rPr>
                <w:rFonts w:ascii="Arial" w:cs="Arial" w:eastAsia="Arial" w:hAnsi="Arial"/>
                <w:sz w:val="17"/>
                <w:szCs w:val="17"/>
                <w:color w:val="auto"/>
              </w:rPr>
              <w:t>]</w:t>
            </w: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491"/>
        </w:trPr>
        <w:tc>
          <w:tcPr>
            <w:tcW w:w="188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25"/>
        </w:trPr>
        <w:tc>
          <w:tcPr>
            <w:tcW w:w="1880" w:type="dxa"/>
            <w:vAlign w:val="bottom"/>
            <w:tcBorders>
              <w:left w:val="single" w:sz="8" w:color="auto"/>
            </w:tcBorders>
            <w:gridSpan w:val="2"/>
          </w:tcPr>
          <w:p>
            <w:pPr>
              <w:jc w:val="center"/>
              <w:ind w:left="77"/>
              <w:spacing w:after="0"/>
              <w:rPr>
                <w:sz w:val="20"/>
                <w:szCs w:val="20"/>
                <w:color w:val="auto"/>
              </w:rPr>
            </w:pPr>
            <w:r>
              <w:rPr>
                <w:rFonts w:ascii="Arial" w:cs="Arial" w:eastAsia="Arial" w:hAnsi="Arial"/>
                <w:sz w:val="17"/>
                <w:szCs w:val="17"/>
                <w:b w:val="1"/>
                <w:bCs w:val="1"/>
                <w:color w:val="auto"/>
                <w:w w:val="88"/>
              </w:rPr>
              <w:t>Full name of the</w:t>
            </w:r>
          </w:p>
        </w:tc>
        <w:tc>
          <w:tcPr>
            <w:tcW w:w="16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940" w:type="dxa"/>
            <w:vAlign w:val="bottom"/>
          </w:tcPr>
          <w:p>
            <w:pPr>
              <w:jc w:val="right"/>
              <w:ind w:right="77"/>
              <w:spacing w:after="0"/>
              <w:rPr>
                <w:sz w:val="20"/>
                <w:szCs w:val="20"/>
                <w:color w:val="auto"/>
              </w:rPr>
            </w:pPr>
            <w:r>
              <w:rPr>
                <w:rFonts w:ascii="Arial" w:cs="Arial" w:eastAsia="Arial" w:hAnsi="Arial"/>
                <w:sz w:val="17"/>
                <w:szCs w:val="17"/>
                <w:b w:val="1"/>
                <w:bCs w:val="1"/>
                <w:color w:val="auto"/>
                <w:w w:val="93"/>
              </w:rPr>
              <w:t>LI Zhifeng</w:t>
            </w:r>
          </w:p>
        </w:tc>
        <w:tc>
          <w:tcPr>
            <w:tcW w:w="380" w:type="dxa"/>
            <w:vAlign w:val="bottom"/>
            <w:tcBorders>
              <w:right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2060" w:type="dxa"/>
            <w:vAlign w:val="bottom"/>
            <w:tcBorders>
              <w:right w:val="single" w:sz="8" w:color="auto"/>
            </w:tcBorders>
            <w:gridSpan w:val="4"/>
          </w:tcPr>
          <w:p>
            <w:pPr>
              <w:jc w:val="center"/>
              <w:ind w:right="97"/>
              <w:spacing w:after="0"/>
              <w:rPr>
                <w:sz w:val="20"/>
                <w:szCs w:val="20"/>
                <w:color w:val="auto"/>
              </w:rPr>
            </w:pPr>
            <w:r>
              <w:rPr>
                <w:rFonts w:ascii="Arial" w:cs="Arial" w:eastAsia="Arial" w:hAnsi="Arial"/>
                <w:sz w:val="17"/>
                <w:szCs w:val="17"/>
                <w:b w:val="1"/>
                <w:bCs w:val="1"/>
                <w:color w:val="auto"/>
                <w:w w:val="91"/>
              </w:rPr>
              <w:t>ID Card No./ Registration</w:t>
            </w:r>
          </w:p>
        </w:tc>
        <w:tc>
          <w:tcPr>
            <w:tcW w:w="16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7"/>
                <w:szCs w:val="17"/>
                <w:b w:val="1"/>
                <w:bCs w:val="1"/>
                <w:color w:val="auto"/>
              </w:rPr>
              <w:t>[  [•]</w:t>
            </w:r>
          </w:p>
        </w:tc>
        <w:tc>
          <w:tcPr>
            <w:tcW w:w="440" w:type="dxa"/>
            <w:vAlign w:val="bottom"/>
            <w:tcBorders>
              <w:right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Occupation/</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r>
      <w:tr>
        <w:trPr>
          <w:trHeight w:val="216"/>
        </w:trPr>
        <w:tc>
          <w:tcPr>
            <w:tcW w:w="1880" w:type="dxa"/>
            <w:vAlign w:val="bottom"/>
            <w:tcBorders>
              <w:left w:val="single" w:sz="8" w:color="auto"/>
            </w:tcBorders>
            <w:gridSpan w:val="2"/>
          </w:tcPr>
          <w:p>
            <w:pPr>
              <w:jc w:val="center"/>
              <w:ind w:left="77"/>
              <w:spacing w:after="0"/>
              <w:rPr>
                <w:sz w:val="20"/>
                <w:szCs w:val="20"/>
                <w:color w:val="auto"/>
              </w:rPr>
            </w:pPr>
            <w:r>
              <w:rPr>
                <w:rFonts w:ascii="Arial" w:cs="Arial" w:eastAsia="Arial" w:hAnsi="Arial"/>
                <w:sz w:val="17"/>
                <w:szCs w:val="17"/>
                <w:b w:val="1"/>
                <w:bCs w:val="1"/>
                <w:color w:val="auto"/>
                <w:w w:val="88"/>
              </w:rPr>
              <w:t>Shareholder</w:t>
            </w: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center"/>
              <w:ind w:left="37"/>
              <w:spacing w:after="0"/>
              <w:rPr>
                <w:sz w:val="20"/>
                <w:szCs w:val="20"/>
                <w:color w:val="auto"/>
              </w:rPr>
            </w:pPr>
            <w:r>
              <w:rPr>
                <w:rFonts w:ascii="Arial" w:cs="Arial" w:eastAsia="Arial" w:hAnsi="Arial"/>
                <w:sz w:val="17"/>
                <w:szCs w:val="17"/>
                <w:b w:val="1"/>
                <w:bCs w:val="1"/>
                <w:color w:val="auto"/>
                <w:w w:val="87"/>
              </w:rPr>
              <w:t>No.</w:t>
            </w:r>
          </w:p>
        </w:tc>
        <w:tc>
          <w:tcPr>
            <w:tcW w:w="5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Identity</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50"/>
        </w:trPr>
        <w:tc>
          <w:tcPr>
            <w:tcW w:w="1880" w:type="dxa"/>
            <w:vAlign w:val="bottom"/>
            <w:tcBorders>
              <w:left w:val="single" w:sz="8" w:color="auto"/>
              <w:bottom w:val="single" w:sz="8" w:color="auto"/>
            </w:tcBorders>
            <w:gridSpan w:val="2"/>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gridSpan w:val="3"/>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42"/>
        </w:trPr>
        <w:tc>
          <w:tcPr>
            <w:tcW w:w="1880" w:type="dxa"/>
            <w:vAlign w:val="bottom"/>
            <w:tcBorders>
              <w:left w:val="single" w:sz="8" w:color="auto"/>
            </w:tcBorders>
            <w:gridSpan w:val="2"/>
          </w:tcPr>
          <w:p>
            <w:pPr>
              <w:ind w:left="400"/>
              <w:spacing w:after="0"/>
              <w:rPr>
                <w:sz w:val="20"/>
                <w:szCs w:val="20"/>
                <w:color w:val="auto"/>
              </w:rPr>
            </w:pPr>
            <w:r>
              <w:rPr>
                <w:rFonts w:ascii="Arial" w:cs="Arial" w:eastAsia="Arial" w:hAnsi="Arial"/>
                <w:sz w:val="17"/>
                <w:szCs w:val="17"/>
                <w:b w:val="1"/>
                <w:bCs w:val="1"/>
                <w:color w:val="auto"/>
                <w:w w:val="88"/>
              </w:rPr>
              <w:t>Address of Domicile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337"/>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right w:val="single" w:sz="8" w:color="auto"/>
            </w:tcBorders>
            <w:gridSpan w:val="2"/>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42"/>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2960" w:type="dxa"/>
            <w:vAlign w:val="bottom"/>
            <w:gridSpan w:val="8"/>
          </w:tcPr>
          <w:p>
            <w:pPr>
              <w:ind w:left="300"/>
              <w:spacing w:after="0"/>
              <w:rPr>
                <w:sz w:val="20"/>
                <w:szCs w:val="20"/>
                <w:color w:val="auto"/>
              </w:rPr>
            </w:pPr>
            <w:r>
              <w:rPr>
                <w:rFonts w:ascii="Arial" w:cs="Arial" w:eastAsia="Arial" w:hAnsi="Arial"/>
                <w:sz w:val="17"/>
                <w:szCs w:val="17"/>
                <w:b w:val="1"/>
                <w:bCs w:val="1"/>
                <w:color w:val="auto"/>
                <w:w w:val="89"/>
              </w:rPr>
              <w:t>Contribution Amount/ Consideration</w:t>
            </w:r>
          </w:p>
        </w:tc>
        <w:tc>
          <w:tcPr>
            <w:tcW w:w="2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gridSpan w:val="4"/>
          </w:tcPr>
          <w:p>
            <w:pPr>
              <w:ind w:left="440"/>
              <w:spacing w:after="0"/>
              <w:rPr>
                <w:sz w:val="20"/>
                <w:szCs w:val="20"/>
                <w:color w:val="auto"/>
              </w:rPr>
            </w:pPr>
            <w:r>
              <w:rPr>
                <w:rFonts w:ascii="Arial" w:cs="Arial" w:eastAsia="Arial" w:hAnsi="Arial"/>
                <w:sz w:val="17"/>
                <w:szCs w:val="17"/>
                <w:b w:val="1"/>
                <w:bCs w:val="1"/>
                <w:color w:val="auto"/>
              </w:rPr>
              <w:t>Shareholding Percentage</w:t>
            </w: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7"/>
                <w:szCs w:val="17"/>
                <w:b w:val="1"/>
                <w:bCs w:val="1"/>
                <w:color w:val="auto"/>
              </w:rPr>
              <w:t>Note</w:t>
            </w:r>
          </w:p>
        </w:tc>
        <w:tc>
          <w:tcPr>
            <w:tcW w:w="30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gridSpan w:val="2"/>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gridSpan w:val="2"/>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CNY [</w:t>
            </w:r>
          </w:p>
        </w:tc>
        <w:tc>
          <w:tcPr>
            <w:tcW w:w="940" w:type="dxa"/>
            <w:vAlign w:val="bottom"/>
          </w:tcPr>
          <w:p>
            <w:pPr>
              <w:jc w:val="right"/>
              <w:ind w:right="117"/>
              <w:spacing w:after="0"/>
              <w:rPr>
                <w:sz w:val="20"/>
                <w:szCs w:val="20"/>
                <w:color w:val="auto"/>
              </w:rPr>
            </w:pPr>
            <w:r>
              <w:rPr>
                <w:rFonts w:ascii="Arial" w:cs="Arial" w:eastAsia="Arial" w:hAnsi="Arial"/>
                <w:sz w:val="17"/>
                <w:szCs w:val="17"/>
                <w:color w:val="auto"/>
              </w:rPr>
              <w:t>10   ]</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right w:val="single" w:sz="8" w:color="auto"/>
            </w:tcBorders>
            <w:gridSpan w:val="2"/>
          </w:tcPr>
          <w:p>
            <w:pPr>
              <w:spacing w:after="0"/>
              <w:rPr>
                <w:sz w:val="19"/>
                <w:szCs w:val="19"/>
                <w:color w:val="auto"/>
              </w:rPr>
            </w:pPr>
          </w:p>
        </w:tc>
        <w:tc>
          <w:tcPr>
            <w:tcW w:w="120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5 ]%</w:t>
            </w:r>
          </w:p>
        </w:tc>
        <w:tc>
          <w:tcPr>
            <w:tcW w:w="720" w:type="dxa"/>
            <w:vAlign w:val="bottom"/>
            <w:tcBorders>
              <w:right w:val="single" w:sz="8" w:color="auto"/>
            </w:tcBorders>
          </w:tcPr>
          <w:p>
            <w:pPr>
              <w:spacing w:after="0"/>
              <w:rPr>
                <w:sz w:val="19"/>
                <w:szCs w:val="19"/>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auto"/>
                <w:w w:val="91"/>
              </w:rPr>
              <w:t>100% of the equity being pledged to [</w:t>
            </w:r>
          </w:p>
        </w:tc>
        <w:tc>
          <w:tcPr>
            <w:tcW w:w="1800" w:type="dxa"/>
            <w:vAlign w:val="bottom"/>
            <w:tcBorders>
              <w:right w:val="single" w:sz="8" w:color="auto"/>
            </w:tcBorders>
            <w:gridSpan w:val="2"/>
          </w:tcPr>
          <w:p>
            <w:pPr>
              <w:jc w:val="right"/>
              <w:spacing w:after="0"/>
              <w:rPr>
                <w:sz w:val="20"/>
                <w:szCs w:val="20"/>
                <w:color w:val="auto"/>
              </w:rPr>
            </w:pPr>
            <w:r>
              <w:rPr>
                <w:rFonts w:ascii="Arial" w:cs="Arial" w:eastAsia="Arial" w:hAnsi="Arial"/>
                <w:sz w:val="17"/>
                <w:szCs w:val="17"/>
                <w:color w:val="auto"/>
                <w:w w:val="95"/>
              </w:rPr>
              <w:t>Wuhan Studyvip Online</w:t>
            </w: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gridSpan w:val="3"/>
          </w:tcPr>
          <w:p>
            <w:pPr>
              <w:ind w:left="760"/>
              <w:spacing w:after="0"/>
              <w:rPr>
                <w:sz w:val="20"/>
                <w:szCs w:val="20"/>
                <w:color w:val="auto"/>
              </w:rPr>
            </w:pPr>
            <w:r>
              <w:rPr>
                <w:rFonts w:ascii="Arial" w:cs="Arial" w:eastAsia="Arial" w:hAnsi="Arial"/>
                <w:sz w:val="17"/>
                <w:szCs w:val="17"/>
                <w:color w:val="auto"/>
              </w:rPr>
              <w:t>Education Co., Limited</w:t>
            </w:r>
          </w:p>
        </w:tc>
        <w:tc>
          <w:tcPr>
            <w:tcW w:w="1500" w:type="dxa"/>
            <w:vAlign w:val="bottom"/>
            <w:tcBorders>
              <w:right w:val="single" w:sz="8" w:color="auto"/>
            </w:tcBorders>
          </w:tcPr>
          <w:p>
            <w:pPr>
              <w:jc w:val="right"/>
              <w:ind w:right="1137"/>
              <w:spacing w:after="0"/>
              <w:rPr>
                <w:sz w:val="20"/>
                <w:szCs w:val="20"/>
                <w:color w:val="auto"/>
              </w:rPr>
            </w:pPr>
            <w:r>
              <w:rPr>
                <w:rFonts w:ascii="Arial" w:cs="Arial" w:eastAsia="Arial" w:hAnsi="Arial"/>
                <w:sz w:val="17"/>
                <w:szCs w:val="17"/>
                <w:color w:val="auto"/>
              </w:rPr>
              <w:t>]</w:t>
            </w: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Annotation:</w:t>
      </w:r>
    </w:p>
    <w:p>
      <w:pPr>
        <w:spacing w:after="0" w:line="166" w:lineRule="exact"/>
        <w:rPr>
          <w:sz w:val="20"/>
          <w:szCs w:val="20"/>
          <w:color w:val="auto"/>
        </w:rPr>
      </w:pPr>
    </w:p>
    <w:p>
      <w:pPr>
        <w:jc w:val="both"/>
        <w:ind w:right="460"/>
        <w:spacing w:after="0" w:line="280" w:lineRule="auto"/>
        <w:tabs>
          <w:tab w:leader="none" w:pos="166" w:val="left"/>
        </w:tabs>
        <w:numPr>
          <w:ilvl w:val="0"/>
          <w:numId w:val="441"/>
        </w:numPr>
        <w:rPr>
          <w:rFonts w:ascii="Arial" w:cs="Arial" w:eastAsia="Arial" w:hAnsi="Arial"/>
          <w:sz w:val="16"/>
          <w:szCs w:val="16"/>
          <w:b w:val="1"/>
          <w:bCs w:val="1"/>
          <w:color w:val="auto"/>
        </w:rPr>
      </w:pPr>
      <w:r>
        <w:rPr>
          <w:rFonts w:ascii="Arial" w:cs="Arial" w:eastAsia="Arial" w:hAnsi="Arial"/>
          <w:sz w:val="16"/>
          <w:szCs w:val="16"/>
          <w:b w:val="1"/>
          <w:bCs w:val="1"/>
          <w:color w:val="auto"/>
        </w:rPr>
        <w:t>This Shareholders’ Register is prepared as per the Articles of Association of Wuhan Hadeliang Online Education Technology Co., Ltd. and the Equity Interest Pledge Agreement (the “Pledge Agreement”) was made as of the 22nd day of September, 2020 and entered into by and among Wuhan Hadeliang Online Education Technology Co., Ltd. and its shareholders and Wuhan Studyvip Online Education Co., Limited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This Shareholders’ Register is made in ONE (1) original and ONE (1) true and same photocopy of such original. Such ONE (1) original is placed at Tianjin Shangde Online</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Education Technology Co., Ltd.; and such ONE (1) photocopy being sealed by Tianjin Shangde Online Education Technology Co., Ltd. is handed over to Wuhan Studyvip Online Education Co., Limited for custody.</w:t>
      </w:r>
    </w:p>
    <w:p>
      <w:pPr>
        <w:spacing w:after="0" w:line="135"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Hadeliang Online Education Technology Co., Ltd. (Seal)</w:t>
      </w:r>
    </w:p>
    <w:p>
      <w:pPr>
        <w:spacing w:after="0" w:line="207" w:lineRule="exact"/>
        <w:rPr>
          <w:sz w:val="20"/>
          <w:szCs w:val="20"/>
          <w:color w:val="auto"/>
        </w:rPr>
      </w:pPr>
    </w:p>
    <w:p>
      <w:pPr>
        <w:spacing w:after="0"/>
        <w:tabs>
          <w:tab w:leader="none" w:pos="3240" w:val="left"/>
        </w:tabs>
        <w:rPr>
          <w:sz w:val="20"/>
          <w:szCs w:val="20"/>
          <w:color w:val="auto"/>
        </w:rPr>
      </w:pPr>
      <w:r>
        <w:rPr>
          <w:rFonts w:ascii="Arial" w:cs="Arial" w:eastAsia="Arial" w:hAnsi="Arial"/>
          <w:sz w:val="17"/>
          <w:szCs w:val="17"/>
          <w:color w:val="auto"/>
        </w:rPr>
        <w:t>Legal Representative (Signature):</w:t>
      </w:r>
      <w:r>
        <w:rPr>
          <w:sz w:val="20"/>
          <w:szCs w:val="20"/>
          <w:color w:val="auto"/>
        </w:rPr>
        <w:tab/>
      </w:r>
      <w:r>
        <w:rPr>
          <w:rFonts w:ascii="Arial" w:cs="Arial" w:eastAsia="Arial" w:hAnsi="Arial"/>
          <w:sz w:val="15"/>
          <w:szCs w:val="15"/>
          <w:color w:val="auto"/>
        </w:rPr>
        <w:t>/s/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10160</wp:posOffset>
            </wp:positionV>
            <wp:extent cx="2816225"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1">
                      <a:extLst>
                        <a:ext uri="{28A0092B-C50C-407E-A947-70E740481C1C}"/>
                      </a:extLst>
                    </a:blip>
                    <a:srcRect/>
                    <a:stretch>
                      <a:fillRect/>
                    </a:stretch>
                  </pic:blipFill>
                  <pic:spPr bwMode="auto">
                    <a:xfrm>
                      <a:off x="0" y="0"/>
                      <a:ext cx="2816225" cy="762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338" w:right="3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7"/>
          <w:szCs w:val="17"/>
          <w:b w:val="1"/>
          <w:bCs w:val="1"/>
          <w:color w:val="auto"/>
        </w:rPr>
        <w:t>Exhibit 4.49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This Option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22nd day of September, 2020 in Beijing, the People’s Republic of China (“</w:t>
      </w:r>
      <w:r>
        <w:rPr>
          <w:rFonts w:ascii="Arial" w:cs="Arial" w:eastAsia="Arial" w:hAnsi="Arial"/>
          <w:sz w:val="15"/>
          <w:szCs w:val="15"/>
          <w:b w:val="1"/>
          <w:bCs w:val="1"/>
          <w:color w:val="auto"/>
        </w:rPr>
        <w:t>PRC</w:t>
      </w:r>
      <w:r>
        <w:rPr>
          <w:rFonts w:ascii="Arial" w:cs="Arial" w:eastAsia="Arial" w:hAnsi="Arial"/>
          <w:sz w:val="15"/>
          <w:szCs w:val="15"/>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Wuhan Hadeliang Online Education Technology Co., Ltd.</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Room 03, 3rd Floor, Building 3, Building 1, 2, 3, Contemporary China Venture Center, No. 20, Guannanyuan 1st Road, East Lake New Technology Development Zone, Wuhan (Wuhan Area, Free Trade Zone)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XIAO Bowen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182" w:lineRule="exact"/>
        <w:rPr>
          <w:sz w:val="20"/>
          <w:szCs w:val="20"/>
          <w:color w:val="auto"/>
        </w:rPr>
      </w:pPr>
    </w:p>
    <w:p>
      <w:pPr>
        <w:ind w:left="580" w:hanging="580"/>
        <w:spacing w:after="0"/>
        <w:tabs>
          <w:tab w:leader="none" w:pos="5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165" w:lineRule="exact"/>
        <w:rPr>
          <w:rFonts w:ascii="Arial" w:cs="Arial" w:eastAsia="Arial" w:hAnsi="Arial"/>
          <w:sz w:val="17"/>
          <w:szCs w:val="17"/>
          <w:color w:val="auto"/>
        </w:rPr>
      </w:pPr>
    </w:p>
    <w:p>
      <w:pPr>
        <w:ind w:left="580" w:hanging="580"/>
        <w:spacing w:after="0"/>
        <w:tabs>
          <w:tab w:leader="none" w:pos="5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Party C is a limited liability company incorporated and existing under the laws of the PRC.</w:t>
      </w:r>
    </w:p>
    <w:p>
      <w:pPr>
        <w:spacing w:after="0" w:line="161" w:lineRule="exact"/>
        <w:rPr>
          <w:rFonts w:ascii="Arial" w:cs="Arial" w:eastAsia="Arial" w:hAnsi="Arial"/>
          <w:sz w:val="17"/>
          <w:szCs w:val="17"/>
          <w:color w:val="auto"/>
        </w:rPr>
      </w:pPr>
    </w:p>
    <w:p>
      <w:pPr>
        <w:ind w:left="580" w:hanging="580"/>
        <w:spacing w:after="0"/>
        <w:tabs>
          <w:tab w:leader="none" w:pos="5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Party B (“</w:t>
      </w:r>
      <w:r>
        <w:rPr>
          <w:rFonts w:ascii="Arial" w:cs="Arial" w:eastAsia="Arial" w:hAnsi="Arial"/>
          <w:sz w:val="17"/>
          <w:szCs w:val="17"/>
          <w:b w:val="1"/>
          <w:bCs w:val="1"/>
          <w:color w:val="auto"/>
        </w:rPr>
        <w:t>Grantors</w:t>
      </w:r>
      <w:r>
        <w:rPr>
          <w:rFonts w:ascii="Arial" w:cs="Arial" w:eastAsia="Arial" w:hAnsi="Arial"/>
          <w:sz w:val="17"/>
          <w:szCs w:val="17"/>
          <w:color w:val="auto"/>
        </w:rPr>
        <w:t>”) directly hold their interests in Party C, and the shareholdings are shown in Annex II hereto.</w:t>
      </w:r>
    </w:p>
    <w:p>
      <w:pPr>
        <w:spacing w:after="0" w:line="169" w:lineRule="exact"/>
        <w:rPr>
          <w:rFonts w:ascii="Arial" w:cs="Arial" w:eastAsia="Arial" w:hAnsi="Arial"/>
          <w:sz w:val="17"/>
          <w:szCs w:val="17"/>
          <w:color w:val="auto"/>
        </w:rPr>
      </w:pPr>
    </w:p>
    <w:p>
      <w:pPr>
        <w:ind w:left="580" w:hanging="580"/>
        <w:spacing w:after="0"/>
        <w:tabs>
          <w:tab w:leader="none" w:pos="5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The Parties hereto signed the Equity Pledge Agreement on the 22nd day of September, 2020.</w:t>
      </w:r>
    </w:p>
    <w:p>
      <w:pPr>
        <w:spacing w:after="0" w:line="165" w:lineRule="exact"/>
        <w:rPr>
          <w:rFonts w:ascii="Arial" w:cs="Arial" w:eastAsia="Arial" w:hAnsi="Arial"/>
          <w:sz w:val="17"/>
          <w:szCs w:val="17"/>
          <w:color w:val="auto"/>
        </w:rPr>
      </w:pPr>
    </w:p>
    <w:p>
      <w:pPr>
        <w:ind w:left="580" w:hanging="580"/>
        <w:spacing w:after="0" w:line="264" w:lineRule="auto"/>
        <w:tabs>
          <w:tab w:leader="none" w:pos="5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Party B intends to grant Party A or its designated qualified subject an exclusive option to purchase all or part of the shares/assets of Party C held by any or all of Grantors at any time subject to compliance with the requirements of Chinese laws.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Therefore, this Agreement is entered into by and among the Parties as follows:</w:t>
      </w:r>
    </w:p>
    <w:p>
      <w:pPr>
        <w:spacing w:after="0" w:line="162" w:lineRule="exact"/>
        <w:rPr>
          <w:sz w:val="20"/>
          <w:szCs w:val="20"/>
          <w:color w:val="auto"/>
        </w:rPr>
      </w:pPr>
    </w:p>
    <w:p>
      <w:pPr>
        <w:ind w:left="580" w:hanging="580"/>
        <w:spacing w:after="0"/>
        <w:tabs>
          <w:tab w:leader="none" w:pos="580" w:val="left"/>
        </w:tabs>
        <w:numPr>
          <w:ilvl w:val="0"/>
          <w:numId w:val="443"/>
        </w:numPr>
        <w:rPr>
          <w:rFonts w:ascii="Arial" w:cs="Arial" w:eastAsia="Arial" w:hAnsi="Arial"/>
          <w:sz w:val="17"/>
          <w:szCs w:val="17"/>
          <w:b w:val="1"/>
          <w:bCs w:val="1"/>
          <w:color w:val="auto"/>
        </w:rPr>
      </w:pPr>
      <w:r>
        <w:rPr>
          <w:rFonts w:ascii="Arial" w:cs="Arial" w:eastAsia="Arial" w:hAnsi="Arial"/>
          <w:sz w:val="17"/>
          <w:szCs w:val="17"/>
          <w:b w:val="1"/>
          <w:bCs w:val="1"/>
          <w:color w:val="auto"/>
        </w:rPr>
        <w:t>Granting of the Option</w:t>
      </w:r>
    </w:p>
    <w:p>
      <w:pPr>
        <w:spacing w:after="0" w:line="169"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5"/>
          <w:szCs w:val="15"/>
          <w:color w:val="auto"/>
        </w:rPr>
        <w:t>Granting</w:t>
      </w:r>
    </w:p>
    <w:p>
      <w:pPr>
        <w:spacing w:after="0" w:line="191" w:lineRule="exact"/>
        <w:rPr>
          <w:sz w:val="20"/>
          <w:szCs w:val="20"/>
          <w:color w:val="auto"/>
        </w:rPr>
      </w:pPr>
    </w:p>
    <w:p>
      <w:pPr>
        <w:jc w:val="both"/>
        <w:ind w:left="1180"/>
        <w:spacing w:after="0" w:line="304" w:lineRule="auto"/>
        <w:rPr>
          <w:sz w:val="20"/>
          <w:szCs w:val="20"/>
          <w:color w:val="auto"/>
        </w:rPr>
      </w:pPr>
      <w:r>
        <w:rPr>
          <w:rFonts w:ascii="Arial" w:cs="Arial" w:eastAsia="Arial" w:hAnsi="Arial"/>
          <w:sz w:val="15"/>
          <w:szCs w:val="15"/>
          <w:color w:val="auto"/>
        </w:rPr>
        <w:t>Grantors agree that, on the date of signing this Agreement, they shall irrevocably grant Party A an option to purchase in installments or lump sum all their shares in Party C by Party A or its designated third party in such way of exercise as stipulated in Section 2.2 hereof. Such option shall be granted to Party A after this Agreement is signed by the Parties hereto and shall be irrevocable within the term of this Agreement once granted.</w:t>
      </w:r>
    </w:p>
    <w:p>
      <w:pPr>
        <w:spacing w:after="0" w:line="104"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3"/>
          <w:szCs w:val="13"/>
          <w:color w:val="auto"/>
        </w:rPr>
        <w:t>Term</w:t>
      </w:r>
    </w:p>
    <w:p>
      <w:pPr>
        <w:spacing w:after="0" w:line="191" w:lineRule="exact"/>
        <w:rPr>
          <w:sz w:val="20"/>
          <w:szCs w:val="20"/>
          <w:color w:val="auto"/>
        </w:rPr>
      </w:pPr>
    </w:p>
    <w:p>
      <w:pPr>
        <w:jc w:val="both"/>
        <w:ind w:left="1180"/>
        <w:spacing w:after="0" w:line="264" w:lineRule="auto"/>
        <w:rPr>
          <w:sz w:val="20"/>
          <w:szCs w:val="20"/>
          <w:color w:val="auto"/>
        </w:rPr>
      </w:pPr>
      <w:r>
        <w:rPr>
          <w:rFonts w:ascii="Arial" w:cs="Arial" w:eastAsia="Arial" w:hAnsi="Arial"/>
          <w:sz w:val="17"/>
          <w:szCs w:val="17"/>
          <w:color w:val="auto"/>
        </w:rPr>
        <w:t>This Agreement shall take effect after being signed and/or sealed by the parties hereto, and shall not be terminated until Party A acquires all shares of Party C held by Grantors subject to the applicable laws of the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184390" cy="412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7" w:name="page408"/>
    <w:bookmarkEnd w:id="407"/>
    <w:p>
      <w:pPr>
        <w:ind w:left="580" w:hanging="580"/>
        <w:spacing w:after="0"/>
        <w:tabs>
          <w:tab w:leader="none" w:pos="580" w:val="left"/>
        </w:tabs>
        <w:numPr>
          <w:ilvl w:val="0"/>
          <w:numId w:val="444"/>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Option and Delivery</w:t>
      </w:r>
    </w:p>
    <w:p>
      <w:pPr>
        <w:spacing w:after="0" w:line="169"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2.1</w:t>
      </w:r>
      <w:r>
        <w:rPr>
          <w:rFonts w:ascii="Arial" w:cs="Arial" w:eastAsia="Arial" w:hAnsi="Arial"/>
          <w:sz w:val="15"/>
          <w:szCs w:val="15"/>
          <w:color w:val="auto"/>
        </w:rPr>
        <w:t>Time of Exercise</w:t>
      </w:r>
    </w:p>
    <w:p>
      <w:pPr>
        <w:spacing w:after="0" w:line="191"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Grantors unanimously agree that Party A may exercise the option in whole or in part at any time within the term of this Agreement subject to the applicable laws of the PRC;</w:t>
      </w:r>
    </w:p>
    <w:p>
      <w:pPr>
        <w:spacing w:after="0" w:line="131"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Grantors unanimously agree that there shall not be any restrictions on number of Party A’s exercise unless Party A has acquired all shares of Party C; and</w:t>
      </w:r>
    </w:p>
    <w:p>
      <w:pPr>
        <w:spacing w:after="0" w:line="131"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Grantors unanimously agree that Party A may designate any third party to exercise the option, provided that Party A shall inform in writing Grantors of such designation in advance.</w:t>
      </w:r>
    </w:p>
    <w:p>
      <w:pPr>
        <w:spacing w:after="0" w:line="131"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3"/>
          <w:szCs w:val="13"/>
          <w:color w:val="auto"/>
        </w:rPr>
        <w:t>Exercise Consideration</w:t>
      </w:r>
    </w:p>
    <w:p>
      <w:pPr>
        <w:spacing w:after="0" w:line="191" w:lineRule="exact"/>
        <w:rPr>
          <w:sz w:val="20"/>
          <w:szCs w:val="20"/>
          <w:color w:val="auto"/>
        </w:rPr>
      </w:pPr>
    </w:p>
    <w:p>
      <w:pPr>
        <w:jc w:val="both"/>
        <w:ind w:left="1180" w:hanging="9"/>
        <w:spacing w:after="0" w:line="332" w:lineRule="auto"/>
        <w:rPr>
          <w:sz w:val="20"/>
          <w:szCs w:val="20"/>
          <w:color w:val="auto"/>
        </w:rPr>
      </w:pPr>
      <w:r>
        <w:rPr>
          <w:rFonts w:ascii="Arial" w:cs="Arial" w:eastAsia="Arial" w:hAnsi="Arial"/>
          <w:sz w:val="15"/>
          <w:szCs w:val="15"/>
          <w:color w:val="auto"/>
        </w:rPr>
        <w:t>Unless otherwise agreed by the Parties hereto, Grantors unanimously agree that, when Party A or its designated third party exercises the option, all exercise considerations obtained by Grantors therefor shall be immediately given to Party A or its designated third party free of charge.</w:t>
      </w:r>
    </w:p>
    <w:p>
      <w:pPr>
        <w:spacing w:after="0" w:line="9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3"/>
          <w:szCs w:val="13"/>
          <w:color w:val="auto"/>
        </w:rPr>
        <w:t>Transfer</w:t>
      </w:r>
    </w:p>
    <w:p>
      <w:pPr>
        <w:spacing w:after="0" w:line="191" w:lineRule="exact"/>
        <w:rPr>
          <w:sz w:val="20"/>
          <w:szCs w:val="20"/>
          <w:color w:val="auto"/>
        </w:rPr>
      </w:pPr>
    </w:p>
    <w:p>
      <w:pPr>
        <w:jc w:val="both"/>
        <w:ind w:left="1180"/>
        <w:spacing w:after="0" w:line="304" w:lineRule="auto"/>
        <w:rPr>
          <w:sz w:val="20"/>
          <w:szCs w:val="20"/>
          <w:color w:val="auto"/>
        </w:rPr>
      </w:pPr>
      <w:r>
        <w:rPr>
          <w:rFonts w:ascii="Arial" w:cs="Arial" w:eastAsia="Arial" w:hAnsi="Arial"/>
          <w:sz w:val="15"/>
          <w:szCs w:val="15"/>
          <w:color w:val="auto"/>
        </w:rPr>
        <w:t>Grantors unanimously agree that Party A may transfer its option under this Agreement to any third party in whole or in part without separate approval of Grantors, and such transferees shall be deemed to be a party to this Agreement and may exercise the option according to this Agreement in respect of the share of the option acquired by it and shall enjoy and bear all of Party A’s rights and obligations under this Agreement.</w:t>
      </w:r>
    </w:p>
    <w:p>
      <w:pPr>
        <w:spacing w:after="0" w:line="104"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Notice on Exercise</w:t>
      </w:r>
    </w:p>
    <w:p>
      <w:pPr>
        <w:spacing w:after="0" w:line="191"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If Party A exercises the option hereunder, it shall notify in writing Grantors of such exercise Ten (10) working days prior to the delivery date (as defined below), and such notice shall specify the following terms:</w:t>
      </w:r>
    </w:p>
    <w:p>
      <w:pPr>
        <w:spacing w:after="0" w:line="127" w:lineRule="exact"/>
        <w:rPr>
          <w:sz w:val="20"/>
          <w:szCs w:val="20"/>
          <w:color w:val="auto"/>
        </w:rPr>
      </w:pPr>
    </w:p>
    <w:p>
      <w:pPr>
        <w:ind w:left="2340" w:hanging="584"/>
        <w:spacing w:after="0" w:line="269" w:lineRule="auto"/>
        <w:tabs>
          <w:tab w:leader="none" w:pos="23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Effective delivery date (“</w:t>
      </w:r>
      <w:r>
        <w:rPr>
          <w:rFonts w:ascii="Arial" w:cs="Arial" w:eastAsia="Arial" w:hAnsi="Arial"/>
          <w:sz w:val="17"/>
          <w:szCs w:val="17"/>
          <w:b w:val="1"/>
          <w:bCs w:val="1"/>
          <w:color w:val="auto"/>
        </w:rPr>
        <w:t>Delivery Date</w:t>
      </w:r>
      <w:r>
        <w:rPr>
          <w:rFonts w:ascii="Arial" w:cs="Arial" w:eastAsia="Arial" w:hAnsi="Arial"/>
          <w:sz w:val="17"/>
          <w:szCs w:val="17"/>
          <w:color w:val="auto"/>
        </w:rPr>
        <w:t>”) of the shares after the option is exercised, namely the date on which a formal application for share change registration is filed to the relevant administrative department of industry and commerce;</w:t>
      </w:r>
    </w:p>
    <w:p>
      <w:pPr>
        <w:spacing w:after="0" w:line="126" w:lineRule="exact"/>
        <w:rPr>
          <w:rFonts w:ascii="Arial" w:cs="Arial" w:eastAsia="Arial" w:hAnsi="Arial"/>
          <w:sz w:val="17"/>
          <w:szCs w:val="17"/>
          <w:color w:val="auto"/>
        </w:rPr>
      </w:pPr>
    </w:p>
    <w:p>
      <w:pPr>
        <w:ind w:left="2340" w:hanging="584"/>
        <w:spacing w:after="0"/>
        <w:tabs>
          <w:tab w:leader="none" w:pos="23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Name of the registered holder of the shares after the option is exercised;</w:t>
      </w:r>
    </w:p>
    <w:p>
      <w:pPr>
        <w:spacing w:after="0" w:line="190" w:lineRule="exact"/>
        <w:rPr>
          <w:rFonts w:ascii="Arial" w:cs="Arial" w:eastAsia="Arial" w:hAnsi="Arial"/>
          <w:sz w:val="17"/>
          <w:szCs w:val="17"/>
          <w:color w:val="auto"/>
        </w:rPr>
      </w:pPr>
    </w:p>
    <w:p>
      <w:pPr>
        <w:ind w:left="2340" w:hanging="584"/>
        <w:spacing w:after="0"/>
        <w:tabs>
          <w:tab w:leader="none" w:pos="23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Number of the shares purchased from Grantors;</w:t>
      </w:r>
    </w:p>
    <w:p>
      <w:pPr>
        <w:spacing w:after="0" w:line="190" w:lineRule="exact"/>
        <w:rPr>
          <w:rFonts w:ascii="Arial" w:cs="Arial" w:eastAsia="Arial" w:hAnsi="Arial"/>
          <w:sz w:val="17"/>
          <w:szCs w:val="17"/>
          <w:color w:val="auto"/>
        </w:rPr>
      </w:pPr>
    </w:p>
    <w:p>
      <w:pPr>
        <w:ind w:left="2340" w:hanging="584"/>
        <w:spacing w:after="0"/>
        <w:tabs>
          <w:tab w:leader="none" w:pos="23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Exercise consideration and its payment method; and</w:t>
      </w:r>
    </w:p>
    <w:p>
      <w:pPr>
        <w:spacing w:after="0" w:line="190" w:lineRule="exact"/>
        <w:rPr>
          <w:rFonts w:ascii="Arial" w:cs="Arial" w:eastAsia="Arial" w:hAnsi="Arial"/>
          <w:sz w:val="17"/>
          <w:szCs w:val="17"/>
          <w:color w:val="auto"/>
        </w:rPr>
      </w:pPr>
    </w:p>
    <w:p>
      <w:pPr>
        <w:ind w:left="2340" w:hanging="584"/>
        <w:spacing w:after="0"/>
        <w:tabs>
          <w:tab w:leader="none" w:pos="23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Power of attorney (if exercised by any third party on its behalf).</w:t>
      </w:r>
    </w:p>
    <w:p>
      <w:pPr>
        <w:spacing w:after="0" w:line="191" w:lineRule="exact"/>
        <w:rPr>
          <w:sz w:val="20"/>
          <w:szCs w:val="20"/>
          <w:color w:val="auto"/>
        </w:rPr>
      </w:pPr>
    </w:p>
    <w:p>
      <w:pPr>
        <w:jc w:val="both"/>
        <w:ind w:left="1760" w:hanging="584"/>
        <w:spacing w:after="0" w:line="251" w:lineRule="auto"/>
        <w:tabs>
          <w:tab w:leader="none" w:pos="174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7"/>
          <w:szCs w:val="17"/>
          <w:color w:val="auto"/>
        </w:rPr>
        <w:t>The Parties hereto agree that Party A may designate at any time any third party to exercise the option and acquire and register the shares in the name of such third party. Grantors agree that, as long as Party A or its designated third party requests to exercise the option, Grantors shall, within Ten (10) working days after receipt of a notice on exercise, sign a share transfer agreement and other relevant documents according to the notice on exercise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84390" cy="412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8" w:name="page409"/>
    <w:bookmarkEnd w:id="408"/>
    <w:p>
      <w:pPr>
        <w:ind w:left="580"/>
        <w:spacing w:after="0"/>
        <w:tabs>
          <w:tab w:leader="none" w:pos="116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Transfer of Shares and Delivery</w:t>
      </w:r>
    </w:p>
    <w:p>
      <w:pPr>
        <w:spacing w:after="0" w:line="191" w:lineRule="exact"/>
        <w:rPr>
          <w:sz w:val="20"/>
          <w:szCs w:val="20"/>
          <w:color w:val="auto"/>
        </w:rPr>
      </w:pPr>
    </w:p>
    <w:p>
      <w:pPr>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Whenever Party A exercises the option, within Ten (10) working days from the date of receipt of a notice on exercise sent by Party A according to the Section 2.4 hereof;</w:t>
      </w:r>
    </w:p>
    <w:p>
      <w:pPr>
        <w:spacing w:after="0" w:line="131" w:lineRule="exact"/>
        <w:rPr>
          <w:sz w:val="20"/>
          <w:szCs w:val="20"/>
          <w:color w:val="auto"/>
        </w:rPr>
      </w:pPr>
    </w:p>
    <w:p>
      <w:pPr>
        <w:ind w:left="2340" w:hanging="584"/>
        <w:spacing w:after="0" w:line="264" w:lineRule="auto"/>
        <w:tabs>
          <w:tab w:leader="none" w:pos="234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Grantors shall cause Party C to promptly hold a shareholders’ meeting at which a shareholder resolution on the approval of the transfer of shares by Grantors to Party A and/or its designated third party shall be adopted; and</w:t>
      </w:r>
    </w:p>
    <w:p>
      <w:pPr>
        <w:spacing w:after="0" w:line="130" w:lineRule="exact"/>
        <w:rPr>
          <w:rFonts w:ascii="Arial" w:cs="Arial" w:eastAsia="Arial" w:hAnsi="Arial"/>
          <w:sz w:val="17"/>
          <w:szCs w:val="17"/>
          <w:color w:val="auto"/>
        </w:rPr>
      </w:pPr>
    </w:p>
    <w:p>
      <w:pPr>
        <w:jc w:val="both"/>
        <w:ind w:left="2340" w:hanging="584"/>
        <w:spacing w:after="0" w:line="286" w:lineRule="auto"/>
        <w:tabs>
          <w:tab w:leader="none" w:pos="2340" w:val="left"/>
        </w:tabs>
        <w:numPr>
          <w:ilvl w:val="1"/>
          <w:numId w:val="446"/>
        </w:numPr>
        <w:rPr>
          <w:rFonts w:ascii="Arial" w:cs="Arial" w:eastAsia="Arial" w:hAnsi="Arial"/>
          <w:sz w:val="15"/>
          <w:szCs w:val="15"/>
          <w:color w:val="auto"/>
        </w:rPr>
      </w:pPr>
      <w:r>
        <w:rPr>
          <w:rFonts w:ascii="Arial" w:cs="Arial" w:eastAsia="Arial" w:hAnsi="Arial"/>
          <w:sz w:val="15"/>
          <w:szCs w:val="15"/>
          <w:color w:val="auto"/>
        </w:rPr>
        <w:t>Grantors shall sign all necessary contracts, agreements or documents, obtain all necessary government approvals and consents and take all necessary actions to transfer to Party A and/or its designated third party the ownership and all ancillary rights of the shares designated by Party A to be purchased without any security interests (other than the pledge under the Equity Pledge Agreement) and shall cause Party A and/or its designated third party to become the registered owner of the purchased shares and deliver to Party A and/or its designated third party the latest business license, articles of association, approval certificates (if applicable) and other relevant documents that are issued or registered by the relevant Chinese authorities, and such documents shall reflect any changes of Party C’s shares, directors and legal representative and other matters (if applicable).</w:t>
      </w:r>
    </w:p>
    <w:p>
      <w:pPr>
        <w:spacing w:after="0" w:line="114" w:lineRule="exact"/>
        <w:rPr>
          <w:rFonts w:ascii="Arial" w:cs="Arial" w:eastAsia="Arial" w:hAnsi="Arial"/>
          <w:sz w:val="15"/>
          <w:szCs w:val="15"/>
          <w:color w:val="auto"/>
        </w:rPr>
      </w:pPr>
    </w:p>
    <w:p>
      <w:pPr>
        <w:ind w:left="580" w:hanging="580"/>
        <w:spacing w:after="0"/>
        <w:tabs>
          <w:tab w:leader="none" w:pos="580" w:val="left"/>
        </w:tabs>
        <w:numPr>
          <w:ilvl w:val="0"/>
          <w:numId w:val="447"/>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and Undertakings</w:t>
      </w:r>
    </w:p>
    <w:p>
      <w:pPr>
        <w:spacing w:after="0" w:line="169"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3.1</w:t>
      </w:r>
      <w:r>
        <w:rPr>
          <w:rFonts w:ascii="Arial" w:cs="Arial" w:eastAsia="Arial" w:hAnsi="Arial"/>
          <w:sz w:val="15"/>
          <w:szCs w:val="15"/>
          <w:color w:val="auto"/>
        </w:rPr>
        <w:t>Grantors jointly and severally make the following representations and warranties:</w:t>
      </w:r>
    </w:p>
    <w:p>
      <w:pPr>
        <w:spacing w:after="0" w:line="191" w:lineRule="exact"/>
        <w:rPr>
          <w:sz w:val="20"/>
          <w:szCs w:val="20"/>
          <w:color w:val="auto"/>
        </w:rPr>
      </w:pPr>
    </w:p>
    <w:p>
      <w:pPr>
        <w:jc w:val="both"/>
        <w:ind w:left="1760" w:hanging="584"/>
        <w:spacing w:after="0" w:line="269" w:lineRule="auto"/>
        <w:tabs>
          <w:tab w:leader="none" w:pos="174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On the date of signing this Agreement and each Delivery Date, Grantors have the powers, rights, authority and ability to sign and deliver this Agreement and any share transfer agreement (hereinafter referred to as “</w:t>
      </w:r>
      <w:r>
        <w:rPr>
          <w:rFonts w:ascii="Arial" w:cs="Arial" w:eastAsia="Arial" w:hAnsi="Arial"/>
          <w:sz w:val="16"/>
          <w:szCs w:val="16"/>
          <w:b w:val="1"/>
          <w:bCs w:val="1"/>
          <w:color w:val="auto"/>
        </w:rPr>
        <w:t>Transfer Agreement</w:t>
      </w:r>
      <w:r>
        <w:rPr>
          <w:rFonts w:ascii="Arial" w:cs="Arial" w:eastAsia="Arial" w:hAnsi="Arial"/>
          <w:sz w:val="16"/>
          <w:szCs w:val="16"/>
          <w:color w:val="auto"/>
        </w:rPr>
        <w:t>”) signed by them as a party thereto for each share transfer according to this Agreement and to perform their obligations under this Agreement and any Transfer Agreement. This Agreement and any Transfer Agreement to which they are a party shall constitute their legal, effective and binding obligations that are enforceable on them according to the provisions thereof once signed.</w:t>
      </w:r>
    </w:p>
    <w:p>
      <w:pPr>
        <w:spacing w:after="0" w:line="127" w:lineRule="exact"/>
        <w:rPr>
          <w:sz w:val="20"/>
          <w:szCs w:val="20"/>
          <w:color w:val="auto"/>
        </w:rPr>
      </w:pPr>
    </w:p>
    <w:p>
      <w:pPr>
        <w:jc w:val="both"/>
        <w:ind w:left="1760" w:hanging="584"/>
        <w:spacing w:after="0" w:line="288" w:lineRule="auto"/>
        <w:tabs>
          <w:tab w:leader="none" w:pos="174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No signing and delivery of this Agreement or any Transfer Agreement and no performance by Grantors of their obligations under this Agreement or any Transfer Agreement shall (i) result in any violation of any relevant laws and regulations of the PRC; (ii) conflict with the articles of association or other organizational documents; (iii) result in any breach of any binding agreements or instruments to which they are a party or constitute any breach of contract under any binding agreements or instruments to which they are a party; (iv) result in any breach of any licenses or approvals issued by the relevant competent government departments to them; or (v) cause any licenses or approvals issued by the relevant competent government departments to them to be suspended or revoked or attached with any conditions;</w:t>
      </w:r>
    </w:p>
    <w:p>
      <w:pPr>
        <w:spacing w:after="0" w:line="116"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There is no suit, arbitration or other judicial or administrative proceedings that are pending or may have a substantial impact on the performance of this Agreement or any Transfer Agreement.</w:t>
      </w:r>
    </w:p>
    <w:p>
      <w:pPr>
        <w:spacing w:after="0" w:line="131"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7"/>
          <w:szCs w:val="17"/>
          <w:color w:val="auto"/>
        </w:rPr>
        <w:t>Grantors have good and marketable ownership of all shares of Party C. There are no pledges, liabilities and other third party encumbrances on Party C’s shares held by Grantors other than the pledge under the Equity Pledge Agreement.</w:t>
      </w:r>
    </w:p>
    <w:p>
      <w:pPr>
        <w:spacing w:after="0" w:line="131"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3"/>
          <w:szCs w:val="13"/>
          <w:color w:val="auto"/>
        </w:rPr>
        <w:t>Grantors have disclosed to Party A all circumstances that may have a material adverse effect on the performance of this Agreement.</w:t>
      </w:r>
    </w:p>
    <w:p>
      <w:pPr>
        <w:spacing w:after="0" w:line="191"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The option granted by Grantors to Party A is exclusive, and Grantors have not otherwise granted any third party any other options or similar rights before or when granting the option to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184390" cy="412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9" w:name="page410"/>
    <w:bookmarkEnd w:id="409"/>
    <w:p>
      <w:pPr>
        <w:spacing w:after="0"/>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Grantors jointly and severally make the following undertakings:</w:t>
      </w:r>
    </w:p>
    <w:p>
      <w:pPr>
        <w:spacing w:after="0" w:line="191" w:lineRule="exact"/>
        <w:rPr>
          <w:sz w:val="20"/>
          <w:szCs w:val="20"/>
          <w:color w:val="auto"/>
        </w:rPr>
      </w:pPr>
    </w:p>
    <w:p>
      <w:pPr>
        <w:jc w:val="both"/>
        <w:ind w:left="1180" w:hanging="584"/>
        <w:spacing w:after="0" w:line="278" w:lineRule="auto"/>
        <w:tabs>
          <w:tab w:leader="none" w:pos="11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6"/>
          <w:szCs w:val="16"/>
          <w:color w:val="auto"/>
        </w:rPr>
        <w:t>Within the term of this Agreement, Grantors will not create any pledges, liabilities and any other third party encumbrances on Party C’s shares held by them other than those under the Equity Pledge Agreement separately signed by Grantors and Party A nor transfer, donate or otherwise dispose of any shares held by them to any third party other than the Parties to this Agreement.</w:t>
      </w:r>
    </w:p>
    <w:p>
      <w:pPr>
        <w:spacing w:after="0" w:line="121"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Within the term of this Agreement, Grantors will not otherwise grant any other options or similar rights to any third party.</w:t>
      </w:r>
    </w:p>
    <w:p>
      <w:pPr>
        <w:spacing w:after="0" w:line="191" w:lineRule="exact"/>
        <w:rPr>
          <w:sz w:val="20"/>
          <w:szCs w:val="20"/>
          <w:color w:val="auto"/>
        </w:rPr>
      </w:pPr>
    </w:p>
    <w:p>
      <w:pPr>
        <w:jc w:val="both"/>
        <w:ind w:left="1180" w:hanging="584"/>
        <w:spacing w:after="0" w:line="278" w:lineRule="auto"/>
        <w:tabs>
          <w:tab w:leader="none" w:pos="116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6"/>
          <w:szCs w:val="16"/>
          <w:color w:val="auto"/>
        </w:rPr>
        <w:t>Within the term of this Agreement, Grantors will cause and ensure that the business carried out by Party C conforms to the applicable laws, regulations, rules and other management regulations and documents issued by the competent government departments and that there are no breach of the above provisions that results in a major adverse impact on the business or assets of the company.</w:t>
      </w:r>
    </w:p>
    <w:p>
      <w:pPr>
        <w:spacing w:after="0" w:line="121" w:lineRule="exact"/>
        <w:rPr>
          <w:sz w:val="20"/>
          <w:szCs w:val="20"/>
          <w:color w:val="auto"/>
        </w:rPr>
      </w:pPr>
    </w:p>
    <w:p>
      <w:pPr>
        <w:jc w:val="both"/>
        <w:ind w:left="1180" w:hanging="584"/>
        <w:spacing w:after="0" w:line="251" w:lineRule="auto"/>
        <w:tabs>
          <w:tab w:leader="none" w:pos="116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Grantors will maintain the valid existence of Party C in accordance with good financial and commercial standards and practices, operate their business and deal with affairs in a prudent and efficient manner, use their best efforts to obtain and maintain any permits, licenses and approvals necessary for Party C’s continuous operation and ensure that any such permits, licenses and approvals will not be canceled, withdrawn or declared null and void.</w:t>
      </w:r>
    </w:p>
    <w:p>
      <w:pPr>
        <w:spacing w:after="0" w:line="141"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5"/>
          <w:szCs w:val="15"/>
          <w:color w:val="auto"/>
        </w:rPr>
        <w:t>Grantors will provide Party A with all Party C’s operation and financial information at Party A’s request.</w:t>
      </w:r>
    </w:p>
    <w:p>
      <w:pPr>
        <w:spacing w:after="0" w:line="191" w:lineRule="exact"/>
        <w:rPr>
          <w:sz w:val="20"/>
          <w:szCs w:val="20"/>
          <w:color w:val="auto"/>
        </w:rPr>
      </w:pPr>
    </w:p>
    <w:p>
      <w:pPr>
        <w:jc w:val="both"/>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7"/>
          <w:szCs w:val="17"/>
          <w:color w:val="auto"/>
        </w:rPr>
        <w:t>Except as expressly agreed by Party A (or its designated third party) in writing, before Party A (or its designated third party) exercises its option and obtains all of Party C’s shares or assets, Grantors shall not jointly or individually:</w:t>
      </w:r>
    </w:p>
    <w:p>
      <w:pPr>
        <w:spacing w:after="0" w:line="155" w:lineRule="exact"/>
        <w:rPr>
          <w:sz w:val="20"/>
          <w:szCs w:val="20"/>
          <w:color w:val="auto"/>
        </w:rPr>
      </w:pPr>
    </w:p>
    <w:p>
      <w:pPr>
        <w:jc w:val="both"/>
        <w:ind w:left="1760" w:hanging="584"/>
        <w:spacing w:after="0" w:line="272" w:lineRule="auto"/>
        <w:tabs>
          <w:tab w:leader="none" w:pos="176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Supplement or modify Party C’s constitutional documents in any form, and such supplements, alterations or modifications will have substantial adverse effects on any assets, responsibilities, operation, shares and other legal rights of Party C (excluding the same proportion of capital increase for the purpose of meeting the legal requirements) or may affect the effective performance of this Agreement and other agreements signed by Party A, Grantors and Party C.</w:t>
      </w:r>
    </w:p>
    <w:p>
      <w:pPr>
        <w:spacing w:after="0" w:line="125" w:lineRule="exact"/>
        <w:rPr>
          <w:rFonts w:ascii="Arial" w:cs="Arial" w:eastAsia="Arial" w:hAnsi="Arial"/>
          <w:sz w:val="16"/>
          <w:szCs w:val="16"/>
          <w:color w:val="auto"/>
        </w:rPr>
      </w:pPr>
    </w:p>
    <w:p>
      <w:pPr>
        <w:jc w:val="both"/>
        <w:ind w:left="1760" w:hanging="584"/>
        <w:spacing w:after="0" w:line="254" w:lineRule="auto"/>
        <w:tabs>
          <w:tab w:leader="none" w:pos="176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Cause Party C to enter into or do any transactions or acts (excluding those that arise in the ordinary or daily business course or have been disclosed to and agreed by Party A expressly in writing in advance) that will have materially adverse effects on its assets, liabilities, operation, shares and other legitimate rights.</w:t>
      </w:r>
    </w:p>
    <w:p>
      <w:pPr>
        <w:spacing w:after="0" w:line="139" w:lineRule="exact"/>
        <w:rPr>
          <w:rFonts w:ascii="Arial" w:cs="Arial" w:eastAsia="Arial" w:hAnsi="Arial"/>
          <w:sz w:val="17"/>
          <w:szCs w:val="17"/>
          <w:color w:val="auto"/>
        </w:rPr>
      </w:pPr>
    </w:p>
    <w:p>
      <w:pPr>
        <w:ind w:left="1760" w:hanging="584"/>
        <w:spacing w:after="0"/>
        <w:tabs>
          <w:tab w:leader="none" w:pos="176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Cause any resolutions on the distribution of dividends or bonuses to be adopted at the shareholders’ meeting of Party C.</w:t>
      </w:r>
    </w:p>
    <w:p>
      <w:pPr>
        <w:spacing w:after="0" w:line="202" w:lineRule="exact"/>
        <w:rPr>
          <w:rFonts w:ascii="Arial" w:cs="Arial" w:eastAsia="Arial" w:hAnsi="Arial"/>
          <w:sz w:val="16"/>
          <w:szCs w:val="16"/>
          <w:color w:val="auto"/>
        </w:rPr>
      </w:pPr>
    </w:p>
    <w:p>
      <w:pPr>
        <w:ind w:left="1760" w:hanging="584"/>
        <w:spacing w:after="0" w:line="264" w:lineRule="auto"/>
        <w:tabs>
          <w:tab w:leader="none" w:pos="176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Sell, assign, mortgage or otherwise dispose of any legal or beneficial interests on Party C’s shares or allow to create any other security interests thereon at any time from the effective date of this Agreement.</w:t>
      </w:r>
    </w:p>
    <w:p>
      <w:pPr>
        <w:spacing w:after="0" w:line="130" w:lineRule="exact"/>
        <w:rPr>
          <w:rFonts w:ascii="Arial" w:cs="Arial" w:eastAsia="Arial" w:hAnsi="Arial"/>
          <w:sz w:val="17"/>
          <w:szCs w:val="17"/>
          <w:color w:val="auto"/>
        </w:rPr>
      </w:pPr>
    </w:p>
    <w:p>
      <w:pPr>
        <w:jc w:val="both"/>
        <w:ind w:left="1760" w:hanging="584"/>
        <w:spacing w:after="0" w:line="278" w:lineRule="auto"/>
        <w:tabs>
          <w:tab w:leader="none" w:pos="176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Cause any sales, transfer, mortgage or otherwise disposal of any legal or beneficial interests on shares to be approved at the shareholders’ meeting of Party C, or allow to create any other security interests thereon, or adopt a shareholder resolution on the increase or decrease of Party C’s registered capital or otherwise modify the structure of the registered capital.</w:t>
      </w:r>
    </w:p>
    <w:p>
      <w:pPr>
        <w:spacing w:after="0" w:line="120" w:lineRule="exact"/>
        <w:rPr>
          <w:rFonts w:ascii="Arial" w:cs="Arial" w:eastAsia="Arial" w:hAnsi="Arial"/>
          <w:sz w:val="16"/>
          <w:szCs w:val="16"/>
          <w:color w:val="auto"/>
        </w:rPr>
      </w:pPr>
    </w:p>
    <w:p>
      <w:pPr>
        <w:ind w:left="1760" w:hanging="584"/>
        <w:spacing w:after="0" w:line="296" w:lineRule="auto"/>
        <w:tabs>
          <w:tab w:leader="none" w:pos="176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Cause any merger or association of Party C with any persons to be approved at the shareholders’ meeting of Party C, or acquire investments from any persons or make an investment to any persons, or carry out reorganization in any other form.</w:t>
      </w:r>
    </w:p>
    <w:p>
      <w:pPr>
        <w:spacing w:after="0" w:line="106" w:lineRule="exact"/>
        <w:rPr>
          <w:rFonts w:ascii="Arial" w:cs="Arial" w:eastAsia="Arial" w:hAnsi="Arial"/>
          <w:sz w:val="16"/>
          <w:szCs w:val="16"/>
          <w:color w:val="auto"/>
        </w:rPr>
      </w:pPr>
    </w:p>
    <w:p>
      <w:pPr>
        <w:ind w:left="1760" w:hanging="584"/>
        <w:spacing w:after="0"/>
        <w:tabs>
          <w:tab w:leader="none" w:pos="1760" w:val="left"/>
        </w:tabs>
        <w:numPr>
          <w:ilvl w:val="0"/>
          <w:numId w:val="448"/>
        </w:numPr>
        <w:rPr>
          <w:rFonts w:ascii="Arial" w:cs="Arial" w:eastAsia="Arial" w:hAnsi="Arial"/>
          <w:sz w:val="15"/>
          <w:szCs w:val="15"/>
          <w:color w:val="auto"/>
        </w:rPr>
      </w:pPr>
      <w:r>
        <w:rPr>
          <w:rFonts w:ascii="Arial" w:cs="Arial" w:eastAsia="Arial" w:hAnsi="Arial"/>
          <w:sz w:val="15"/>
          <w:szCs w:val="15"/>
          <w:color w:val="auto"/>
        </w:rPr>
        <w:t>Cause any winding-up, liquidation or dissolution and other matters of Party C to be approved at the shareholders’ meeting of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91440</wp:posOffset>
            </wp:positionV>
            <wp:extent cx="7184390" cy="412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660"/>
          </w:cols>
          <w:pgMar w:left="900" w:top="127" w:right="339" w:bottom="1440" w:gutter="0" w:footer="0" w:header="0"/>
        </w:sectPr>
      </w:pPr>
    </w:p>
    <w:bookmarkStart w:id="410" w:name="page411"/>
    <w:bookmarkEnd w:id="410"/>
    <w:p>
      <w:pPr>
        <w:jc w:val="center"/>
        <w:ind w:right="-19"/>
        <w:spacing w:after="0"/>
        <w:tabs>
          <w:tab w:leader="none" w:pos="240" w:val="left"/>
        </w:tabs>
        <w:rPr>
          <w:sz w:val="20"/>
          <w:szCs w:val="20"/>
          <w:color w:val="auto"/>
        </w:rPr>
      </w:pPr>
      <w:r>
        <w:rPr>
          <w:rFonts w:ascii="Arial" w:cs="Arial" w:eastAsia="Arial" w:hAnsi="Arial"/>
          <w:sz w:val="17"/>
          <w:szCs w:val="17"/>
          <w:color w:val="auto"/>
        </w:rPr>
        <w:t>3.2.7</w:t>
      </w:r>
      <w:r>
        <w:rPr>
          <w:sz w:val="20"/>
          <w:szCs w:val="20"/>
          <w:color w:val="auto"/>
        </w:rPr>
        <w:tab/>
      </w:r>
      <w:r>
        <w:rPr>
          <w:rFonts w:ascii="Arial" w:cs="Arial" w:eastAsia="Arial" w:hAnsi="Arial"/>
          <w:sz w:val="13"/>
          <w:szCs w:val="13"/>
          <w:color w:val="auto"/>
        </w:rPr>
        <w:t>Before Party A (or its designated third party) exercises its option and obtains all of Party C’s shares or assets, Grantors undertake that:</w:t>
      </w:r>
    </w:p>
    <w:p>
      <w:pPr>
        <w:spacing w:after="0" w:line="191" w:lineRule="exact"/>
        <w:rPr>
          <w:sz w:val="20"/>
          <w:szCs w:val="20"/>
          <w:color w:val="auto"/>
        </w:rPr>
      </w:pPr>
    </w:p>
    <w:p>
      <w:pPr>
        <w:ind w:left="1760" w:hanging="584"/>
        <w:spacing w:after="0" w:line="296" w:lineRule="auto"/>
        <w:tabs>
          <w:tab w:leader="none" w:pos="176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They will forthwith notify Party A in writing of any suits, arbitration or administrative proceedings that have arisen or may arise in relation to the shares owned by them or of any circumstances that may have any adverse effect on such shares.</w:t>
      </w:r>
    </w:p>
    <w:p>
      <w:pPr>
        <w:spacing w:after="0" w:line="106" w:lineRule="exact"/>
        <w:rPr>
          <w:rFonts w:ascii="Arial" w:cs="Arial" w:eastAsia="Arial" w:hAnsi="Arial"/>
          <w:sz w:val="16"/>
          <w:szCs w:val="16"/>
          <w:color w:val="auto"/>
        </w:rPr>
      </w:pPr>
    </w:p>
    <w:p>
      <w:pPr>
        <w:jc w:val="both"/>
        <w:ind w:left="1760" w:hanging="584"/>
        <w:spacing w:after="0" w:line="248" w:lineRule="auto"/>
        <w:tabs>
          <w:tab w:leader="none" w:pos="176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They will cause the shareholders’ meeting of Party C to examine and approve the transfer of the purchased shares as specified in this Agreement, cause Party C to amend its articles of association so as to reflect any changes of Party C’s shares after Party A and/or its designated third party exercises the option according to this Agreement and other changes as set forth herein and immediately apply to the authorities of the PRC for approval (if required by law) and change of registration, and cause the shareholders’ meeting of Party C to approve and appoint such persons as designated by Party A and/or its designated third party as Party C’s director and legal representative (if necessary).</w:t>
      </w:r>
    </w:p>
    <w:p>
      <w:pPr>
        <w:spacing w:after="0" w:line="145" w:lineRule="exact"/>
        <w:rPr>
          <w:rFonts w:ascii="Arial" w:cs="Arial" w:eastAsia="Arial" w:hAnsi="Arial"/>
          <w:sz w:val="17"/>
          <w:szCs w:val="17"/>
          <w:color w:val="auto"/>
        </w:rPr>
      </w:pPr>
    </w:p>
    <w:p>
      <w:pPr>
        <w:jc w:val="both"/>
        <w:ind w:left="1760" w:hanging="584"/>
        <w:spacing w:after="0" w:line="304" w:lineRule="auto"/>
        <w:tabs>
          <w:tab w:leader="none" w:pos="1760" w:val="left"/>
        </w:tabs>
        <w:numPr>
          <w:ilvl w:val="0"/>
          <w:numId w:val="449"/>
        </w:numPr>
        <w:rPr>
          <w:rFonts w:ascii="Arial" w:cs="Arial" w:eastAsia="Arial" w:hAnsi="Arial"/>
          <w:sz w:val="15"/>
          <w:szCs w:val="15"/>
          <w:color w:val="auto"/>
        </w:rPr>
      </w:pPr>
      <w:r>
        <w:rPr>
          <w:rFonts w:ascii="Arial" w:cs="Arial" w:eastAsia="Arial" w:hAnsi="Arial"/>
          <w:sz w:val="15"/>
          <w:szCs w:val="15"/>
          <w:color w:val="auto"/>
        </w:rPr>
        <w:t>Before Party A and/or its designated third party exercises the option, they will enter into all necessary or appropriate documents, take all necessary or appropriate actions and make all necessary or appropriate accusations or make all necessary and appropriate defenses for all claims in order to maintain their lawful and effective ownership over the appropriate shares.</w:t>
      </w:r>
    </w:p>
    <w:p>
      <w:pPr>
        <w:spacing w:after="0" w:line="104" w:lineRule="exact"/>
        <w:rPr>
          <w:rFonts w:ascii="Arial" w:cs="Arial" w:eastAsia="Arial" w:hAnsi="Arial"/>
          <w:sz w:val="15"/>
          <w:szCs w:val="15"/>
          <w:color w:val="auto"/>
        </w:rPr>
      </w:pPr>
    </w:p>
    <w:p>
      <w:pPr>
        <w:jc w:val="both"/>
        <w:ind w:left="1760" w:hanging="584"/>
        <w:spacing w:after="0" w:line="254" w:lineRule="auto"/>
        <w:tabs>
          <w:tab w:leader="none" w:pos="176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Upon Party A’s request at any time, they will unconditionally transfer their shares to Party A and/or its designated third party at the time specified by Party A and waive their right of first refusal against any other shareholders of Party C in respect of the above transfer of shares by them according to Party A’s instructions.</w:t>
      </w:r>
    </w:p>
    <w:p>
      <w:pPr>
        <w:spacing w:after="0" w:line="164" w:lineRule="exact"/>
        <w:rPr>
          <w:rFonts w:ascii="Arial" w:cs="Arial" w:eastAsia="Arial" w:hAnsi="Arial"/>
          <w:sz w:val="17"/>
          <w:szCs w:val="17"/>
          <w:color w:val="auto"/>
        </w:rPr>
      </w:pPr>
    </w:p>
    <w:p>
      <w:pPr>
        <w:jc w:val="both"/>
        <w:ind w:left="1760" w:hanging="584"/>
        <w:spacing w:after="0" w:line="254" w:lineRule="auto"/>
        <w:tabs>
          <w:tab w:leader="none" w:pos="176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They will strictly abide by this Agreement and other agreements jointly or severally entered into by and between Grantors and Party A, conscientiously perform their obligations under such agreements and will not do any acts/omissions that are likely to affect the validity and enforceability of such agreements.</w:t>
      </w:r>
    </w:p>
    <w:p>
      <w:pPr>
        <w:spacing w:after="0" w:line="13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Party C and Grantors hereby jointly and severally make the following representations, warranties and undertakings to Party A:</w:t>
      </w:r>
    </w:p>
    <w:p>
      <w:pPr>
        <w:spacing w:after="0" w:line="191" w:lineRule="exact"/>
        <w:rPr>
          <w:sz w:val="20"/>
          <w:szCs w:val="20"/>
          <w:color w:val="auto"/>
        </w:rPr>
      </w:pPr>
    </w:p>
    <w:p>
      <w:pPr>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Except as agreed by Party A (or its designated third party) in writing, before Party A (or its designated third party) exercises its option and obtains all of Party C’s shares or interests, Party C shall not:</w:t>
      </w:r>
    </w:p>
    <w:p>
      <w:pPr>
        <w:spacing w:after="0" w:line="131" w:lineRule="exact"/>
        <w:rPr>
          <w:sz w:val="20"/>
          <w:szCs w:val="20"/>
          <w:color w:val="auto"/>
        </w:rPr>
      </w:pPr>
    </w:p>
    <w:p>
      <w:pPr>
        <w:jc w:val="both"/>
        <w:ind w:left="1760" w:hanging="584"/>
        <w:spacing w:after="0" w:line="254" w:lineRule="auto"/>
        <w:tabs>
          <w:tab w:leader="none" w:pos="17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Sell, assign, mortgage or otherwise dispose of any assets, business or incomes or allow to create any other security interests thereon (excluding those that arise in the ordinary or daily business course or have been disclosed to and agreed by Party A expressly in writing in advance);</w:t>
      </w:r>
    </w:p>
    <w:p>
      <w:pPr>
        <w:spacing w:after="0" w:line="139" w:lineRule="exact"/>
        <w:rPr>
          <w:rFonts w:ascii="Arial" w:cs="Arial" w:eastAsia="Arial" w:hAnsi="Arial"/>
          <w:sz w:val="17"/>
          <w:szCs w:val="17"/>
          <w:color w:val="auto"/>
        </w:rPr>
      </w:pPr>
    </w:p>
    <w:p>
      <w:pPr>
        <w:jc w:val="both"/>
        <w:ind w:left="1760" w:hanging="584"/>
        <w:spacing w:after="0" w:line="254" w:lineRule="auto"/>
        <w:tabs>
          <w:tab w:leader="none" w:pos="17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Enter into any transactions (excluding those that arise in the ordinary or daily business course or have been disclosed to and agreed by Party A expressly in writing in advance) that will or may have materially adverse effects on its assets, liabilities, operation, shares and other legitimate rights;</w:t>
      </w:r>
    </w:p>
    <w:p>
      <w:pPr>
        <w:spacing w:after="0" w:line="139" w:lineRule="exact"/>
        <w:rPr>
          <w:rFonts w:ascii="Arial" w:cs="Arial" w:eastAsia="Arial" w:hAnsi="Arial"/>
          <w:sz w:val="17"/>
          <w:szCs w:val="17"/>
          <w:color w:val="auto"/>
        </w:rPr>
      </w:pPr>
    </w:p>
    <w:p>
      <w:pPr>
        <w:ind w:left="1760" w:hanging="584"/>
        <w:spacing w:after="0"/>
        <w:tabs>
          <w:tab w:leader="none" w:pos="17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Distribute any dividends or bonuses to each shareholder in any form;</w:t>
      </w:r>
    </w:p>
    <w:p>
      <w:pPr>
        <w:spacing w:after="0" w:line="190" w:lineRule="exact"/>
        <w:rPr>
          <w:rFonts w:ascii="Arial" w:cs="Arial" w:eastAsia="Arial" w:hAnsi="Arial"/>
          <w:sz w:val="17"/>
          <w:szCs w:val="17"/>
          <w:color w:val="auto"/>
        </w:rPr>
      </w:pPr>
    </w:p>
    <w:p>
      <w:pPr>
        <w:ind w:left="1760" w:hanging="584"/>
        <w:spacing w:after="0" w:line="332" w:lineRule="auto"/>
        <w:tabs>
          <w:tab w:leader="none" w:pos="1760" w:val="left"/>
        </w:tabs>
        <w:numPr>
          <w:ilvl w:val="0"/>
          <w:numId w:val="450"/>
        </w:numPr>
        <w:rPr>
          <w:rFonts w:ascii="Arial" w:cs="Arial" w:eastAsia="Arial" w:hAnsi="Arial"/>
          <w:sz w:val="15"/>
          <w:szCs w:val="15"/>
          <w:color w:val="auto"/>
        </w:rPr>
      </w:pPr>
      <w:r>
        <w:rPr>
          <w:rFonts w:ascii="Arial" w:cs="Arial" w:eastAsia="Arial" w:hAnsi="Arial"/>
          <w:sz w:val="15"/>
          <w:szCs w:val="15"/>
          <w:color w:val="auto"/>
        </w:rPr>
        <w:t>Incur, inherit, guarantee or allow the existence of any debts other than (i) any debts that arise in the ordinary or daily business course rather than by borrowing, and (ii) any debts that have been disclosed to and agreed by Party A expressly in writing in advance;</w:t>
      </w:r>
    </w:p>
    <w:p>
      <w:pPr>
        <w:spacing w:after="0" w:line="83" w:lineRule="exact"/>
        <w:rPr>
          <w:rFonts w:ascii="Arial" w:cs="Arial" w:eastAsia="Arial" w:hAnsi="Arial"/>
          <w:sz w:val="15"/>
          <w:szCs w:val="15"/>
          <w:color w:val="auto"/>
        </w:rPr>
      </w:pPr>
    </w:p>
    <w:p>
      <w:pPr>
        <w:ind w:left="1760" w:hanging="584"/>
        <w:spacing w:after="0" w:line="264" w:lineRule="auto"/>
        <w:tabs>
          <w:tab w:leader="none" w:pos="17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Sign any significant contracts other than those signed in the ordinary business course (for the purpose of this Article, if the amount under a contract is more than RMB50,000, such contract shall be deemed to be a significant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38735</wp:posOffset>
            </wp:positionV>
            <wp:extent cx="7184390" cy="412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660"/>
          </w:cols>
          <w:pgMar w:left="900" w:top="127" w:right="339" w:bottom="1440" w:gutter="0" w:footer="0" w:header="0"/>
        </w:sectPr>
      </w:pPr>
    </w:p>
    <w:bookmarkStart w:id="411" w:name="page412"/>
    <w:bookmarkEnd w:id="411"/>
    <w:p>
      <w:pPr>
        <w:ind w:left="2340" w:hanging="584"/>
        <w:spacing w:after="0"/>
        <w:tabs>
          <w:tab w:leader="none" w:pos="234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Adopt a shareholder resolution on the increase or decrease of</w:t>
      </w:r>
    </w:p>
    <w:p>
      <w:pPr>
        <w:spacing w:after="0" w:line="190" w:lineRule="exact"/>
        <w:rPr>
          <w:rFonts w:ascii="Arial" w:cs="Arial" w:eastAsia="Arial" w:hAnsi="Arial"/>
          <w:sz w:val="17"/>
          <w:szCs w:val="17"/>
          <w:color w:val="auto"/>
        </w:rPr>
      </w:pPr>
    </w:p>
    <w:p>
      <w:pPr>
        <w:ind w:left="2360"/>
        <w:spacing w:after="0"/>
        <w:rPr>
          <w:rFonts w:ascii="Arial" w:cs="Arial" w:eastAsia="Arial" w:hAnsi="Arial"/>
          <w:sz w:val="17"/>
          <w:szCs w:val="17"/>
          <w:color w:val="auto"/>
        </w:rPr>
      </w:pPr>
      <w:r>
        <w:rPr>
          <w:rFonts w:ascii="Arial" w:cs="Arial" w:eastAsia="Arial" w:hAnsi="Arial"/>
          <w:sz w:val="17"/>
          <w:szCs w:val="17"/>
          <w:color w:val="auto"/>
        </w:rPr>
        <w:t>Party C’s registered capital or otherwise modify the structure of the registered capital;</w:t>
      </w:r>
    </w:p>
    <w:p>
      <w:pPr>
        <w:spacing w:after="0" w:line="178" w:lineRule="exact"/>
        <w:rPr>
          <w:rFonts w:ascii="Arial" w:cs="Arial" w:eastAsia="Arial" w:hAnsi="Arial"/>
          <w:sz w:val="17"/>
          <w:szCs w:val="17"/>
          <w:color w:val="auto"/>
        </w:rPr>
      </w:pPr>
    </w:p>
    <w:p>
      <w:pPr>
        <w:ind w:left="2340" w:hanging="584"/>
        <w:spacing w:after="0"/>
        <w:tabs>
          <w:tab w:leader="none" w:pos="234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Supplement, modify or amend Party C’s articles of association in any form; and</w:t>
      </w:r>
    </w:p>
    <w:p>
      <w:pPr>
        <w:spacing w:after="0" w:line="190" w:lineRule="exact"/>
        <w:rPr>
          <w:rFonts w:ascii="Arial" w:cs="Arial" w:eastAsia="Arial" w:hAnsi="Arial"/>
          <w:sz w:val="17"/>
          <w:szCs w:val="17"/>
          <w:color w:val="auto"/>
        </w:rPr>
      </w:pPr>
    </w:p>
    <w:p>
      <w:pPr>
        <w:ind w:left="2340" w:hanging="584"/>
        <w:spacing w:after="0"/>
        <w:tabs>
          <w:tab w:leader="none" w:pos="2340" w:val="left"/>
        </w:tabs>
        <w:numPr>
          <w:ilvl w:val="0"/>
          <w:numId w:val="451"/>
        </w:numPr>
        <w:rPr>
          <w:rFonts w:ascii="Arial" w:cs="Arial" w:eastAsia="Arial" w:hAnsi="Arial"/>
          <w:sz w:val="15"/>
          <w:szCs w:val="15"/>
          <w:color w:val="auto"/>
        </w:rPr>
      </w:pPr>
      <w:r>
        <w:rPr>
          <w:rFonts w:ascii="Arial" w:cs="Arial" w:eastAsia="Arial" w:hAnsi="Arial"/>
          <w:sz w:val="15"/>
          <w:szCs w:val="15"/>
          <w:color w:val="auto"/>
        </w:rPr>
        <w:t>Enter into merge or association with any persons, or acquire investments from any persons or make an investment to any persons.</w:t>
      </w:r>
    </w:p>
    <w:p>
      <w:pPr>
        <w:spacing w:after="0" w:line="214" w:lineRule="exact"/>
        <w:rPr>
          <w:sz w:val="20"/>
          <w:szCs w:val="20"/>
          <w:color w:val="auto"/>
        </w:rPr>
      </w:pPr>
    </w:p>
    <w:p>
      <w:pPr>
        <w:jc w:val="both"/>
        <w:ind w:left="1760" w:hanging="584"/>
        <w:spacing w:after="0" w:line="296" w:lineRule="auto"/>
        <w:tabs>
          <w:tab w:leader="none" w:pos="174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6"/>
          <w:szCs w:val="16"/>
          <w:color w:val="auto"/>
        </w:rPr>
        <w:t>On the date of signing this Agreement and each Delivery Date, Party C has no outstanding debts other than (i) any debts arising in its ordinary business course; and (ii) any debts that have been disclosed to and agreed by Party A expressly in writing in advance.</w:t>
      </w:r>
    </w:p>
    <w:p>
      <w:pPr>
        <w:spacing w:after="0" w:line="107" w:lineRule="exact"/>
        <w:rPr>
          <w:sz w:val="20"/>
          <w:szCs w:val="20"/>
          <w:color w:val="auto"/>
        </w:rPr>
      </w:pPr>
    </w:p>
    <w:p>
      <w:pPr>
        <w:jc w:val="both"/>
        <w:ind w:left="1760" w:hanging="584"/>
        <w:spacing w:after="0" w:line="278" w:lineRule="auto"/>
        <w:tabs>
          <w:tab w:leader="none" w:pos="174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6"/>
          <w:szCs w:val="16"/>
          <w:color w:val="auto"/>
        </w:rPr>
        <w:t>On the date of signing this Agreement and each Delivery Date, there is no suit, arbitration or administrative proceedings that are ongoing or may occur in relation to the shares, Party C’s assets or that may have a substantial impact on the performance of this Agreement by Party C other than those that have been disclosed to and agreed by Party A expressly in writing in advance.</w:t>
      </w:r>
    </w:p>
    <w:p>
      <w:pPr>
        <w:spacing w:after="0" w:line="121"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3"/>
          <w:szCs w:val="13"/>
          <w:color w:val="auto"/>
        </w:rPr>
        <w:t>Party C has not been declared bankrupt.</w:t>
      </w:r>
    </w:p>
    <w:p>
      <w:pPr>
        <w:spacing w:after="0" w:line="191" w:lineRule="exact"/>
        <w:rPr>
          <w:sz w:val="20"/>
          <w:szCs w:val="20"/>
          <w:color w:val="auto"/>
        </w:rPr>
      </w:pPr>
    </w:p>
    <w:p>
      <w:pPr>
        <w:jc w:val="both"/>
        <w:ind w:left="1760" w:hanging="584"/>
        <w:spacing w:after="0" w:line="291" w:lineRule="auto"/>
        <w:tabs>
          <w:tab w:leader="none" w:pos="1740" w:val="left"/>
        </w:tabs>
        <w:rPr>
          <w:sz w:val="20"/>
          <w:szCs w:val="20"/>
          <w:color w:val="auto"/>
        </w:rPr>
      </w:pPr>
      <w:r>
        <w:rPr>
          <w:rFonts w:ascii="Arial" w:cs="Arial" w:eastAsia="Arial" w:hAnsi="Arial"/>
          <w:sz w:val="17"/>
          <w:szCs w:val="17"/>
          <w:color w:val="auto"/>
        </w:rPr>
        <w:t>3.3.5</w:t>
      </w:r>
      <w:r>
        <w:rPr>
          <w:sz w:val="20"/>
          <w:szCs w:val="20"/>
          <w:color w:val="auto"/>
        </w:rPr>
        <w:tab/>
      </w:r>
      <w:r>
        <w:rPr>
          <w:rFonts w:ascii="Arial" w:cs="Arial" w:eastAsia="Arial" w:hAnsi="Arial"/>
          <w:sz w:val="15"/>
          <w:szCs w:val="15"/>
          <w:color w:val="auto"/>
        </w:rPr>
        <w:t>Party C hereby undertakes to Party A that it will comply with all laws and regulations applicable to the acquisition of shares and assets within the term of this Agreement, bear all expenses arising out of the share transfer and handle all procedures necessary for enabling Party A or its designated third party to become Party C’s shareholder, including but not limited to assisting Party A in obtaining any necessary approvals in relation to the share transfer from the approval authorities, submitting the relevant applications required for handling the share change registration to the competent administrative department of industry and commerce and amending the register of shareholders.</w:t>
      </w:r>
    </w:p>
    <w:p>
      <w:pPr>
        <w:spacing w:after="0" w:line="109" w:lineRule="exact"/>
        <w:rPr>
          <w:sz w:val="20"/>
          <w:szCs w:val="20"/>
          <w:color w:val="auto"/>
        </w:rPr>
      </w:pPr>
    </w:p>
    <w:p>
      <w:pPr>
        <w:ind w:left="580" w:hanging="580"/>
        <w:spacing w:after="0"/>
        <w:tabs>
          <w:tab w:leader="none" w:pos="580" w:val="left"/>
        </w:tabs>
        <w:numPr>
          <w:ilvl w:val="0"/>
          <w:numId w:val="452"/>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169"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All taxes arising out of the performance of this Agreement shall be borne by Party C.</w:t>
      </w:r>
    </w:p>
    <w:p>
      <w:pPr>
        <w:spacing w:after="0" w:line="161" w:lineRule="exact"/>
        <w:rPr>
          <w:rFonts w:ascii="Arial" w:cs="Arial" w:eastAsia="Arial" w:hAnsi="Arial"/>
          <w:sz w:val="17"/>
          <w:szCs w:val="17"/>
          <w:b w:val="1"/>
          <w:bCs w:val="1"/>
          <w:color w:val="auto"/>
        </w:rPr>
      </w:pPr>
    </w:p>
    <w:p>
      <w:pPr>
        <w:ind w:left="580" w:hanging="580"/>
        <w:spacing w:after="0"/>
        <w:tabs>
          <w:tab w:leader="none" w:pos="580" w:val="left"/>
        </w:tabs>
        <w:numPr>
          <w:ilvl w:val="0"/>
          <w:numId w:val="452"/>
        </w:numPr>
        <w:rPr>
          <w:rFonts w:ascii="Arial" w:cs="Arial" w:eastAsia="Arial" w:hAnsi="Arial"/>
          <w:sz w:val="17"/>
          <w:szCs w:val="17"/>
          <w:b w:val="1"/>
          <w:bCs w:val="1"/>
          <w:color w:val="auto"/>
        </w:rPr>
      </w:pPr>
      <w:r>
        <w:rPr>
          <w:rFonts w:ascii="Arial" w:cs="Arial" w:eastAsia="Arial" w:hAnsi="Arial"/>
          <w:sz w:val="17"/>
          <w:szCs w:val="17"/>
          <w:b w:val="1"/>
          <w:bCs w:val="1"/>
          <w:color w:val="auto"/>
        </w:rPr>
        <w:t>Breach of Contract</w:t>
      </w:r>
    </w:p>
    <w:p>
      <w:pPr>
        <w:spacing w:after="0" w:line="169" w:lineRule="exact"/>
        <w:rPr>
          <w:rFonts w:ascii="Arial" w:cs="Arial" w:eastAsia="Arial" w:hAnsi="Arial"/>
          <w:sz w:val="17"/>
          <w:szCs w:val="17"/>
          <w:b w:val="1"/>
          <w:bCs w:val="1"/>
          <w:color w:val="auto"/>
        </w:rPr>
      </w:pPr>
    </w:p>
    <w:p>
      <w:pPr>
        <w:jc w:val="both"/>
        <w:ind w:left="58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Except as otherwise stipulated herein, if any Party fails to fully perform or suspend the performance of its obligations under this Agreement and fails to correct such breach within Thirty (30) days from the date of receipt of a notice from the other Party, or any of its representations and warranties under this Agreement are untrue, inaccurate or misleading, such Party shall be deemed to have breached this Agreement.</w:t>
      </w:r>
    </w:p>
    <w:p>
      <w:pPr>
        <w:spacing w:after="0" w:line="139" w:lineRule="exact"/>
        <w:rPr>
          <w:rFonts w:ascii="Arial" w:cs="Arial" w:eastAsia="Arial" w:hAnsi="Arial"/>
          <w:sz w:val="17"/>
          <w:szCs w:val="17"/>
          <w:b w:val="1"/>
          <w:bCs w:val="1"/>
          <w:color w:val="auto"/>
        </w:rPr>
      </w:pPr>
    </w:p>
    <w:p>
      <w:pPr>
        <w:jc w:val="both"/>
        <w:ind w:left="580"/>
        <w:spacing w:after="0" w:line="295" w:lineRule="auto"/>
        <w:rPr>
          <w:rFonts w:ascii="Arial" w:cs="Arial" w:eastAsia="Arial" w:hAnsi="Arial"/>
          <w:sz w:val="17"/>
          <w:szCs w:val="17"/>
          <w:b w:val="1"/>
          <w:bCs w:val="1"/>
          <w:color w:val="auto"/>
        </w:rPr>
      </w:pPr>
      <w:r>
        <w:rPr>
          <w:rFonts w:ascii="Arial" w:cs="Arial" w:eastAsia="Arial" w:hAnsi="Arial"/>
          <w:sz w:val="15"/>
          <w:szCs w:val="15"/>
          <w:color w:val="auto"/>
        </w:rPr>
        <w:t>If any Party hereto breaches this Agreement or any of its representations and warranties under this Agreement, the non-breaching Party may notify in writing the breaching Party of correcting such breach within Ten (10) days from the date of receipt of a notice, taking appropriate measures to effectively and promptly avoid any damage and continuing to perform this Agreement. If any damage occurs, the breaching Party shall make compensation to the non-breaching Party so that the non-breaching Party can obtain all rights and interests that should have been obtained by it in the case of the performance of this Agreement</w:t>
      </w:r>
    </w:p>
    <w:p>
      <w:pPr>
        <w:spacing w:after="0" w:line="123" w:lineRule="exact"/>
        <w:rPr>
          <w:rFonts w:ascii="Arial" w:cs="Arial" w:eastAsia="Arial" w:hAnsi="Arial"/>
          <w:sz w:val="17"/>
          <w:szCs w:val="17"/>
          <w:b w:val="1"/>
          <w:bCs w:val="1"/>
          <w:color w:val="auto"/>
        </w:rPr>
      </w:pPr>
    </w:p>
    <w:p>
      <w:pPr>
        <w:ind w:left="5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If all of the Parties breach this Agreement, they shall determine the respective amount of compensation payable by them according to the degree of their respective breach.</w:t>
      </w:r>
    </w:p>
    <w:p>
      <w:pPr>
        <w:spacing w:after="0" w:line="126" w:lineRule="exact"/>
        <w:rPr>
          <w:rFonts w:ascii="Arial" w:cs="Arial" w:eastAsia="Arial" w:hAnsi="Arial"/>
          <w:sz w:val="17"/>
          <w:szCs w:val="17"/>
          <w:b w:val="1"/>
          <w:bCs w:val="1"/>
          <w:color w:val="auto"/>
        </w:rPr>
      </w:pPr>
    </w:p>
    <w:p>
      <w:pPr>
        <w:ind w:left="580" w:hanging="580"/>
        <w:spacing w:after="0"/>
        <w:tabs>
          <w:tab w:leader="none" w:pos="580" w:val="left"/>
        </w:tabs>
        <w:numPr>
          <w:ilvl w:val="0"/>
          <w:numId w:val="452"/>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169"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6.1</w:t>
      </w:r>
      <w:r>
        <w:rPr>
          <w:rFonts w:ascii="Arial" w:cs="Arial" w:eastAsia="Arial" w:hAnsi="Arial"/>
          <w:sz w:val="15"/>
          <w:szCs w:val="15"/>
          <w:color w:val="auto"/>
        </w:rPr>
        <w:t>Governing Law</w:t>
      </w:r>
    </w:p>
    <w:p>
      <w:pPr>
        <w:spacing w:after="0" w:line="190" w:lineRule="exact"/>
        <w:rPr>
          <w:rFonts w:ascii="Arial" w:cs="Arial" w:eastAsia="Arial" w:hAnsi="Arial"/>
          <w:sz w:val="17"/>
          <w:szCs w:val="17"/>
          <w:b w:val="1"/>
          <w:bCs w:val="1"/>
          <w:color w:val="auto"/>
        </w:rPr>
      </w:pPr>
    </w:p>
    <w:p>
      <w:pPr>
        <w:ind w:left="1180"/>
        <w:spacing w:after="0"/>
        <w:rPr>
          <w:rFonts w:ascii="Arial" w:cs="Arial" w:eastAsia="Arial" w:hAnsi="Arial"/>
          <w:sz w:val="17"/>
          <w:szCs w:val="17"/>
          <w:b w:val="1"/>
          <w:bCs w:val="1"/>
          <w:color w:val="auto"/>
        </w:rPr>
      </w:pPr>
      <w:r>
        <w:rPr>
          <w:rFonts w:ascii="Arial" w:cs="Arial" w:eastAsia="Arial" w:hAnsi="Arial"/>
          <w:sz w:val="17"/>
          <w:szCs w:val="17"/>
          <w:color w:val="auto"/>
        </w:rPr>
        <w:t>This Agreement shall be governed by and construed in accordance with the laws of the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2" w:name="page413"/>
    <w:bookmarkEnd w:id="412"/>
    <w:p>
      <w:pPr>
        <w:ind w:left="580"/>
        <w:spacing w:after="0"/>
        <w:tabs>
          <w:tab w:leader="none" w:pos="116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color w:val="auto"/>
        </w:rPr>
        <w:t>Arbitration</w:t>
      </w:r>
    </w:p>
    <w:p>
      <w:pPr>
        <w:spacing w:after="0" w:line="191" w:lineRule="exact"/>
        <w:rPr>
          <w:sz w:val="20"/>
          <w:szCs w:val="20"/>
          <w:color w:val="auto"/>
        </w:rPr>
      </w:pPr>
    </w:p>
    <w:p>
      <w:pPr>
        <w:jc w:val="both"/>
        <w:ind w:left="1180"/>
        <w:spacing w:after="0" w:line="299" w:lineRule="auto"/>
        <w:rPr>
          <w:sz w:val="20"/>
          <w:szCs w:val="20"/>
          <w:color w:val="auto"/>
        </w:rPr>
      </w:pPr>
      <w:r>
        <w:rPr>
          <w:rFonts w:ascii="Arial" w:cs="Arial" w:eastAsia="Arial" w:hAnsi="Arial"/>
          <w:sz w:val="15"/>
          <w:szCs w:val="15"/>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 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121"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Continue to Perform</w:t>
      </w:r>
    </w:p>
    <w:p>
      <w:pPr>
        <w:spacing w:after="0" w:line="191" w:lineRule="exact"/>
        <w:rPr>
          <w:sz w:val="20"/>
          <w:szCs w:val="20"/>
          <w:color w:val="auto"/>
        </w:rPr>
      </w:pPr>
    </w:p>
    <w:p>
      <w:pPr>
        <w:jc w:val="both"/>
        <w:ind w:left="1180"/>
        <w:spacing w:after="0" w:line="264" w:lineRule="auto"/>
        <w:rPr>
          <w:sz w:val="20"/>
          <w:szCs w:val="20"/>
          <w:color w:val="auto"/>
        </w:rPr>
      </w:pP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27" w:lineRule="exact"/>
        <w:rPr>
          <w:sz w:val="20"/>
          <w:szCs w:val="20"/>
          <w:color w:val="auto"/>
        </w:rPr>
      </w:pPr>
    </w:p>
    <w:p>
      <w:pPr>
        <w:ind w:left="580" w:hanging="580"/>
        <w:spacing w:after="0"/>
        <w:tabs>
          <w:tab w:leader="none" w:pos="580" w:val="left"/>
        </w:tabs>
        <w:numPr>
          <w:ilvl w:val="0"/>
          <w:numId w:val="453"/>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169"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7.1</w:t>
      </w:r>
      <w:r>
        <w:rPr>
          <w:rFonts w:ascii="Arial" w:cs="Arial" w:eastAsia="Arial" w:hAnsi="Arial"/>
          <w:sz w:val="15"/>
          <w:szCs w:val="15"/>
          <w:color w:val="auto"/>
        </w:rPr>
        <w:t>Confidential Information</w:t>
      </w:r>
    </w:p>
    <w:p>
      <w:pPr>
        <w:spacing w:after="0" w:line="191" w:lineRule="exact"/>
        <w:rPr>
          <w:sz w:val="20"/>
          <w:szCs w:val="20"/>
          <w:color w:val="auto"/>
        </w:rPr>
      </w:pPr>
    </w:p>
    <w:p>
      <w:pPr>
        <w:ind w:left="1180"/>
        <w:spacing w:after="0" w:line="332" w:lineRule="auto"/>
        <w:rPr>
          <w:sz w:val="20"/>
          <w:szCs w:val="20"/>
          <w:color w:val="auto"/>
        </w:rPr>
      </w:pPr>
      <w:r>
        <w:rPr>
          <w:rFonts w:ascii="Arial" w:cs="Arial" w:eastAsia="Arial" w:hAnsi="Arial"/>
          <w:sz w:val="15"/>
          <w:szCs w:val="15"/>
          <w:color w:val="auto"/>
        </w:rPr>
        <w:t>Any contents of this Agreement and its annexes shall be kept confidential. Any Party shall not disclose to any third party any information contained herein (unless they obtain the prior written consent of the Parties hereto). These provisions hereof shall survive the termination of this Agreement.</w:t>
      </w:r>
    </w:p>
    <w:p>
      <w:pPr>
        <w:spacing w:after="0" w:line="8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3"/>
          <w:szCs w:val="13"/>
          <w:color w:val="auto"/>
        </w:rPr>
        <w:t>Exceptions</w:t>
      </w:r>
    </w:p>
    <w:p>
      <w:pPr>
        <w:spacing w:after="0" w:line="191" w:lineRule="exact"/>
        <w:rPr>
          <w:sz w:val="20"/>
          <w:szCs w:val="20"/>
          <w:color w:val="auto"/>
        </w:rPr>
      </w:pPr>
    </w:p>
    <w:p>
      <w:pPr>
        <w:ind w:left="1180"/>
        <w:spacing w:after="0" w:line="264" w:lineRule="auto"/>
        <w:rPr>
          <w:sz w:val="20"/>
          <w:szCs w:val="20"/>
          <w:color w:val="auto"/>
        </w:rPr>
      </w:pPr>
      <w:r>
        <w:rPr>
          <w:rFonts w:ascii="Arial" w:cs="Arial" w:eastAsia="Arial" w:hAnsi="Arial"/>
          <w:sz w:val="17"/>
          <w:szCs w:val="17"/>
          <w:color w:val="auto"/>
        </w:rPr>
        <w:t>Any disclosure of any confidential information required by the laws, court judgments, arbitral awards and decisions of governmental authorities shall not constitute a breach of the Section 7.1 above.</w:t>
      </w:r>
    </w:p>
    <w:p>
      <w:pPr>
        <w:spacing w:after="0" w:line="139" w:lineRule="exact"/>
        <w:rPr>
          <w:sz w:val="20"/>
          <w:szCs w:val="20"/>
          <w:color w:val="auto"/>
        </w:rPr>
      </w:pPr>
    </w:p>
    <w:p>
      <w:pPr>
        <w:ind w:left="580" w:hanging="580"/>
        <w:spacing w:after="0"/>
        <w:tabs>
          <w:tab w:leader="none" w:pos="580"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69"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8.1</w:t>
      </w:r>
      <w:r>
        <w:rPr>
          <w:rFonts w:ascii="Arial" w:cs="Arial" w:eastAsia="Arial" w:hAnsi="Arial"/>
          <w:sz w:val="15"/>
          <w:szCs w:val="15"/>
          <w:color w:val="auto"/>
        </w:rPr>
        <w:t>Entire Agreement</w:t>
      </w:r>
    </w:p>
    <w:p>
      <w:pPr>
        <w:spacing w:after="0" w:line="191" w:lineRule="exact"/>
        <w:rPr>
          <w:sz w:val="20"/>
          <w:szCs w:val="20"/>
          <w:color w:val="auto"/>
        </w:rPr>
      </w:pPr>
    </w:p>
    <w:p>
      <w:pPr>
        <w:jc w:val="both"/>
        <w:ind w:left="1180"/>
        <w:spacing w:after="0" w:line="304" w:lineRule="auto"/>
        <w:rPr>
          <w:sz w:val="20"/>
          <w:szCs w:val="20"/>
          <w:color w:val="auto"/>
        </w:rPr>
      </w:pPr>
      <w:r>
        <w:rPr>
          <w:rFonts w:ascii="Arial" w:cs="Arial" w:eastAsia="Arial" w:hAnsi="Arial"/>
          <w:sz w:val="15"/>
          <w:szCs w:val="15"/>
          <w:color w:val="auto"/>
        </w:rPr>
        <w:t>This Agreement shall constitute an entire agreement among the Parties hereto in respect of the matters involved herein. In case of any discrepancies between any prior discussions, negotiations and agreement and this Agreement, this Agreement shall prevail. This Agreement shall be amended by the Parties in writing. Any annexes hereto shall form an integral part of this Agreement and be equally authentic as this Agreement.</w:t>
      </w:r>
    </w:p>
    <w:p>
      <w:pPr>
        <w:spacing w:after="0" w:line="104"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3"/>
          <w:szCs w:val="13"/>
          <w:color w:val="auto"/>
        </w:rPr>
        <w:t>Notices</w:t>
      </w:r>
    </w:p>
    <w:p>
      <w:pPr>
        <w:spacing w:after="0" w:line="191" w:lineRule="exact"/>
        <w:rPr>
          <w:sz w:val="20"/>
          <w:szCs w:val="20"/>
          <w:color w:val="auto"/>
        </w:rPr>
      </w:pPr>
    </w:p>
    <w:p>
      <w:pPr>
        <w:jc w:val="both"/>
        <w:ind w:left="1760" w:hanging="585"/>
        <w:spacing w:after="0" w:line="254" w:lineRule="auto"/>
        <w:tabs>
          <w:tab w:leader="none" w:pos="1740" w:val="left"/>
        </w:tabs>
        <w:rPr>
          <w:sz w:val="20"/>
          <w:szCs w:val="20"/>
          <w:color w:val="auto"/>
        </w:rPr>
      </w:pPr>
      <w:r>
        <w:rPr>
          <w:rFonts w:ascii="Arial" w:cs="Arial" w:eastAsia="Arial" w:hAnsi="Arial"/>
          <w:sz w:val="17"/>
          <w:szCs w:val="17"/>
          <w:color w:val="auto"/>
        </w:rPr>
        <w:t>8.2.1</w:t>
        <w:tab/>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35" w:lineRule="exact"/>
        <w:rPr>
          <w:sz w:val="20"/>
          <w:szCs w:val="20"/>
          <w:color w:val="auto"/>
        </w:rPr>
      </w:pPr>
    </w:p>
    <w:p>
      <w:pPr>
        <w:ind w:left="1760"/>
        <w:spacing w:after="0"/>
        <w:rPr>
          <w:sz w:val="20"/>
          <w:szCs w:val="20"/>
          <w:color w:val="auto"/>
        </w:rPr>
      </w:pPr>
      <w:r>
        <w:rPr>
          <w:rFonts w:ascii="Arial" w:cs="Arial" w:eastAsia="Arial" w:hAnsi="Arial"/>
          <w:sz w:val="17"/>
          <w:szCs w:val="17"/>
          <w:b w:val="1"/>
          <w:bCs w:val="1"/>
          <w:color w:val="auto"/>
        </w:rPr>
        <w:t>Party A,</w:t>
      </w:r>
    </w:p>
    <w:p>
      <w:pPr>
        <w:spacing w:after="0" w:line="195"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Address: Building 6, No. 36 Yard, Laiguangying Chuangyuan Road, Chaoyang District, Beijing</w:t>
      </w:r>
    </w:p>
    <w:p>
      <w:pPr>
        <w:spacing w:after="0" w:line="16"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Tel.: [•]</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Attn.: LIU Tongbo</w:t>
      </w:r>
    </w:p>
    <w:p>
      <w:pPr>
        <w:spacing w:after="0" w:line="162" w:lineRule="exact"/>
        <w:rPr>
          <w:sz w:val="20"/>
          <w:szCs w:val="20"/>
          <w:color w:val="auto"/>
        </w:rPr>
      </w:pPr>
    </w:p>
    <w:p>
      <w:pPr>
        <w:ind w:left="1760"/>
        <w:spacing w:after="0"/>
        <w:rPr>
          <w:sz w:val="20"/>
          <w:szCs w:val="20"/>
          <w:color w:val="auto"/>
        </w:rPr>
      </w:pPr>
      <w:r>
        <w:rPr>
          <w:rFonts w:ascii="Arial" w:cs="Arial" w:eastAsia="Arial" w:hAnsi="Arial"/>
          <w:sz w:val="17"/>
          <w:szCs w:val="17"/>
          <w:b w:val="1"/>
          <w:bCs w:val="1"/>
          <w:color w:val="auto"/>
        </w:rPr>
        <w:t>Party B and Party C</w:t>
      </w:r>
      <w:r>
        <w:rPr>
          <w:rFonts w:ascii="Arial" w:cs="Arial" w:eastAsia="Arial" w:hAnsi="Arial"/>
          <w:sz w:val="17"/>
          <w:szCs w:val="17"/>
          <w:color w:val="auto"/>
        </w:rPr>
        <w:t>:</w:t>
      </w:r>
    </w:p>
    <w:p>
      <w:pPr>
        <w:spacing w:after="0" w:line="195" w:lineRule="exact"/>
        <w:rPr>
          <w:sz w:val="20"/>
          <w:szCs w:val="20"/>
          <w:color w:val="auto"/>
        </w:rPr>
      </w:pPr>
    </w:p>
    <w:p>
      <w:pPr>
        <w:ind w:left="1760"/>
        <w:spacing w:after="0" w:line="259" w:lineRule="auto"/>
        <w:rPr>
          <w:sz w:val="20"/>
          <w:szCs w:val="20"/>
          <w:color w:val="auto"/>
        </w:rPr>
      </w:pPr>
      <w:r>
        <w:rPr>
          <w:rFonts w:ascii="Arial" w:cs="Arial" w:eastAsia="Arial" w:hAnsi="Arial"/>
          <w:sz w:val="17"/>
          <w:szCs w:val="17"/>
          <w:color w:val="auto"/>
        </w:rPr>
        <w:t>Address: Room 03, 3rd Floor, Building 3, Building 1, 2, 3, Contemporary China Venture Center, No. 20, Guannanyuan 1st Road, East Lake New Technology Development Zone, Wuhan (Wuhan Area, Free Trade Zone) Tel.: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7184390" cy="412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3" w:name="page414"/>
    <w:bookmarkEnd w:id="413"/>
    <w:p>
      <w:pPr>
        <w:ind w:left="1180"/>
        <w:spacing w:after="0"/>
        <w:rPr>
          <w:sz w:val="20"/>
          <w:szCs w:val="20"/>
          <w:color w:val="auto"/>
        </w:rPr>
      </w:pPr>
      <w:r>
        <w:rPr>
          <w:rFonts w:ascii="Arial" w:cs="Arial" w:eastAsia="Arial" w:hAnsi="Arial"/>
          <w:sz w:val="17"/>
          <w:szCs w:val="17"/>
          <w:color w:val="auto"/>
        </w:rPr>
        <w:t>Attn.: XIAO Bowen</w:t>
      </w:r>
    </w:p>
    <w:p>
      <w:pPr>
        <w:spacing w:after="0" w:line="166"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3"/>
          <w:szCs w:val="13"/>
          <w:color w:val="auto"/>
        </w:rPr>
        <w:t>All notices and correspondences shall be deemed to have been delivered under the following circumstances:</w:t>
      </w:r>
    </w:p>
    <w:p>
      <w:pPr>
        <w:spacing w:after="0" w:line="191" w:lineRule="exact"/>
        <w:rPr>
          <w:sz w:val="20"/>
          <w:szCs w:val="20"/>
          <w:color w:val="auto"/>
        </w:rPr>
      </w:pPr>
    </w:p>
    <w:p>
      <w:pPr>
        <w:jc w:val="both"/>
        <w:ind w:left="1760" w:hanging="584"/>
        <w:spacing w:after="0" w:line="254" w:lineRule="auto"/>
        <w:tabs>
          <w:tab w:leader="none" w:pos="176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If delivered by fax, the date displayed on the fax machine shall be the date of delivery, provided that, when such notices sent by fax are delivered later than 5:00 p.m. or on any non-working day in the place of delivery, the working day following the date displayed shall be the date of delivery;</w:t>
      </w:r>
    </w:p>
    <w:p>
      <w:pPr>
        <w:spacing w:after="0" w:line="139" w:lineRule="exact"/>
        <w:rPr>
          <w:rFonts w:ascii="Arial" w:cs="Arial" w:eastAsia="Arial" w:hAnsi="Arial"/>
          <w:sz w:val="17"/>
          <w:szCs w:val="17"/>
          <w:color w:val="auto"/>
        </w:rPr>
      </w:pPr>
    </w:p>
    <w:p>
      <w:pPr>
        <w:ind w:left="1760" w:hanging="584"/>
        <w:spacing w:after="0" w:line="264" w:lineRule="auto"/>
        <w:tabs>
          <w:tab w:leader="none" w:pos="176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If delivered by personal delivery (including by express mail service), the date of signing for such notices shall be the date of delivery; and</w:t>
      </w:r>
    </w:p>
    <w:p>
      <w:pPr>
        <w:spacing w:after="0" w:line="129" w:lineRule="exact"/>
        <w:rPr>
          <w:rFonts w:ascii="Arial" w:cs="Arial" w:eastAsia="Arial" w:hAnsi="Arial"/>
          <w:sz w:val="17"/>
          <w:szCs w:val="17"/>
          <w:color w:val="auto"/>
        </w:rPr>
      </w:pPr>
    </w:p>
    <w:p>
      <w:pPr>
        <w:ind w:left="1760" w:hanging="584"/>
        <w:spacing w:after="0" w:line="265" w:lineRule="auto"/>
        <w:tabs>
          <w:tab w:leader="none" w:pos="176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If delivered by registered mail, the Fifteenth (15</w:t>
      </w:r>
      <w:r>
        <w:rPr>
          <w:rFonts w:ascii="Arial" w:cs="Arial" w:eastAsia="Arial" w:hAnsi="Arial"/>
          <w:sz w:val="14"/>
          <w:szCs w:val="14"/>
          <w:color w:val="auto"/>
        </w:rPr>
        <w:t>th</w:t>
      </w:r>
      <w:r>
        <w:rPr>
          <w:rFonts w:ascii="Arial" w:cs="Arial" w:eastAsia="Arial" w:hAnsi="Arial"/>
          <w:sz w:val="17"/>
          <w:szCs w:val="17"/>
          <w:color w:val="auto"/>
        </w:rPr>
        <w:t>) day following the date shown in the return receipt of such registered mail shall be the date of delivery.</w:t>
      </w:r>
    </w:p>
    <w:p>
      <w:pPr>
        <w:spacing w:after="0" w:line="13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8.2.3</w:t>
      </w:r>
      <w:r>
        <w:rPr>
          <w:sz w:val="20"/>
          <w:szCs w:val="20"/>
          <w:color w:val="auto"/>
        </w:rPr>
        <w:tab/>
      </w:r>
      <w:r>
        <w:rPr>
          <w:rFonts w:ascii="Arial" w:cs="Arial" w:eastAsia="Arial" w:hAnsi="Arial"/>
          <w:sz w:val="15"/>
          <w:szCs w:val="15"/>
          <w:color w:val="auto"/>
        </w:rPr>
        <w:t>Binding force</w:t>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This Agreement shall be binding on the Parties hereto.</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3"/>
          <w:szCs w:val="13"/>
          <w:color w:val="auto"/>
        </w:rPr>
        <w:t>Language</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Agreement is written in Chinese and is executed in four (4) copies.</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color w:val="auto"/>
        </w:rPr>
        <w:t>Day and Working Day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Day</w:t>
      </w:r>
      <w:r>
        <w:rPr>
          <w:rFonts w:ascii="Arial" w:cs="Arial" w:eastAsia="Arial" w:hAnsi="Arial"/>
          <w:sz w:val="17"/>
          <w:szCs w:val="17"/>
          <w:color w:val="auto"/>
        </w:rPr>
        <w:t>” referred to herein shall be the calendar day; “</w:t>
      </w:r>
      <w:r>
        <w:rPr>
          <w:rFonts w:ascii="Arial" w:cs="Arial" w:eastAsia="Arial" w:hAnsi="Arial"/>
          <w:sz w:val="17"/>
          <w:szCs w:val="17"/>
          <w:b w:val="1"/>
          <w:bCs w:val="1"/>
          <w:color w:val="auto"/>
        </w:rPr>
        <w:t>Working Day</w:t>
      </w:r>
      <w:r>
        <w:rPr>
          <w:rFonts w:ascii="Arial" w:cs="Arial" w:eastAsia="Arial" w:hAnsi="Arial"/>
          <w:sz w:val="17"/>
          <w:szCs w:val="17"/>
          <w:color w:val="auto"/>
        </w:rPr>
        <w:t>” referred to herein shall be any day from Monday to Friday.</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3"/>
          <w:szCs w:val="13"/>
          <w:color w:val="auto"/>
        </w:rPr>
        <w:t>Headings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headings hereunder are for reading convenience only and shall not be used for the interpretation of this Agreement.</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3"/>
          <w:szCs w:val="13"/>
          <w:color w:val="auto"/>
        </w:rPr>
        <w:t>Pending matters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Any matters not stipulated herein shall be resolved by the Parties hereto through friendly consultation in accordance with the laws of the PRC.</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Termination</w:t>
      </w:r>
    </w:p>
    <w:p>
      <w:pPr>
        <w:spacing w:after="0" w:line="191" w:lineRule="exact"/>
        <w:rPr>
          <w:sz w:val="20"/>
          <w:szCs w:val="20"/>
          <w:color w:val="auto"/>
        </w:rPr>
      </w:pPr>
    </w:p>
    <w:p>
      <w:pPr>
        <w:jc w:val="both"/>
        <w:ind w:left="600"/>
        <w:spacing w:after="0" w:line="254" w:lineRule="auto"/>
        <w:rPr>
          <w:sz w:val="20"/>
          <w:szCs w:val="20"/>
          <w:color w:val="auto"/>
        </w:rPr>
      </w:pPr>
      <w:r>
        <w:rPr>
          <w:rFonts w:ascii="Arial" w:cs="Arial" w:eastAsia="Arial" w:hAnsi="Arial"/>
          <w:sz w:val="17"/>
          <w:szCs w:val="17"/>
          <w:color w:val="auto"/>
        </w:rPr>
        <w:t>The Parties hereto acknowledge that, in case of any change of shareholding structure of Party C or any increase or decrease of shareholders, Party A, Party C and all existing shareholders of Party C shall re-sign this Agreement and that this Agreement shall be automatically terminated and become invalid from the effective date of the option agreement re-signed by the aforesaid Parties.</w:t>
      </w:r>
    </w:p>
    <w:p>
      <w:pPr>
        <w:spacing w:after="0" w:line="139"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60960</wp:posOffset>
            </wp:positionV>
            <wp:extent cx="7184390" cy="412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660"/>
          </w:cols>
          <w:pgMar w:left="900" w:top="126" w:right="339" w:bottom="1440" w:gutter="0" w:footer="0" w:header="0"/>
        </w:sectPr>
      </w:pPr>
    </w:p>
    <w:bookmarkStart w:id="414" w:name="page415"/>
    <w:bookmarkEnd w:id="414"/>
    <w:p>
      <w:pPr>
        <w:jc w:val="center"/>
        <w:ind w:right="40"/>
        <w:spacing w:after="0"/>
        <w:rPr>
          <w:sz w:val="20"/>
          <w:szCs w:val="20"/>
          <w:color w:val="auto"/>
        </w:rPr>
      </w:pPr>
      <w:r>
        <w:rPr>
          <w:rFonts w:ascii="Arial" w:cs="Arial" w:eastAsia="Arial" w:hAnsi="Arial"/>
          <w:sz w:val="17"/>
          <w:szCs w:val="17"/>
          <w:color w:val="auto"/>
        </w:rPr>
        <w:t>[This page is the signature page to the Option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XIAO Bowen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XIAO Bowen</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LI Zhifeng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Zhifeng</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XIAO Bowen</w:t>
      </w:r>
      <w:r>
        <w:rPr>
          <w:rFonts w:ascii="Arial" w:cs="Arial" w:eastAsia="Arial" w:hAnsi="Arial"/>
          <w:sz w:val="17"/>
          <w:szCs w:val="17"/>
          <w:color w:val="auto"/>
        </w:rPr>
        <w:t xml:space="preserve"> (Seal)</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Annex I Party C’s Shareholders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40" w:type="dxa"/>
            <w:vAlign w:val="bottom"/>
            <w:tcBorders>
              <w:right w:val="single" w:sz="8" w:color="auto"/>
            </w:tcBorders>
          </w:tcPr>
          <w:p>
            <w:pPr>
              <w:spacing w:after="0"/>
              <w:rPr>
                <w:sz w:val="18"/>
                <w:szCs w:val="18"/>
                <w:color w:val="auto"/>
              </w:rPr>
            </w:pPr>
          </w:p>
        </w:tc>
        <w:tc>
          <w:tcPr>
            <w:tcW w:w="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Name of Shareholders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ID Card No.</w:t>
            </w:r>
          </w:p>
        </w:tc>
        <w:tc>
          <w:tcPr>
            <w:tcW w:w="2840" w:type="dxa"/>
            <w:vAlign w:val="bottom"/>
          </w:tcPr>
          <w:p>
            <w:pPr>
              <w:spacing w:after="0"/>
              <w:rPr>
                <w:sz w:val="18"/>
                <w:szCs w:val="18"/>
                <w:color w:val="auto"/>
              </w:rPr>
            </w:pPr>
          </w:p>
        </w:tc>
      </w:tr>
      <w:tr>
        <w:trPr>
          <w:trHeight w:val="192"/>
        </w:trPr>
        <w:tc>
          <w:tcPr>
            <w:tcW w:w="2840" w:type="dxa"/>
            <w:vAlign w:val="bottom"/>
            <w:tcBorders>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33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6"/>
              </w:rPr>
              <w:t>XIAO Bowen</w:t>
            </w:r>
          </w:p>
        </w:tc>
        <w:tc>
          <w:tcPr>
            <w:tcW w:w="180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2840" w:type="dxa"/>
            <w:vAlign w:val="bottom"/>
          </w:tcPr>
          <w:p>
            <w:pPr>
              <w:spacing w:after="0"/>
              <w:rPr>
                <w:sz w:val="16"/>
                <w:szCs w:val="16"/>
                <w:color w:val="auto"/>
              </w:rPr>
            </w:pPr>
          </w:p>
        </w:tc>
      </w:tr>
      <w:tr>
        <w:trPr>
          <w:trHeight w:val="192"/>
        </w:trPr>
        <w:tc>
          <w:tcPr>
            <w:tcW w:w="2840" w:type="dxa"/>
            <w:vAlign w:val="bottom"/>
            <w:tcBorders>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33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7"/>
              </w:rPr>
              <w:t>LI Zhifeng</w:t>
            </w:r>
          </w:p>
        </w:tc>
        <w:tc>
          <w:tcPr>
            <w:tcW w:w="180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2840" w:type="dxa"/>
            <w:vAlign w:val="bottom"/>
          </w:tcPr>
          <w:p>
            <w:pPr>
              <w:spacing w:after="0"/>
              <w:rPr>
                <w:sz w:val="16"/>
                <w:szCs w:val="16"/>
                <w:color w:val="auto"/>
              </w:rPr>
            </w:pPr>
          </w:p>
        </w:tc>
      </w:tr>
      <w:tr>
        <w:trPr>
          <w:trHeight w:val="296"/>
        </w:trPr>
        <w:tc>
          <w:tcPr>
            <w:tcW w:w="2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415" w:name="page416"/>
    <w:bookmarkEnd w:id="415"/>
    <w:p>
      <w:pPr>
        <w:jc w:val="center"/>
        <w:spacing w:after="0"/>
        <w:rPr>
          <w:sz w:val="20"/>
          <w:szCs w:val="20"/>
          <w:color w:val="auto"/>
        </w:rPr>
      </w:pPr>
      <w:r>
        <w:rPr>
          <w:rFonts w:ascii="Arial" w:cs="Arial" w:eastAsia="Arial" w:hAnsi="Arial"/>
          <w:sz w:val="17"/>
          <w:szCs w:val="17"/>
          <w:b w:val="1"/>
          <w:bCs w:val="1"/>
          <w:color w:val="auto"/>
        </w:rPr>
        <w:t>Annex II Party C’s Shareholding Structure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7"/>
                <w:szCs w:val="17"/>
                <w:color w:val="auto"/>
              </w:rPr>
              <w:t>Amount of Contribution (CNY</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10000)</w:t>
            </w: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72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4"/>
              </w:rPr>
              <w:t>XIAO Bowen</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190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5"/>
              </w:rPr>
              <w:t>LI Zhifeng</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Total</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200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416" w:name="page417"/>
    <w:bookmarkEnd w:id="416"/>
    <w:p>
      <w:pPr>
        <w:ind w:left="10340"/>
        <w:spacing w:after="0"/>
        <w:rPr>
          <w:sz w:val="20"/>
          <w:szCs w:val="20"/>
          <w:color w:val="auto"/>
        </w:rPr>
      </w:pPr>
      <w:r>
        <w:rPr>
          <w:rFonts w:ascii="Arial" w:cs="Arial" w:eastAsia="Arial" w:hAnsi="Arial"/>
          <w:sz w:val="15"/>
          <w:szCs w:val="15"/>
          <w:b w:val="1"/>
          <w:bCs w:val="1"/>
          <w:color w:val="auto"/>
        </w:rPr>
        <w:t>Exhibit 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311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03" w:lineRule="exact"/>
        <w:rPr>
          <w:sz w:val="20"/>
          <w:szCs w:val="20"/>
          <w:color w:val="auto"/>
        </w:rPr>
      </w:pPr>
    </w:p>
    <w:p>
      <w:pPr>
        <w:jc w:val="both"/>
        <w:ind w:right="220"/>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Wuhan Hadeliang Online Education Technology Co., Ltd. (“</w:t>
      </w:r>
      <w:r>
        <w:rPr>
          <w:rFonts w:ascii="Arial" w:cs="Arial" w:eastAsia="Arial" w:hAnsi="Arial"/>
          <w:sz w:val="17"/>
          <w:szCs w:val="17"/>
          <w:b w:val="1"/>
          <w:bCs w:val="1"/>
          <w:color w:val="auto"/>
        </w:rPr>
        <w:t>Wuhan Hadeliang</w:t>
      </w:r>
      <w:r>
        <w:rPr>
          <w:rFonts w:ascii="Arial" w:cs="Arial" w:eastAsia="Arial" w:hAnsi="Arial"/>
          <w:sz w:val="17"/>
          <w:szCs w:val="17"/>
          <w:color w:val="auto"/>
        </w:rPr>
        <w:t>”) of any specific obligations required by them as the shareholders of Wuhan Hadeliang,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XIAO Bowen, LI Zhifeng,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Authorizers hereby irrevocably authorize to the maximum scope permitted by law Wuhan Studyvip Online Education Co., Limited ("</w:t>
      </w:r>
      <w:r>
        <w:rPr>
          <w:rFonts w:ascii="Arial" w:cs="Arial" w:eastAsia="Arial" w:hAnsi="Arial"/>
          <w:sz w:val="15"/>
          <w:szCs w:val="15"/>
          <w:b w:val="1"/>
          <w:bCs w:val="1"/>
          <w:color w:val="auto"/>
        </w:rPr>
        <w:t>WFOE</w:t>
      </w:r>
      <w:r>
        <w:rPr>
          <w:rFonts w:ascii="Arial" w:cs="Arial" w:eastAsia="Arial" w:hAnsi="Arial"/>
          <w:sz w:val="15"/>
          <w:szCs w:val="15"/>
          <w:color w:val="auto"/>
        </w:rPr>
        <w:t>") or its designated person or authorized representative (“</w:t>
      </w:r>
      <w:r>
        <w:rPr>
          <w:rFonts w:ascii="Arial" w:cs="Arial" w:eastAsia="Arial" w:hAnsi="Arial"/>
          <w:sz w:val="15"/>
          <w:szCs w:val="15"/>
          <w:b w:val="1"/>
          <w:bCs w:val="1"/>
          <w:color w:val="auto"/>
        </w:rPr>
        <w:t>Authorized Person</w:t>
      </w:r>
      <w:r>
        <w:rPr>
          <w:rFonts w:ascii="Arial" w:cs="Arial" w:eastAsia="Arial" w:hAnsi="Arial"/>
          <w:sz w:val="15"/>
          <w:szCs w:val="15"/>
          <w:color w:val="auto"/>
        </w:rPr>
        <w:t>”) to exercise all their shareholder rights corresponding to all voting shares (“</w:t>
      </w:r>
      <w:r>
        <w:rPr>
          <w:rFonts w:ascii="Arial" w:cs="Arial" w:eastAsia="Arial" w:hAnsi="Arial"/>
          <w:sz w:val="15"/>
          <w:szCs w:val="15"/>
          <w:b w:val="1"/>
          <w:bCs w:val="1"/>
          <w:color w:val="auto"/>
        </w:rPr>
        <w:t>Shares</w:t>
      </w:r>
      <w:r>
        <w:rPr>
          <w:rFonts w:ascii="Arial" w:cs="Arial" w:eastAsia="Arial" w:hAnsi="Arial"/>
          <w:sz w:val="15"/>
          <w:szCs w:val="15"/>
          <w:color w:val="auto"/>
        </w:rPr>
        <w:t>”) held by them in Wuhan Hadeliang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w:t>
      </w:r>
    </w:p>
    <w:p>
      <w:pPr>
        <w:ind w:right="20"/>
        <w:spacing w:after="0" w:line="246" w:lineRule="auto"/>
        <w:tabs>
          <w:tab w:leader="none" w:pos="236" w:val="left"/>
        </w:tabs>
        <w:numPr>
          <w:ilvl w:val="0"/>
          <w:numId w:val="456"/>
        </w:numPr>
        <w:rPr>
          <w:rFonts w:ascii="Arial" w:cs="Arial" w:eastAsia="Arial" w:hAnsi="Arial"/>
          <w:sz w:val="17"/>
          <w:szCs w:val="17"/>
          <w:color w:val="auto"/>
        </w:rPr>
      </w:pPr>
      <w:r>
        <w:rPr>
          <w:rFonts w:ascii="Arial" w:cs="Arial" w:eastAsia="Arial" w:hAnsi="Arial"/>
          <w:sz w:val="17"/>
          <w:szCs w:val="17"/>
          <w:color w:val="auto"/>
        </w:rPr>
        <w:t>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Wuhan Hadeliang at the meeting of shareholders of Wuhan Hadeliang.</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designated by the board of directors of the WFOE.</w:t>
      </w:r>
    </w:p>
    <w:p>
      <w:pPr>
        <w:spacing w:after="0" w:line="15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Unless the Business Operation Agreement signed by Wuhan Hadeliang,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22nd day of September,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17" w:name="page418"/>
    <w:bookmarkEnd w:id="417"/>
    <w:p>
      <w:pPr>
        <w:spacing w:after="0"/>
        <w:rPr>
          <w:sz w:val="20"/>
          <w:szCs w:val="20"/>
          <w:color w:val="auto"/>
        </w:rPr>
      </w:pPr>
      <w:r>
        <w:rPr>
          <w:rFonts w:ascii="Arial" w:cs="Arial" w:eastAsia="Arial" w:hAnsi="Arial"/>
          <w:sz w:val="17"/>
          <w:szCs w:val="17"/>
          <w:b w:val="1"/>
          <w:bCs w:val="1"/>
          <w:color w:val="auto"/>
        </w:rPr>
        <w:t>Authorizers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XIAO Bowen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XIAO Bowen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LI Zhifeng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Zhifeng</w:t>
      </w:r>
    </w:p>
    <w:p>
      <w:pPr>
        <w:spacing w:after="0" w:line="390" w:lineRule="exact"/>
        <w:rPr>
          <w:sz w:val="20"/>
          <w:szCs w:val="20"/>
          <w:color w:val="auto"/>
        </w:rPr>
      </w:pPr>
    </w:p>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Studyvip Online Education Co., Limited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LIU Tongbo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Title: Authorized Representative</w:t>
      </w:r>
    </w:p>
    <w:p>
      <w:pPr>
        <w:sectPr>
          <w:pgSz w:w="11900" w:h="16838" w:orient="portrait"/>
          <w:cols w:equalWidth="0" w:num="1">
            <w:col w:w="10139"/>
          </w:cols>
          <w:pgMar w:left="320" w:top="123" w:right="1440" w:bottom="1440" w:gutter="0" w:footer="0" w:header="0"/>
        </w:sectPr>
      </w:pPr>
    </w:p>
    <w:bookmarkStart w:id="418" w:name="page419"/>
    <w:bookmarkEnd w:id="418"/>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360" w:type="dxa"/>
            <w:vAlign w:val="bottom"/>
            <w:gridSpan w:val="2"/>
          </w:tcPr>
          <w:p>
            <w:pPr>
              <w:jc w:val="right"/>
              <w:spacing w:after="0"/>
              <w:rPr>
                <w:sz w:val="20"/>
                <w:szCs w:val="20"/>
                <w:color w:val="auto"/>
              </w:rPr>
            </w:pPr>
            <w:r>
              <w:rPr>
                <w:rFonts w:ascii="Arial" w:cs="Arial" w:eastAsia="Arial" w:hAnsi="Arial"/>
                <w:sz w:val="17"/>
                <w:szCs w:val="17"/>
                <w:b w:val="1"/>
                <w:bCs w:val="1"/>
                <w:color w:val="auto"/>
              </w:rPr>
              <w:t>Exhibit 4.51</w:t>
            </w:r>
          </w:p>
        </w:tc>
      </w:tr>
      <w:tr>
        <w:trPr>
          <w:trHeight w:val="399"/>
        </w:trPr>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360" w:type="dxa"/>
            <w:vAlign w:val="bottom"/>
            <w:gridSpan w:val="2"/>
          </w:tcPr>
          <w:p>
            <w:pPr>
              <w:jc w:val="right"/>
              <w:ind w:right="5000"/>
              <w:spacing w:after="0"/>
              <w:rPr>
                <w:sz w:val="20"/>
                <w:szCs w:val="20"/>
                <w:color w:val="auto"/>
              </w:rPr>
            </w:pPr>
            <w:r>
              <w:rPr>
                <w:rFonts w:ascii="Arial" w:cs="Arial" w:eastAsia="Arial" w:hAnsi="Arial"/>
                <w:sz w:val="17"/>
                <w:szCs w:val="17"/>
                <w:b w:val="1"/>
                <w:bCs w:val="1"/>
                <w:color w:val="auto"/>
                <w:w w:val="90"/>
              </w:rPr>
              <w:t>Spousal Consents</w:t>
            </w:r>
          </w:p>
        </w:tc>
      </w:tr>
      <w:tr>
        <w:trPr>
          <w:trHeight w:val="382"/>
        </w:trPr>
        <w:tc>
          <w:tcPr>
            <w:tcW w:w="4880" w:type="dxa"/>
            <w:vAlign w:val="bottom"/>
            <w:gridSpan w:val="4"/>
          </w:tcPr>
          <w:p>
            <w:pPr>
              <w:spacing w:after="0"/>
              <w:rPr>
                <w:sz w:val="20"/>
                <w:szCs w:val="20"/>
                <w:color w:val="auto"/>
              </w:rPr>
            </w:pPr>
            <w:r>
              <w:rPr>
                <w:rFonts w:ascii="Arial" w:cs="Arial" w:eastAsia="Arial" w:hAnsi="Arial"/>
                <w:sz w:val="17"/>
                <w:szCs w:val="17"/>
                <w:color w:val="auto"/>
                <w:w w:val="93"/>
              </w:rPr>
              <w:t>I, HAN Qian, (Citizen of the People's Republic of China; ID Card No.:</w:t>
            </w:r>
          </w:p>
        </w:tc>
        <w:tc>
          <w:tcPr>
            <w:tcW w:w="6360" w:type="dxa"/>
            <w:vAlign w:val="bottom"/>
            <w:gridSpan w:val="2"/>
          </w:tcPr>
          <w:p>
            <w:pPr>
              <w:jc w:val="right"/>
              <w:spacing w:after="0"/>
              <w:rPr>
                <w:sz w:val="20"/>
                <w:szCs w:val="20"/>
                <w:color w:val="auto"/>
              </w:rPr>
            </w:pPr>
            <w:r>
              <w:rPr>
                <w:rFonts w:ascii="Arial" w:cs="Arial" w:eastAsia="Arial" w:hAnsi="Arial"/>
                <w:sz w:val="17"/>
                <w:szCs w:val="17"/>
                <w:color w:val="auto"/>
              </w:rPr>
              <w:t>), is the lawful spouse of LI Zhifeng (Citizen of the People's Republic of China; ID</w:t>
            </w:r>
          </w:p>
        </w:tc>
      </w:tr>
      <w:tr>
        <w:trPr>
          <w:trHeight w:val="178"/>
        </w:trPr>
        <w:tc>
          <w:tcPr>
            <w:tcW w:w="1100" w:type="dxa"/>
            <w:vAlign w:val="bottom"/>
          </w:tcPr>
          <w:p>
            <w:pPr>
              <w:spacing w:after="0" w:line="179" w:lineRule="exact"/>
              <w:rPr>
                <w:sz w:val="20"/>
                <w:szCs w:val="20"/>
                <w:color w:val="auto"/>
              </w:rPr>
            </w:pPr>
            <w:r>
              <w:rPr>
                <w:rFonts w:ascii="Arial" w:cs="Arial" w:eastAsia="Arial" w:hAnsi="Arial"/>
                <w:sz w:val="17"/>
                <w:szCs w:val="17"/>
                <w:color w:val="auto"/>
              </w:rPr>
              <w:t>Card No.:</w:t>
            </w:r>
          </w:p>
        </w:tc>
        <w:tc>
          <w:tcPr>
            <w:tcW w:w="10140" w:type="dxa"/>
            <w:vAlign w:val="bottom"/>
            <w:gridSpan w:val="5"/>
          </w:tcPr>
          <w:p>
            <w:pPr>
              <w:jc w:val="right"/>
              <w:spacing w:after="0" w:line="179" w:lineRule="exact"/>
              <w:rPr>
                <w:sz w:val="20"/>
                <w:szCs w:val="20"/>
                <w:color w:val="auto"/>
              </w:rPr>
            </w:pPr>
            <w:r>
              <w:rPr>
                <w:rFonts w:ascii="Arial" w:cs="Arial" w:eastAsia="Arial" w:hAnsi="Arial"/>
                <w:sz w:val="17"/>
                <w:szCs w:val="17"/>
                <w:color w:val="auto"/>
                <w:w w:val="93"/>
              </w:rPr>
              <w:t>, the “</w:t>
            </w:r>
            <w:r>
              <w:rPr>
                <w:rFonts w:ascii="Arial" w:cs="Arial" w:eastAsia="Arial" w:hAnsi="Arial"/>
                <w:sz w:val="17"/>
                <w:szCs w:val="17"/>
                <w:b w:val="1"/>
                <w:bCs w:val="1"/>
                <w:color w:val="auto"/>
                <w:w w:val="93"/>
              </w:rPr>
              <w:t>My Spouse</w:t>
            </w:r>
            <w:r>
              <w:rPr>
                <w:rFonts w:ascii="Arial" w:cs="Arial" w:eastAsia="Arial" w:hAnsi="Arial"/>
                <w:sz w:val="17"/>
                <w:szCs w:val="17"/>
                <w:color w:val="auto"/>
                <w:w w:val="93"/>
              </w:rPr>
              <w:t>”). I hereby confirm and agree that the equity held by My Spouse presently and in the future (hereinafter referred to as “</w:t>
            </w:r>
            <w:r>
              <w:rPr>
                <w:rFonts w:ascii="Arial" w:cs="Arial" w:eastAsia="Arial" w:hAnsi="Arial"/>
                <w:sz w:val="17"/>
                <w:szCs w:val="17"/>
                <w:b w:val="1"/>
                <w:bCs w:val="1"/>
                <w:color w:val="auto"/>
                <w:w w:val="93"/>
              </w:rPr>
              <w:t>Equity</w:t>
            </w:r>
          </w:p>
        </w:tc>
      </w:tr>
      <w:tr>
        <w:trPr>
          <w:trHeight w:val="20"/>
        </w:trPr>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and Interest</w:t>
      </w:r>
      <w:r>
        <w:rPr>
          <w:rFonts w:ascii="Arial" w:cs="Arial" w:eastAsia="Arial" w:hAnsi="Arial"/>
          <w:sz w:val="16"/>
          <w:szCs w:val="16"/>
          <w:color w:val="auto"/>
        </w:rPr>
        <w:t>”) is the personal property of My Spouse, do not form the common property of me and My Spouse and can be disposed solely by My Spouse: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Wuhan Hadeliang Online Education Technology Co., Ltd. (the “</w:t>
      </w:r>
      <w:r>
        <w:rPr>
          <w:rFonts w:ascii="Arial" w:cs="Arial" w:eastAsia="Arial" w:hAnsi="Arial"/>
          <w:sz w:val="17"/>
          <w:szCs w:val="17"/>
          <w:b w:val="1"/>
          <w:bCs w:val="1"/>
          <w:u w:val="single" w:color="auto"/>
          <w:color w:val="auto"/>
        </w:rPr>
        <w:t>Wuhan Hadeliang</w:t>
      </w:r>
      <w:r>
        <w:rPr>
          <w:rFonts w:ascii="Arial" w:cs="Arial" w:eastAsia="Arial" w:hAnsi="Arial"/>
          <w:sz w:val="17"/>
          <w:szCs w:val="17"/>
          <w:color w:val="auto"/>
        </w:rPr>
        <w: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Wuhan Hadeliang or affecting in any manner any decision made by My Spouse.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Wuhan Hadeliang and its shareholders and Wuhan Studyvip Online Education Co. Limited).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the 22nd day of September, 2020.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HAN Qian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HAN Qian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LI Zhifeng hereby agrees and accepts this Spousal Consents: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Zhifeng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LI Zhifeng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179705</wp:posOffset>
            </wp:positionV>
            <wp:extent cx="7184390" cy="412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12"/>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540" w:type="dxa"/>
            <w:vAlign w:val="bottom"/>
            <w:gridSpan w:val="2"/>
          </w:tcPr>
          <w:p>
            <w:pPr>
              <w:jc w:val="right"/>
              <w:ind w:right="4377"/>
              <w:spacing w:after="0"/>
              <w:rPr>
                <w:sz w:val="20"/>
                <w:szCs w:val="20"/>
                <w:color w:val="auto"/>
              </w:rPr>
            </w:pPr>
            <w:r>
              <w:rPr>
                <w:rFonts w:ascii="Arial" w:cs="Arial" w:eastAsia="Arial" w:hAnsi="Arial"/>
                <w:sz w:val="17"/>
                <w:szCs w:val="17"/>
                <w:color w:val="auto"/>
              </w:rPr>
              <w:t>Spousal Consents - Signature Page</w:t>
            </w:r>
          </w:p>
        </w:tc>
      </w:tr>
      <w:tr>
        <w:trPr>
          <w:trHeight w:val="399"/>
        </w:trPr>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00" w:type="dxa"/>
            <w:vAlign w:val="bottom"/>
          </w:tcPr>
          <w:p>
            <w:pPr>
              <w:jc w:val="right"/>
              <w:ind w:right="4917"/>
              <w:spacing w:after="0"/>
              <w:rPr>
                <w:sz w:val="20"/>
                <w:szCs w:val="20"/>
                <w:color w:val="auto"/>
              </w:rPr>
            </w:pPr>
            <w:r>
              <w:rPr>
                <w:rFonts w:ascii="Arial" w:cs="Arial" w:eastAsia="Arial" w:hAnsi="Arial"/>
                <w:sz w:val="17"/>
                <w:szCs w:val="17"/>
                <w:b w:val="1"/>
                <w:bCs w:val="1"/>
                <w:color w:val="auto"/>
                <w:w w:val="86"/>
              </w:rPr>
              <w:t>Spousal Consents</w:t>
            </w:r>
          </w:p>
        </w:tc>
      </w:tr>
      <w:tr>
        <w:trPr>
          <w:trHeight w:val="382"/>
        </w:trPr>
        <w:tc>
          <w:tcPr>
            <w:tcW w:w="4940" w:type="dxa"/>
            <w:vAlign w:val="bottom"/>
            <w:gridSpan w:val="4"/>
          </w:tcPr>
          <w:p>
            <w:pPr>
              <w:spacing w:after="0"/>
              <w:rPr>
                <w:sz w:val="20"/>
                <w:szCs w:val="20"/>
                <w:color w:val="auto"/>
              </w:rPr>
            </w:pPr>
            <w:r>
              <w:rPr>
                <w:rFonts w:ascii="Arial" w:cs="Arial" w:eastAsia="Arial" w:hAnsi="Arial"/>
                <w:sz w:val="17"/>
                <w:szCs w:val="17"/>
                <w:color w:val="auto"/>
                <w:w w:val="92"/>
              </w:rPr>
              <w:t>I, YAO Guang, (Citizen of the People's Republic of China; ID Card No.:</w:t>
            </w:r>
          </w:p>
        </w:tc>
        <w:tc>
          <w:tcPr>
            <w:tcW w:w="6300" w:type="dxa"/>
            <w:vAlign w:val="bottom"/>
          </w:tcPr>
          <w:p>
            <w:pPr>
              <w:jc w:val="right"/>
              <w:spacing w:after="0"/>
              <w:rPr>
                <w:sz w:val="20"/>
                <w:szCs w:val="20"/>
                <w:color w:val="auto"/>
              </w:rPr>
            </w:pPr>
            <w:r>
              <w:rPr>
                <w:rFonts w:ascii="Arial" w:cs="Arial" w:eastAsia="Arial" w:hAnsi="Arial"/>
                <w:sz w:val="17"/>
                <w:szCs w:val="17"/>
                <w:color w:val="auto"/>
              </w:rPr>
              <w:t>), is the lawful spouse of XIAO Bowen (Citizen of the People's Republic of</w:t>
            </w:r>
          </w:p>
        </w:tc>
      </w:tr>
      <w:tr>
        <w:trPr>
          <w:trHeight w:val="178"/>
        </w:trPr>
        <w:tc>
          <w:tcPr>
            <w:tcW w:w="1940" w:type="dxa"/>
            <w:vAlign w:val="bottom"/>
          </w:tcPr>
          <w:p>
            <w:pPr>
              <w:spacing w:after="0" w:line="179" w:lineRule="exact"/>
              <w:rPr>
                <w:sz w:val="20"/>
                <w:szCs w:val="20"/>
                <w:color w:val="auto"/>
              </w:rPr>
            </w:pPr>
            <w:r>
              <w:rPr>
                <w:rFonts w:ascii="Arial" w:cs="Arial" w:eastAsia="Arial" w:hAnsi="Arial"/>
                <w:sz w:val="17"/>
                <w:szCs w:val="17"/>
                <w:color w:val="auto"/>
              </w:rPr>
              <w:t>China; ID Card No.:</w:t>
            </w:r>
          </w:p>
        </w:tc>
        <w:tc>
          <w:tcPr>
            <w:tcW w:w="9300" w:type="dxa"/>
            <w:vAlign w:val="bottom"/>
            <w:gridSpan w:val="4"/>
          </w:tcPr>
          <w:p>
            <w:pPr>
              <w:jc w:val="right"/>
              <w:spacing w:after="0" w:line="179" w:lineRule="exact"/>
              <w:rPr>
                <w:sz w:val="20"/>
                <w:szCs w:val="20"/>
                <w:color w:val="auto"/>
              </w:rPr>
            </w:pPr>
            <w:r>
              <w:rPr>
                <w:rFonts w:ascii="Arial" w:cs="Arial" w:eastAsia="Arial" w:hAnsi="Arial"/>
                <w:sz w:val="17"/>
                <w:szCs w:val="17"/>
                <w:color w:val="auto"/>
                <w:w w:val="95"/>
              </w:rPr>
              <w:t>, the “</w:t>
            </w:r>
            <w:r>
              <w:rPr>
                <w:rFonts w:ascii="Arial" w:cs="Arial" w:eastAsia="Arial" w:hAnsi="Arial"/>
                <w:sz w:val="17"/>
                <w:szCs w:val="17"/>
                <w:b w:val="1"/>
                <w:bCs w:val="1"/>
                <w:color w:val="auto"/>
                <w:w w:val="95"/>
              </w:rPr>
              <w:t>My Spouse</w:t>
            </w:r>
            <w:r>
              <w:rPr>
                <w:rFonts w:ascii="Arial" w:cs="Arial" w:eastAsia="Arial" w:hAnsi="Arial"/>
                <w:sz w:val="17"/>
                <w:szCs w:val="17"/>
                <w:color w:val="auto"/>
                <w:w w:val="95"/>
              </w:rPr>
              <w:t>”). I hereby confirm and agree that the equity held by My Spouse presently and in the future (hereinafter referred</w:t>
            </w:r>
          </w:p>
        </w:tc>
      </w:tr>
      <w:tr>
        <w:trPr>
          <w:trHeight w:val="20"/>
        </w:trPr>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to as “</w:t>
      </w:r>
      <w:r>
        <w:rPr>
          <w:rFonts w:ascii="Arial" w:cs="Arial" w:eastAsia="Arial" w:hAnsi="Arial"/>
          <w:sz w:val="15"/>
          <w:szCs w:val="15"/>
          <w:b w:val="1"/>
          <w:bCs w:val="1"/>
          <w:u w:val="single" w:color="auto"/>
          <w:color w:val="auto"/>
        </w:rPr>
        <w:t>Equity and Interest</w:t>
      </w:r>
      <w:r>
        <w:rPr>
          <w:rFonts w:ascii="Arial" w:cs="Arial" w:eastAsia="Arial" w:hAnsi="Arial"/>
          <w:sz w:val="15"/>
          <w:szCs w:val="15"/>
          <w:color w:val="auto"/>
        </w:rPr>
        <w:t>”) is the personal property of My Spouse, do not form the common property of me and My Spouse and can be disposed solely by My Spouse: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Wuhan Hadeliang Online Education Technology Co., Ltd. (the “</w:t>
      </w:r>
      <w:r>
        <w:rPr>
          <w:rFonts w:ascii="Arial" w:cs="Arial" w:eastAsia="Arial" w:hAnsi="Arial"/>
          <w:sz w:val="17"/>
          <w:szCs w:val="17"/>
          <w:b w:val="1"/>
          <w:bCs w:val="1"/>
          <w:color w:val="auto"/>
        </w:rPr>
        <w:t>Wuhan Hadeliang</w:t>
      </w:r>
      <w:r>
        <w:rPr>
          <w:rFonts w:ascii="Arial" w:cs="Arial" w:eastAsia="Arial" w:hAnsi="Arial"/>
          <w:sz w:val="17"/>
          <w:szCs w:val="17"/>
          <w:color w:val="auto"/>
        </w:rPr>
        <w: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Wuhan Hadeliang or affecting in any manner any decision made by My Spouse.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Wuhan Hadeliang and its shareholders and Wuhan Studyvip Online Education Co. Limited.).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the 22nd day of September, 2020.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YAO Guang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YAO Guang</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XIAO Bowen hereby agrees and accepts this Spousal Consents: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XIAO Bowen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XIAO Bowen</w:t>
      </w:r>
    </w:p>
    <w:p>
      <w:pPr>
        <w:sectPr>
          <w:pgSz w:w="11900" w:h="16838" w:orient="portrait"/>
          <w:cols w:equalWidth="0" w:num="1">
            <w:col w:w="11240"/>
          </w:cols>
          <w:pgMar w:left="320" w:top="126" w:right="339" w:bottom="1440" w:gutter="0" w:footer="0" w:header="0"/>
        </w:sectPr>
      </w:pPr>
    </w:p>
    <w:bookmarkStart w:id="420" w:name="page421"/>
    <w:bookmarkEnd w:id="420"/>
    <w:p>
      <w:pPr>
        <w:jc w:val="right"/>
        <w:ind w:right="40"/>
        <w:spacing w:after="0"/>
        <w:rPr>
          <w:sz w:val="20"/>
          <w:szCs w:val="20"/>
          <w:color w:val="auto"/>
        </w:rPr>
      </w:pPr>
      <w:r>
        <w:rPr>
          <w:rFonts w:ascii="Arial" w:cs="Arial" w:eastAsia="Arial" w:hAnsi="Arial"/>
          <w:sz w:val="17"/>
          <w:szCs w:val="17"/>
          <w:b w:val="1"/>
          <w:bCs w:val="1"/>
          <w:color w:val="auto"/>
        </w:rPr>
        <w:t>Exhibit 4.52</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Exclusive Technical Consultation and Service Agreement</w:t>
      </w:r>
    </w:p>
    <w:p>
      <w:pPr>
        <w:spacing w:after="0" w:line="2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Exclusive Technical Consultation and Service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fifth day of August,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r>
        <w:rPr>
          <w:rFonts w:ascii="Arial" w:cs="Arial" w:eastAsia="Arial" w:hAnsi="Arial"/>
          <w:sz w:val="17"/>
          <w:szCs w:val="17"/>
          <w:color w:val="auto"/>
        </w:rPr>
        <w:t>: Wuhan Jiayan Online Education Technology Co.</w:t>
      </w: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Registered Address: Wuhan East Lake New Technology Development Zone, Guanan Park, No. 1 Road 20, contemporary Huaxia Venture Center, Building 2, 3, Building 3, unit 3 floor, Room 02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HAN Wei</w:t>
      </w:r>
    </w:p>
    <w:p>
      <w:pPr>
        <w:spacing w:after="0" w:line="19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420" w:hanging="420"/>
        <w:spacing w:after="0"/>
        <w:tabs>
          <w:tab w:leader="none" w:pos="42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ind w:left="420" w:right="40" w:hanging="420"/>
        <w:spacing w:after="0" w:line="264" w:lineRule="auto"/>
        <w:tabs>
          <w:tab w:leader="none" w:pos="42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Party A agrees to provide technical consultation and related services to Party B and Party B’s Subsidiaries, and Party B and Party B’s Subsidiaries agree to accept such technical consultation and related services provided by Party A.</w:t>
      </w:r>
    </w:p>
    <w:p>
      <w:pPr>
        <w:spacing w:after="0" w:line="16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860" w:hanging="860"/>
        <w:spacing w:after="0"/>
        <w:tabs>
          <w:tab w:leader="none" w:pos="860" w:val="left"/>
        </w:tabs>
        <w:numPr>
          <w:ilvl w:val="0"/>
          <w:numId w:val="458"/>
        </w:numPr>
        <w:rPr>
          <w:rFonts w:ascii="Arial" w:cs="Arial" w:eastAsia="Arial" w:hAnsi="Arial"/>
          <w:sz w:val="17"/>
          <w:szCs w:val="17"/>
          <w:b w:val="1"/>
          <w:bCs w:val="1"/>
          <w:color w:val="auto"/>
        </w:rPr>
      </w:pPr>
      <w:r>
        <w:rPr>
          <w:rFonts w:ascii="Arial" w:cs="Arial" w:eastAsia="Arial" w:hAnsi="Arial"/>
          <w:sz w:val="17"/>
          <w:szCs w:val="17"/>
          <w:b w:val="1"/>
          <w:bCs w:val="1"/>
          <w:color w:val="auto"/>
        </w:rPr>
        <w:t>Technical Consultation and Services: Sole and Exclusive Rights and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Within the term of this Agreement, Party A agrees that it shall, as the exclusive technical consultation and services provider of Party B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B’s Subsidiaries, provide Party B and Party B’s Subsidiaries with the relevant technical consultation and services (See Annex I for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specific content) according to the terms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Party B and Party B’s Subsidiaries agree to accept the technical consultation and services provided by Party A within the term of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Agreement. In consideration of the value of the technical consultation and services provided by Party A and the good cooperative relationship</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among the Parties hereto, Party B and Party B’s Subsidiaries further agree that, unless they obtain the prior</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2" w:right="299" w:bottom="1440" w:gutter="0" w:footer="0" w:header="0"/>
        </w:sectPr>
      </w:pPr>
    </w:p>
    <w:bookmarkStart w:id="421" w:name="page422"/>
    <w:bookmarkEnd w:id="421"/>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written consent of Party A, they shall not accept any technical consultation and services provided by any third party in respect of the business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scope involved herein within the term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For all rights, titles, interests and intellectual property rights (including but not limited to any copyrights, patents, technical know-how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business secrets) arising out of the performance of this Agreement, whether developed by Party A or developed by Party B and Party B’s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Subsidiaries based on Party A’s intellectual property rights or developed by Party A based on any intellectual property rights of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Party B’s Subsidiaries, Party A shall enjoy any sole and exclusive rights and interests therein, and Party B and Party B’s Subsidiaries shall not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assert any rights, titles, interests and intellectual property rights to Party A.</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Provided that, if developed by Party A based on any intellectual property rights of Party B and Party B’s Subsidiaries, Party B and Party B’s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Subsidiaries shall ensure that such intellectual property rights are free from any defects, otherwise, any losses caused to Party A shall be borne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by Party B and Party B’s Subsidiaries. If Party A bear the compensation liability to any third party therefor, Party A shall have the right to</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recover all its losses from Party B and Party B’s Subsidiaries after Party A makes such compensation.</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consideration of the good cooperative relationship among the Parties hereto, Party B and Party B’s Subsidiaries undertake that, if they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intended to carry out any business cooperation with any other enterprises, they shall obtain the consent of Party A, and Party A or its affiliates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shall have the priority of cooperation under the same conditions.</w:t>
            </w:r>
          </w:p>
        </w:tc>
      </w:tr>
    </w:tbl>
    <w:p>
      <w:pPr>
        <w:spacing w:after="0" w:line="183" w:lineRule="exact"/>
        <w:rPr>
          <w:sz w:val="20"/>
          <w:szCs w:val="20"/>
          <w:color w:val="auto"/>
        </w:rPr>
      </w:pPr>
    </w:p>
    <w:p>
      <w:pPr>
        <w:ind w:left="860" w:hanging="860"/>
        <w:spacing w:after="0"/>
        <w:tabs>
          <w:tab w:leader="none" w:pos="860" w:val="left"/>
        </w:tabs>
        <w:numPr>
          <w:ilvl w:val="0"/>
          <w:numId w:val="459"/>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 and Payment of Technical Consultation and Service Fees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Service Fees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The Parties hereto agree that any Service Fees under this Agreement shall be determined and paid in such way as listed in Annex II hereto.</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Party B and Party B’s Subsidiaries fail to pay any Service Fees and other expenses according to the provisions of this Agreement, Party B</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Party B’s Subsidiaries shall separately pay to Party A a default fine on the basis of 0.05% of the amount owed per day.</w:t>
            </w:r>
          </w:p>
        </w:tc>
      </w:tr>
      <w:tr>
        <w:trPr>
          <w:trHeight w:val="38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A shall have the right to assign its employees or certified public accountants of China or other countries (hereinafter referred to as “</w:t>
            </w:r>
            <w:r>
              <w:rPr>
                <w:rFonts w:ascii="Arial" w:cs="Arial" w:eastAsia="Arial" w:hAnsi="Arial"/>
                <w:sz w:val="17"/>
                <w:szCs w:val="17"/>
                <w:b w:val="1"/>
                <w:bCs w:val="1"/>
                <w:color w:val="auto"/>
                <w:w w:val="89"/>
              </w:rPr>
              <w:t>Party</w:t>
            </w:r>
          </w:p>
        </w:tc>
      </w:tr>
      <w:tr>
        <w:trPr>
          <w:trHeight w:val="203"/>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88"/>
              </w:rPr>
              <w:t>A’s Authorized Representative</w:t>
            </w:r>
            <w:r>
              <w:rPr>
                <w:rFonts w:ascii="Arial" w:cs="Arial" w:eastAsia="Arial" w:hAnsi="Arial"/>
                <w:sz w:val="17"/>
                <w:szCs w:val="17"/>
                <w:color w:val="auto"/>
                <w:w w:val="88"/>
              </w:rPr>
              <w:t>”) at its own expense to check the accounts of Party B and Party B’s Subsidiaries so as to audit the calculation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method and amount of Service Fees. Therefore, Party B and Party B’s Subsidiaries shall provide Party A’s Authorized Representative with any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documents, accounts, records and data required by Party A’s Authorized Representative so that Party A’s Authorized Representative can audit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the accounts of Party B and Party B’s Subsidiaries and determine the amount of Service Fees. Unless there are any gross errors, the amount of</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Service Fees shall be subject to the amount determined by Party A’s Authorized Representative.</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2.4</w:t>
            </w:r>
          </w:p>
        </w:tc>
        <w:tc>
          <w:tcPr>
            <w:tcW w:w="9880" w:type="dxa"/>
            <w:vAlign w:val="bottom"/>
          </w:tcPr>
          <w:p>
            <w:pPr>
              <w:ind w:left="320"/>
              <w:spacing w:after="0"/>
              <w:rPr>
                <w:sz w:val="20"/>
                <w:szCs w:val="20"/>
                <w:color w:val="auto"/>
              </w:rPr>
            </w:pPr>
            <w:r>
              <w:rPr>
                <w:rFonts w:ascii="Arial" w:cs="Arial" w:eastAsia="Arial" w:hAnsi="Arial"/>
                <w:sz w:val="17"/>
                <w:szCs w:val="17"/>
                <w:color w:val="auto"/>
                <w:w w:val="87"/>
              </w:rPr>
              <w:t>Unless the Parties hereto reach an agreement through further consultation, any Service Fees paid by Party B and Party B’s Subsidiaries to Party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 according to this Agreement shall not be deducted or offset. Party B and Party B’s Subsidiaries shall solely be responsible for any relevant</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expenses (such as bank charges) incurred from the payment of Service Fees.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2.5</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In addition, Party B and Party B’s Subsidiaries shall pay to Party A any actual expenses incurred from the provision by Party A of its technical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8"/>
              </w:rPr>
              <w:t>consultation and service under this Agreement while paying the Service Fees, including but not limited to any traveling expenses,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transportation fees, printing expenses and postage.</w:t>
            </w:r>
          </w:p>
        </w:tc>
      </w:tr>
      <w:tr>
        <w:trPr>
          <w:trHeight w:val="3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2.6</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The Parties hereto agree that all economic losses arising out of the performance of this Agreement shall be borne jointly by the Parties hereto.</w:t>
            </w:r>
          </w:p>
        </w:tc>
      </w:tr>
      <w:tr>
        <w:trPr>
          <w:trHeight w:val="129"/>
        </w:trPr>
        <w:tc>
          <w:tcPr>
            <w:tcW w:w="1400" w:type="dxa"/>
            <w:vAlign w:val="bottom"/>
            <w:tcBorders>
              <w:bottom w:val="single" w:sz="8" w:color="9A9A9A"/>
            </w:tcBorders>
          </w:tcPr>
          <w:p>
            <w:pPr>
              <w:spacing w:after="0"/>
              <w:rPr>
                <w:sz w:val="11"/>
                <w:szCs w:val="11"/>
                <w:color w:val="auto"/>
              </w:rPr>
            </w:pPr>
          </w:p>
        </w:tc>
        <w:tc>
          <w:tcPr>
            <w:tcW w:w="98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422" w:name="page423"/>
    <w:bookmarkEnd w:id="422"/>
    <w:p>
      <w:pPr>
        <w:ind w:left="860" w:hanging="860"/>
        <w:spacing w:after="0"/>
        <w:tabs>
          <w:tab w:leader="none" w:pos="860" w:val="left"/>
        </w:tabs>
        <w:numPr>
          <w:ilvl w:val="0"/>
          <w:numId w:val="460"/>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3"/>
          <w:szCs w:val="13"/>
          <w:color w:val="auto"/>
        </w:rPr>
        <w:t>Party A hereby represents and warrants as follows:</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Party A is a company legally incorporated and validly existing under the laws of the PRC;</w:t>
      </w:r>
    </w:p>
    <w:p>
      <w:pPr>
        <w:spacing w:after="0" w:line="228" w:lineRule="exact"/>
        <w:rPr>
          <w:sz w:val="20"/>
          <w:szCs w:val="20"/>
          <w:color w:val="auto"/>
        </w:rPr>
      </w:pPr>
    </w:p>
    <w:p>
      <w:pPr>
        <w:jc w:val="both"/>
        <w:ind w:left="2580" w:hanging="858"/>
        <w:spacing w:after="0" w:line="254"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Party A shall perform this Agreement within its corporate power and business scope, has obtained any necessary corporate authorizations and consents and approvals from any third party and government departments and has not breached any legal or contractual restrictions that are binding or influential on it; and</w:t>
      </w:r>
    </w:p>
    <w:p>
      <w:pPr>
        <w:spacing w:after="0" w:line="177"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This Agreement shall constitute a legal, effective, binding and enforceable legal document for Party A once signed.</w:t>
      </w:r>
    </w:p>
    <w:p>
      <w:pPr>
        <w:spacing w:after="0" w:line="22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3"/>
          <w:szCs w:val="13"/>
          <w:color w:val="auto"/>
        </w:rPr>
        <w:t>Party B and Party B’s Subsidiaries hereby represent and warrant as follows:</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Party B and Party B’s Subsidiaries are legal persons legally incorporated and validly existing under the laws of the PRC;</w:t>
      </w:r>
    </w:p>
    <w:p>
      <w:pPr>
        <w:spacing w:after="0" w:line="228" w:lineRule="exact"/>
        <w:rPr>
          <w:sz w:val="20"/>
          <w:szCs w:val="20"/>
          <w:color w:val="auto"/>
        </w:rPr>
      </w:pPr>
    </w:p>
    <w:p>
      <w:pPr>
        <w:jc w:val="both"/>
        <w:ind w:left="2580" w:hanging="858"/>
        <w:spacing w:after="0" w:line="304" w:lineRule="auto"/>
        <w:tabs>
          <w:tab w:leader="none" w:pos="25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Party B and Party B’s Subsidiaries shall sign and perform this Agreement within their corporate power and business scope, have obtained any necessary corporate authorizations and consents and approvals from any third party or government departments and have not breached any legal or contractual restrictions that are binding or influential on it; and</w:t>
      </w:r>
    </w:p>
    <w:p>
      <w:pPr>
        <w:spacing w:after="0" w:line="142"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This Agreement shall constitute a legal, effective, binding and enforceable legal document for Party B and Party B’s Subsidiaries once signed.</w:t>
      </w:r>
    </w:p>
    <w:p>
      <w:pPr>
        <w:spacing w:after="0" w:line="164" w:lineRule="exact"/>
        <w:rPr>
          <w:sz w:val="20"/>
          <w:szCs w:val="20"/>
          <w:color w:val="auto"/>
        </w:rPr>
      </w:pPr>
    </w:p>
    <w:p>
      <w:pPr>
        <w:ind w:left="860" w:hanging="860"/>
        <w:spacing w:after="0"/>
        <w:tabs>
          <w:tab w:leader="none" w:pos="860" w:val="left"/>
        </w:tabs>
        <w:numPr>
          <w:ilvl w:val="0"/>
          <w:numId w:val="461"/>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rFonts w:ascii="Arial" w:cs="Arial" w:eastAsia="Arial" w:hAnsi="Arial"/>
          <w:sz w:val="17"/>
          <w:szCs w:val="17"/>
          <w:b w:val="1"/>
          <w:bCs w:val="1"/>
          <w:color w:val="auto"/>
        </w:rPr>
      </w:pPr>
    </w:p>
    <w:p>
      <w:pPr>
        <w:ind w:left="1720" w:hanging="860"/>
        <w:spacing w:after="0" w:line="281" w:lineRule="auto"/>
        <w:rPr>
          <w:rFonts w:ascii="Arial" w:cs="Arial" w:eastAsia="Arial" w:hAnsi="Arial"/>
          <w:sz w:val="17"/>
          <w:szCs w:val="17"/>
          <w:b w:val="1"/>
          <w:bCs w:val="1"/>
          <w:color w:val="auto"/>
        </w:rPr>
      </w:pPr>
      <w:r>
        <w:rPr>
          <w:rFonts w:ascii="Arial" w:cs="Arial" w:eastAsia="Arial" w:hAnsi="Arial"/>
          <w:sz w:val="17"/>
          <w:szCs w:val="17"/>
          <w:color w:val="auto"/>
        </w:rPr>
        <w:t>4.1</w:t>
      </w:r>
      <w:r>
        <w:rPr>
          <w:rFonts w:ascii="Arial" w:cs="Arial" w:eastAsia="Arial" w:hAnsi="Arial"/>
          <w:sz w:val="15"/>
          <w:szCs w:val="15"/>
          <w:color w:val="auto"/>
        </w:rPr>
        <w:t>The Parties agree that they shall try to take all reasonable security measures to keep in confidence any confidential data and information (hereinafter referred to as “Confidential Information”, the providing party of such data and information shall clearly notify in writing that such data and information shall be the Confidential Information when providing them) known or accessed by them due to the signing and performance of this Agreement. Without the prior written consent of the Confidential Information provider, such Confidential Information shall not be disclosed, provided or transferred to any third party (including any merger of the receiving party of such Confidential Information with or into any third party, and any direct or indirect control thereof by any third party). Once this Agreement is terminated, Party A and Party B and Party B’s Subsidiaries shall return any documents, data or software containing any Confidential Information to the original owner or providing party of such Confidential Information or destroy them with the consent of the original owner or provider, including removing any Confidential Information from any related memory devices and shall not continue to use these Confidential Information. Party A and Party B and Party B’s Subsidiaries shall take any necessary measures to disclose any Confidential Information only to any staff members, agents or professional advisors of Party B and Party B’s Subsidiaries who need to know such Confidential Information and to cause such staff members, agents or professional advisors of Party B and Party B’s Subsidiaries to comply with any confidentiality obligations under this Agreement. Party A, Party B and Party B’s Subsidiaries and such staff members, agents or professional advisors of Party B and Party B’s Subsidiaries shall sign a specific non-disclosure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34925</wp:posOffset>
            </wp:positionV>
            <wp:extent cx="7184390" cy="412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3" w:name="page424"/>
    <w:bookmarkEnd w:id="423"/>
    <w:p>
      <w:pPr>
        <w:ind w:left="860"/>
        <w:spacing w:after="0"/>
        <w:tabs>
          <w:tab w:leader="none" w:pos="17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No restrictions mentioned above shall apply to:</w:t>
      </w:r>
    </w:p>
    <w:p>
      <w:pPr>
        <w:spacing w:after="0" w:line="228"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5"/>
          <w:szCs w:val="15"/>
          <w:color w:val="auto"/>
        </w:rPr>
        <w:t>any information that has become generally available to the public at the time of disclosure;</w:t>
      </w:r>
    </w:p>
    <w:p>
      <w:pPr>
        <w:spacing w:after="0" w:line="228" w:lineRule="exact"/>
        <w:rPr>
          <w:sz w:val="20"/>
          <w:szCs w:val="20"/>
          <w:color w:val="auto"/>
        </w:rPr>
      </w:pPr>
    </w:p>
    <w:p>
      <w:pPr>
        <w:jc w:val="both"/>
        <w:ind w:left="2580" w:right="40" w:hanging="858"/>
        <w:spacing w:after="0" w:line="264" w:lineRule="auto"/>
        <w:tabs>
          <w:tab w:leader="none" w:pos="25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any information that has become generally available to the public after disclosure through no fault of the receiving party of Confidential Information;</w:t>
      </w:r>
    </w:p>
    <w:p>
      <w:pPr>
        <w:spacing w:after="0" w:line="168" w:lineRule="exact"/>
        <w:rPr>
          <w:sz w:val="20"/>
          <w:szCs w:val="20"/>
          <w:color w:val="auto"/>
        </w:rPr>
      </w:pPr>
    </w:p>
    <w:p>
      <w:pPr>
        <w:jc w:val="both"/>
        <w:ind w:left="2580" w:right="40" w:hanging="858"/>
        <w:spacing w:after="0" w:line="254" w:lineRule="auto"/>
        <w:tabs>
          <w:tab w:leader="none" w:pos="256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any information that can be proved by the receiving party of Confidential Information to have been in the possession of the receiving party before disclosure and not to be directly or indirectly received from the providing party of Confidential Information; and</w:t>
      </w:r>
    </w:p>
    <w:p>
      <w:pPr>
        <w:spacing w:after="0" w:line="177" w:lineRule="exact"/>
        <w:rPr>
          <w:sz w:val="20"/>
          <w:szCs w:val="20"/>
          <w:color w:val="auto"/>
        </w:rPr>
      </w:pPr>
    </w:p>
    <w:p>
      <w:pPr>
        <w:jc w:val="both"/>
        <w:ind w:left="2580" w:right="40" w:hanging="858"/>
        <w:spacing w:after="0" w:line="304" w:lineRule="auto"/>
        <w:tabs>
          <w:tab w:leader="none" w:pos="256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color w:val="auto"/>
        </w:rPr>
        <w:t>any information required by law to be disclosed by the receiving party of Confidential Information to the relevant government departments, stock exchange and other institutions, or any of the above Confidential Information disclosed by the receiving party of Confidential Information to its direct legal advisors and financial consultants due to its normal business needs.</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3"/>
          <w:szCs w:val="13"/>
          <w:color w:val="auto"/>
        </w:rPr>
        <w:t>The Parties hereto agree that, whether this Agreement is modified, canceled or terminated, these provisions hereof shall remain in force.</w:t>
      </w:r>
    </w:p>
    <w:p>
      <w:pPr>
        <w:spacing w:after="0" w:line="224" w:lineRule="exact"/>
        <w:rPr>
          <w:sz w:val="20"/>
          <w:szCs w:val="20"/>
          <w:color w:val="auto"/>
        </w:rPr>
      </w:pPr>
    </w:p>
    <w:p>
      <w:pPr>
        <w:ind w:left="860" w:hanging="860"/>
        <w:spacing w:after="0"/>
        <w:tabs>
          <w:tab w:leader="none" w:pos="860" w:val="left"/>
        </w:tabs>
        <w:numPr>
          <w:ilvl w:val="0"/>
          <w:numId w:val="462"/>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Except as otherwise stipulated herein, if any Party fails to fully perform or suspends the performance of its obligations under this Agreement,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and such party fails to correct the above acts within Ten (10) days from receipt of a notice from the other party or makes any untrue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representations and warranties, such party shall be deemed to have breached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any Party hereto breaches this Agreement or any representations and warranties made by such party in this Agreement, the non-breaching</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may notify in writing the breaching party of correcting such breach within Ten (10) days from receipt of a notice, taking appropriate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measures to effectively and promptly avoid any damage and continuing to perform this Agreement. In case of any damage arising out of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breach, the breaching party shall make compensation to the non-breaching party to enable the non-breaching party to obtain all rights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interests that should have been obtained during the performance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5.3</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any breach of this Agreement by any Party hereto renders the other party to bear any costs and liabilities or suffer any losses (including but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not limited to any loss of profits), the breaching party shall make compensation to the non-breaching party in respect of any of the above costs,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7"/>
              </w:rPr>
              <w:t>liabilities or losses (including but not limited to any interest payment or loss and lawyer’s fees arising out of such breach). The total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compensatory payment paid by the breaching party to the non-breaching party shall be the same as the losses arising out of such breach,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the above compensatory payment shall include any interests that should have been obtained by the non-breaching party in the event that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Parties hereto normally perform this Agreement, provided that such compensatory payment shall not exceed any losses reasonably expected by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the Parties hereto at the time of the conclusion of this Agreement that may be caused by such breach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5.4</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and Party B’s Subsidiaries shall bear full responsibility for any claims made by any third party arising out of any failure by Party B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B’s Subsidiaries to carry on their business according to Party A’s instructions or any improper use of Party A’s intellectual property rights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or any improper technical operation. If Party B and Party B’s Subsidiaries find that any third party uses any of Party A’s intellectual property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rights without the legal authorization, Party B and Party B’s Subsidiaries shall immediately notify Party A and cooperate with Party A in</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taking any actions.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5.5</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If both of the Parties hereto breach this Agreement, the respective amount of compensation payable by the Parties hereto shall be determined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according to the degree of their respective breach.</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424" w:name="page425"/>
    <w:bookmarkEnd w:id="424"/>
    <w:p>
      <w:pPr>
        <w:ind w:left="860" w:hanging="860"/>
        <w:spacing w:after="0"/>
        <w:tabs>
          <w:tab w:leader="none" w:pos="860" w:val="left"/>
        </w:tabs>
        <w:numPr>
          <w:ilvl w:val="0"/>
          <w:numId w:val="463"/>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Performance and Term</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shall be signed on the date first above written and become effective at the same time.</w:t>
            </w:r>
          </w:p>
        </w:tc>
      </w:tr>
      <w:tr>
        <w:trPr>
          <w:trHeight w:val="42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copies.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Unless Party A cancels this Agreement in advance, the term of this Agreement shall be terminated upon dissolution of both of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Party B’s Subsidiaries in accordance with the laws of the PRC. Upon Party A’s request prior to the expiration of this Agreement, the Parties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hereto shall either extend the term of this Agreement at Party A’s request so as to continue to perform this Agreement or sign a separate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exclusive technical consultation and service agreement at Party A’s request.</w:t>
            </w:r>
          </w:p>
        </w:tc>
      </w:tr>
    </w:tbl>
    <w:p>
      <w:pPr>
        <w:spacing w:after="0" w:line="183" w:lineRule="exact"/>
        <w:rPr>
          <w:sz w:val="20"/>
          <w:szCs w:val="20"/>
          <w:color w:val="auto"/>
        </w:rPr>
      </w:pPr>
    </w:p>
    <w:p>
      <w:pPr>
        <w:ind w:left="860" w:hanging="860"/>
        <w:spacing w:after="0"/>
        <w:tabs>
          <w:tab w:leader="none" w:pos="860" w:val="left"/>
        </w:tabs>
        <w:numPr>
          <w:ilvl w:val="0"/>
          <w:numId w:val="46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07" w:lineRule="exact"/>
        <w:rPr>
          <w:rFonts w:ascii="Arial" w:cs="Arial" w:eastAsia="Arial" w:hAnsi="Arial"/>
          <w:sz w:val="17"/>
          <w:szCs w:val="17"/>
          <w:b w:val="1"/>
          <w:bCs w:val="1"/>
          <w:color w:val="auto"/>
        </w:rPr>
      </w:pPr>
    </w:p>
    <w:p>
      <w:pPr>
        <w:ind w:left="1720" w:hanging="8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7.1Unless renewed according to the relevant provisions hereof, this Agreement shall be terminated on the expiry date of the term of this Agreement.</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7.2</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Parties hereto may terminate this Agreement upon consensus through consultation. Party B and Party B’s Subsidiaries shall not terminate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this Agreement within the term of this Agreement without the written consent of Party A. Party A shall have the right to terminate this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8"/>
              </w:rPr>
              <w:t>Agreement at any time by giving a written notice to Party B, Party B's Subsidiaries and shareholders Thirty (30) days in advance.</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7.3</w:t>
            </w:r>
          </w:p>
        </w:tc>
        <w:tc>
          <w:tcPr>
            <w:tcW w:w="9840" w:type="dxa"/>
            <w:vAlign w:val="bottom"/>
          </w:tcPr>
          <w:p>
            <w:pPr>
              <w:ind w:left="320"/>
              <w:spacing w:after="0"/>
              <w:rPr>
                <w:sz w:val="20"/>
                <w:szCs w:val="20"/>
                <w:color w:val="auto"/>
              </w:rPr>
            </w:pPr>
            <w:r>
              <w:rPr>
                <w:rFonts w:ascii="Arial" w:cs="Arial" w:eastAsia="Arial" w:hAnsi="Arial"/>
                <w:sz w:val="17"/>
                <w:szCs w:val="17"/>
                <w:color w:val="auto"/>
                <w:w w:val="98"/>
              </w:rPr>
              <w:t>Any rights and obligations of the Parties hereto under the Articles 4 and 5 hereof shall survive the termination of this Agreement.</w:t>
            </w:r>
          </w:p>
        </w:tc>
      </w:tr>
    </w:tbl>
    <w:p>
      <w:pPr>
        <w:spacing w:after="0" w:line="208" w:lineRule="exact"/>
        <w:rPr>
          <w:sz w:val="20"/>
          <w:szCs w:val="20"/>
          <w:color w:val="auto"/>
        </w:rPr>
      </w:pPr>
    </w:p>
    <w:p>
      <w:pPr>
        <w:ind w:left="860" w:hanging="860"/>
        <w:spacing w:after="0"/>
        <w:tabs>
          <w:tab w:leader="none" w:pos="860" w:val="left"/>
        </w:tabs>
        <w:numPr>
          <w:ilvl w:val="0"/>
          <w:numId w:val="465"/>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resolve such disputes through consultation in good faith. If such disputes cannot be resolved through consultation, any Party may submit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proceedings shall be Chinese. Any arbitral award shall be final and binding upon the Parties. No provisions of this Article shall be affected by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466"/>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3" w:lineRule="exact"/>
        <w:rPr>
          <w:rFonts w:ascii="Arial" w:cs="Arial" w:eastAsia="Arial" w:hAnsi="Arial"/>
          <w:sz w:val="17"/>
          <w:szCs w:val="17"/>
          <w:b w:val="1"/>
          <w:bCs w:val="1"/>
          <w:color w:val="auto"/>
        </w:rPr>
      </w:pPr>
    </w:p>
    <w:p>
      <w:pPr>
        <w:ind w:left="1720" w:hanging="86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9.1</w:t>
      </w:r>
      <w:r>
        <w:rPr>
          <w:rFonts w:ascii="Arial" w:cs="Arial" w:eastAsia="Arial" w:hAnsi="Arial"/>
          <w:sz w:val="16"/>
          <w:szCs w:val="16"/>
          <w:color w:val="auto"/>
        </w:rPr>
        <w:t>“</w:t>
      </w:r>
      <w:r>
        <w:rPr>
          <w:rFonts w:ascii="Arial" w:cs="Arial" w:eastAsia="Arial" w:hAnsi="Arial"/>
          <w:sz w:val="16"/>
          <w:szCs w:val="16"/>
          <w:b w:val="1"/>
          <w:bCs w:val="1"/>
          <w:color w:val="auto"/>
        </w:rPr>
        <w:t>Force Majeure Events</w:t>
      </w:r>
      <w:r>
        <w:rPr>
          <w:rFonts w:ascii="Arial" w:cs="Arial" w:eastAsia="Arial" w:hAnsi="Arial"/>
          <w:sz w:val="16"/>
          <w:szCs w:val="16"/>
          <w:color w:val="auto"/>
        </w:rPr>
        <w:t>” mean any events beyond the reasonable control of one party that are unavoidable by the affected party with reasonable care, including but not limited to any acts of government, natural force, fire, explosion, storm, flood, earthquake, tide, lightning or war, provided that any credit, capital or financing shortage shall not be deemed to be the event beyond the reasonable control of one party. The party affected by any Force Majeure Events (hereinafter referred to as “</w:t>
      </w:r>
      <w:r>
        <w:rPr>
          <w:rFonts w:ascii="Arial" w:cs="Arial" w:eastAsia="Arial" w:hAnsi="Arial"/>
          <w:sz w:val="16"/>
          <w:szCs w:val="16"/>
          <w:b w:val="1"/>
          <w:bCs w:val="1"/>
          <w:color w:val="auto"/>
        </w:rPr>
        <w:t>Affected Party</w:t>
      </w:r>
      <w:r>
        <w:rPr>
          <w:rFonts w:ascii="Arial" w:cs="Arial" w:eastAsia="Arial" w:hAnsi="Arial"/>
          <w:sz w:val="16"/>
          <w:szCs w:val="16"/>
          <w:color w:val="auto"/>
        </w:rPr>
        <w:t>”) shall be exempted from its responsibility in whole or in part according to the effects of such Force Majeure Events on this Agreement, and the Affected Party who seeks exemption from its responsibility for the performance of this Agreement due to such Force Majeure Events shall notify the other party of such Force Majeure Events not later than Ten (10) days after occurrence of such Force Majeure Events so that the Parties hereto negotiate about the amendment to this Agreement according to the effects of such Force Majeure Events and exempt in whole or in part the Affected Party from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184390" cy="412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5" w:name="page426"/>
    <w:bookmarkEnd w:id="425"/>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performance of its obligations delayed or hindered by such Force Majeure Events. Once such Force Majeure Events are eliminated, the Parties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8"/>
              </w:rPr>
              <w:t>hereto agree that they shall use their best efforts to restore the performance of their rights and obligations under this Agreement.</w:t>
            </w:r>
          </w:p>
        </w:tc>
      </w:tr>
    </w:tbl>
    <w:p>
      <w:pPr>
        <w:spacing w:after="0" w:line="183" w:lineRule="exact"/>
        <w:rPr>
          <w:sz w:val="20"/>
          <w:szCs w:val="20"/>
          <w:color w:val="auto"/>
        </w:rPr>
      </w:pPr>
    </w:p>
    <w:p>
      <w:pPr>
        <w:ind w:left="860" w:hanging="860"/>
        <w:spacing w:after="0"/>
        <w:tabs>
          <w:tab w:leader="none" w:pos="860" w:val="left"/>
        </w:tabs>
        <w:numPr>
          <w:ilvl w:val="0"/>
          <w:numId w:val="467"/>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right="3660"/>
        <w:spacing w:after="0" w:line="252"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LIU Tongbo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and Party B's Subsidiaries</w:t>
      </w:r>
    </w:p>
    <w:p>
      <w:pPr>
        <w:spacing w:after="0" w:line="207" w:lineRule="exact"/>
        <w:rPr>
          <w:sz w:val="20"/>
          <w:szCs w:val="20"/>
          <w:color w:val="auto"/>
        </w:rPr>
      </w:pPr>
    </w:p>
    <w:p>
      <w:pPr>
        <w:ind w:right="3660"/>
        <w:spacing w:after="0" w:line="252"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HAN Wei</w:t>
      </w:r>
    </w:p>
    <w:p>
      <w:pPr>
        <w:spacing w:after="0" w:line="187" w:lineRule="exact"/>
        <w:rPr>
          <w:sz w:val="20"/>
          <w:szCs w:val="20"/>
          <w:color w:val="auto"/>
        </w:rPr>
      </w:pPr>
    </w:p>
    <w:p>
      <w:pPr>
        <w:ind w:left="860" w:hanging="860"/>
        <w:spacing w:after="0"/>
        <w:tabs>
          <w:tab w:leader="none" w:pos="860" w:val="left"/>
        </w:tabs>
        <w:numPr>
          <w:ilvl w:val="0"/>
          <w:numId w:val="468"/>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Unless any Party hereto obtains the prior written consent of the other party, such party shall not assign to any third party its rights or obligations under this Agreement except that Party A assigns its obligations under this Agreement to its affiliates. For the purpose as set forth in this Agreement, the aforesaid “affiliates” mean any enterprises controlled by Party A, controlling Party A or under common control of any third party with Party A. For the purpose as set forth in this Article, “control” means any possession by an enterprise of its influence power to directly or indirectly decide on and/or control the operating management of another enterprise, whether such influence power is formed by holding any shares of the controlled enterprise or formed by any contractual arrangement with the controlled enterprise.</w:t>
      </w:r>
    </w:p>
    <w:p>
      <w:pPr>
        <w:spacing w:after="0" w:line="146" w:lineRule="exact"/>
        <w:rPr>
          <w:sz w:val="20"/>
          <w:szCs w:val="20"/>
          <w:color w:val="auto"/>
        </w:rPr>
      </w:pPr>
    </w:p>
    <w:p>
      <w:pPr>
        <w:ind w:left="860" w:hanging="860"/>
        <w:spacing w:after="0"/>
        <w:tabs>
          <w:tab w:leader="none" w:pos="860" w:val="left"/>
        </w:tabs>
        <w:numPr>
          <w:ilvl w:val="0"/>
          <w:numId w:val="469"/>
        </w:numPr>
        <w:rPr>
          <w:rFonts w:ascii="Arial" w:cs="Arial" w:eastAsia="Arial" w:hAnsi="Arial"/>
          <w:sz w:val="17"/>
          <w:szCs w:val="17"/>
          <w:b w:val="1"/>
          <w:bCs w:val="1"/>
          <w:color w:val="auto"/>
        </w:rPr>
      </w:pPr>
      <w:r>
        <w:rPr>
          <w:rFonts w:ascii="Arial" w:cs="Arial" w:eastAsia="Arial" w:hAnsi="Arial"/>
          <w:sz w:val="17"/>
          <w:szCs w:val="17"/>
          <w:b w:val="1"/>
          <w:bCs w:val="1"/>
          <w:color w:val="auto"/>
        </w:rPr>
        <w:t>Newly Added Party B’s Subsidiaries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case of any newly added Party B’s Subsidiary at any time after the effective date of this Agreement, Party B shall urge such newly added Party B’s Subsidiary to sign a letter of acceptance of rights and obligations in such form and substance as shown in Annex III hereto and 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Subsidiaries shall be deemed to be a signatory to this Agreement. Any other Parties hereto hereby agree to and fully accept the foregoing arrangement.</w:t>
      </w:r>
    </w:p>
    <w:p>
      <w:pPr>
        <w:spacing w:after="0" w:line="163" w:lineRule="exact"/>
        <w:rPr>
          <w:sz w:val="20"/>
          <w:szCs w:val="20"/>
          <w:color w:val="auto"/>
        </w:rPr>
      </w:pPr>
    </w:p>
    <w:p>
      <w:pPr>
        <w:ind w:left="860" w:hanging="860"/>
        <w:spacing w:after="0"/>
        <w:tabs>
          <w:tab w:leader="none" w:pos="860" w:val="left"/>
        </w:tabs>
        <w:numPr>
          <w:ilvl w:val="0"/>
          <w:numId w:val="470"/>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0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Parties hereby acknowledge that this Agreement shall be a fair and reasonable agreement reached by the Parties hereto on the basis of equality and mutual benefit. If any provisions of this Agreement are invalid or unenforceable due to any inconsistencies between such provisions and the relevant laws, such provisions shall be invalid or unenforceable only to the extent of jurisdiction of the relevant laws and shall not affect the legal effect of any other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wp:posOffset>
            </wp:positionV>
            <wp:extent cx="7184390" cy="412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6" w:name="page427"/>
    <w:bookmarkEnd w:id="426"/>
    <w:p>
      <w:pPr>
        <w:ind w:left="860" w:hanging="860"/>
        <w:spacing w:after="0"/>
        <w:tabs>
          <w:tab w:leader="none" w:pos="860" w:val="left"/>
        </w:tabs>
        <w:numPr>
          <w:ilvl w:val="0"/>
          <w:numId w:val="471"/>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Supplements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Parties hereto shall make in writing any amendments and supplements to this Agreement. Any amendment and supplementary agreements duly signed by the Parties in relation to this Agreement shall form an integral part of this Agreement and be equally authentic as this Agreement.</w:t>
      </w:r>
    </w:p>
    <w:p>
      <w:pPr>
        <w:spacing w:after="0" w:line="164" w:lineRule="exact"/>
        <w:rPr>
          <w:sz w:val="20"/>
          <w:szCs w:val="20"/>
          <w:color w:val="auto"/>
        </w:rPr>
      </w:pPr>
    </w:p>
    <w:p>
      <w:pPr>
        <w:ind w:left="860" w:hanging="860"/>
        <w:spacing w:after="0"/>
        <w:tabs>
          <w:tab w:leader="none" w:pos="860" w:val="left"/>
        </w:tabs>
        <w:numPr>
          <w:ilvl w:val="0"/>
          <w:numId w:val="472"/>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sz w:val="20"/>
          <w:szCs w:val="20"/>
          <w:color w:val="auto"/>
        </w:rPr>
      </w:pPr>
    </w:p>
    <w:p>
      <w:pPr>
        <w:ind w:left="860" w:hanging="860"/>
        <w:spacing w:after="0"/>
        <w:tabs>
          <w:tab w:leader="none" w:pos="860" w:val="left"/>
        </w:tabs>
        <w:numPr>
          <w:ilvl w:val="0"/>
          <w:numId w:val="473"/>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Except for any written amendments, supplements or modifications to this Agreement after the signing of this Agreement, this Agreement shall constitute an entire agreement among the Parties hereto in respect of the subject matter of this Agreement and supersede all prior oral and written negotiations, representations and agreements among the Parties in respect of the subject matter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authorized representative as of the date first above written.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7" w:name="page428"/>
    <w:bookmarkEnd w:id="427"/>
    <w:p>
      <w:pPr>
        <w:jc w:val="right"/>
        <w:ind w:right="1299"/>
        <w:spacing w:after="0"/>
        <w:rPr>
          <w:sz w:val="20"/>
          <w:szCs w:val="20"/>
          <w:color w:val="auto"/>
        </w:rPr>
      </w:pPr>
      <w:r>
        <w:rPr>
          <w:rFonts w:ascii="Arial" w:cs="Arial" w:eastAsia="Arial" w:hAnsi="Arial"/>
          <w:sz w:val="17"/>
          <w:szCs w:val="17"/>
          <w:color w:val="auto"/>
        </w:rPr>
        <w:t>[This page is the signature page to the Exclusive Technical Consultation and Service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 /s/ HAN Wei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84390" cy="412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5">
                      <a:extLst>
                        <a:ext uri="{28A0092B-C50C-407E-A947-70E740481C1C}"/>
                      </a:extLst>
                    </a:blip>
                    <a:srcRect/>
                    <a:stretch>
                      <a:fillRect/>
                    </a:stretch>
                  </pic:blipFill>
                  <pic:spPr bwMode="auto">
                    <a:xfrm>
                      <a:off x="0" y="0"/>
                      <a:ext cx="7184390" cy="4127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-20955</wp:posOffset>
            </wp:positionV>
            <wp:extent cx="60071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6">
                      <a:extLst>
                        <a:ext uri="{28A0092B-C50C-407E-A947-70E740481C1C}"/>
                      </a:extLst>
                    </a:blip>
                    <a:srcRect/>
                    <a:stretch>
                      <a:fillRect/>
                    </a:stretch>
                  </pic:blipFill>
                  <pic:spPr bwMode="auto">
                    <a:xfrm>
                      <a:off x="0" y="0"/>
                      <a:ext cx="600710" cy="7620"/>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428" w:name="page429"/>
    <w:bookmarkEnd w:id="428"/>
    <w:p>
      <w:pPr>
        <w:jc w:val="center"/>
        <w:spacing w:after="0"/>
        <w:rPr>
          <w:sz w:val="20"/>
          <w:szCs w:val="20"/>
          <w:color w:val="auto"/>
        </w:rPr>
      </w:pPr>
      <w:r>
        <w:rPr>
          <w:rFonts w:ascii="Arial" w:cs="Arial" w:eastAsia="Arial" w:hAnsi="Arial"/>
          <w:sz w:val="20"/>
          <w:szCs w:val="20"/>
          <w:b w:val="1"/>
          <w:bCs w:val="1"/>
          <w:color w:val="auto"/>
        </w:rPr>
        <w:t>Annex I List of Technical Consultation and Services</w:t>
      </w:r>
    </w:p>
    <w:p>
      <w:pPr>
        <w:spacing w:after="0" w:line="207" w:lineRule="exact"/>
        <w:rPr>
          <w:sz w:val="20"/>
          <w:szCs w:val="20"/>
          <w:color w:val="auto"/>
        </w:rPr>
      </w:pPr>
    </w:p>
    <w:p>
      <w:pPr>
        <w:ind w:left="420" w:hanging="420"/>
        <w:spacing w:after="0"/>
        <w:tabs>
          <w:tab w:leader="none" w:pos="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Provide the development and research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Provide website design and design, installation, commissioning and maintenance services of computer network systems.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Provide database support and software services.</w:t>
      </w:r>
    </w:p>
    <w:p>
      <w:pPr>
        <w:spacing w:after="0" w:line="203" w:lineRule="exact"/>
        <w:rPr>
          <w:rFonts w:ascii="Arial" w:cs="Arial" w:eastAsia="Arial" w:hAnsi="Arial"/>
          <w:sz w:val="17"/>
          <w:szCs w:val="17"/>
          <w:color w:val="auto"/>
        </w:rPr>
      </w:pPr>
    </w:p>
    <w:p>
      <w:pPr>
        <w:ind w:left="420" w:hanging="420"/>
        <w:spacing w:after="0" w:line="264" w:lineRule="auto"/>
        <w:tabs>
          <w:tab w:leader="none" w:pos="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Provide economic information consultation, project investment consultation, scientific and technological information consultation, enterprise management consultation and other consultation services.</w:t>
      </w:r>
    </w:p>
    <w:p>
      <w:pPr>
        <w:spacing w:after="0" w:line="167" w:lineRule="exact"/>
        <w:rPr>
          <w:rFonts w:ascii="Arial" w:cs="Arial" w:eastAsia="Arial" w:hAnsi="Arial"/>
          <w:sz w:val="17"/>
          <w:szCs w:val="17"/>
          <w:color w:val="auto"/>
        </w:rPr>
      </w:pPr>
    </w:p>
    <w:p>
      <w:pPr>
        <w:ind w:left="420" w:hanging="420"/>
        <w:spacing w:after="0"/>
        <w:tabs>
          <w:tab w:leader="none" w:pos="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Provide pre-job training and in-service training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Provide technical development, consultation and technology transfer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Provide public relations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Provide market survey and research services.</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Provide the services of developing medium and short term market development plans and market planning service.</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Provide technical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9" w:name="page430"/>
    <w:bookmarkEnd w:id="429"/>
    <w:p>
      <w:pPr>
        <w:jc w:val="center"/>
        <w:spacing w:after="0"/>
        <w:rPr>
          <w:sz w:val="20"/>
          <w:szCs w:val="20"/>
          <w:color w:val="auto"/>
        </w:rPr>
      </w:pPr>
      <w:r>
        <w:rPr>
          <w:rFonts w:ascii="Arial" w:cs="Arial" w:eastAsia="Arial" w:hAnsi="Arial"/>
          <w:sz w:val="20"/>
          <w:szCs w:val="20"/>
          <w:b w:val="1"/>
          <w:bCs w:val="1"/>
          <w:color w:val="auto"/>
        </w:rPr>
        <w:t>Annex II Calculation and Payment Methods of Service Fees</w:t>
      </w:r>
    </w:p>
    <w:p>
      <w:pPr>
        <w:spacing w:after="0" w:line="207" w:lineRule="exact"/>
        <w:rPr>
          <w:sz w:val="20"/>
          <w:szCs w:val="20"/>
          <w:color w:val="auto"/>
        </w:rPr>
      </w:pPr>
    </w:p>
    <w:p>
      <w:pPr>
        <w:jc w:val="both"/>
        <w:ind w:left="420" w:hanging="420"/>
        <w:spacing w:after="0" w:line="251" w:lineRule="auto"/>
        <w:tabs>
          <w:tab w:leader="none" w:pos="42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The Service Fees under this Agreement shall be calculated on the basis of 10% to 100% of the monthly total business income of Party B and/or Party B’s Subsidiaries, and the specific proportion of the above Service Fees (limited to 10% to 100%) shall be determined and notified in writing by Party A to Party B and/or Party B’s Subsidiaries according to the actual technical support service provided by Party A as required by Party B and/or Party B’s Subsidiaries and based on the number of persons and number of days invested by Party A.</w:t>
      </w:r>
    </w:p>
    <w:p>
      <w:pPr>
        <w:spacing w:after="0" w:line="179" w:lineRule="exact"/>
        <w:rPr>
          <w:sz w:val="20"/>
          <w:szCs w:val="20"/>
          <w:color w:val="auto"/>
        </w:rPr>
      </w:pPr>
    </w:p>
    <w:p>
      <w:pPr>
        <w:ind w:left="420" w:hanging="420"/>
        <w:spacing w:after="0"/>
        <w:tabs>
          <w:tab w:leader="none" w:pos="42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Party B shall determine the amount of Service Fees according to the following factors:</w:t>
      </w:r>
    </w:p>
    <w:p>
      <w:pPr>
        <w:spacing w:after="0" w:line="203" w:lineRule="exact"/>
        <w:rPr>
          <w:rFonts w:ascii="Arial" w:cs="Arial" w:eastAsia="Arial" w:hAnsi="Arial"/>
          <w:sz w:val="17"/>
          <w:szCs w:val="17"/>
          <w:color w:val="auto"/>
        </w:rPr>
      </w:pPr>
    </w:p>
    <w:p>
      <w:pPr>
        <w:ind w:left="840" w:hanging="417"/>
        <w:spacing w:after="0"/>
        <w:tabs>
          <w:tab w:leader="none" w:pos="840" w:val="left"/>
        </w:tabs>
        <w:numPr>
          <w:ilvl w:val="1"/>
          <w:numId w:val="476"/>
        </w:numPr>
        <w:rPr>
          <w:rFonts w:ascii="Arial" w:cs="Arial" w:eastAsia="Arial" w:hAnsi="Arial"/>
          <w:sz w:val="17"/>
          <w:szCs w:val="17"/>
          <w:color w:val="auto"/>
        </w:rPr>
      </w:pPr>
      <w:r>
        <w:rPr>
          <w:rFonts w:ascii="Arial" w:cs="Arial" w:eastAsia="Arial" w:hAnsi="Arial"/>
          <w:sz w:val="17"/>
          <w:szCs w:val="17"/>
          <w:color w:val="auto"/>
        </w:rPr>
        <w:t>Technical difficulty and complexity of the technical consultation and services;</w:t>
      </w:r>
    </w:p>
    <w:p>
      <w:pPr>
        <w:spacing w:after="0" w:line="228" w:lineRule="exact"/>
        <w:rPr>
          <w:rFonts w:ascii="Arial" w:cs="Arial" w:eastAsia="Arial" w:hAnsi="Arial"/>
          <w:sz w:val="17"/>
          <w:szCs w:val="17"/>
          <w:color w:val="auto"/>
        </w:rPr>
      </w:pPr>
    </w:p>
    <w:p>
      <w:pPr>
        <w:ind w:left="840" w:hanging="417"/>
        <w:spacing w:after="0"/>
        <w:tabs>
          <w:tab w:leader="none" w:pos="840" w:val="left"/>
        </w:tabs>
        <w:numPr>
          <w:ilvl w:val="1"/>
          <w:numId w:val="476"/>
        </w:numPr>
        <w:rPr>
          <w:rFonts w:ascii="Arial" w:cs="Arial" w:eastAsia="Arial" w:hAnsi="Arial"/>
          <w:sz w:val="17"/>
          <w:szCs w:val="17"/>
          <w:color w:val="auto"/>
        </w:rPr>
      </w:pPr>
      <w:r>
        <w:rPr>
          <w:rFonts w:ascii="Arial" w:cs="Arial" w:eastAsia="Arial" w:hAnsi="Arial"/>
          <w:sz w:val="17"/>
          <w:szCs w:val="17"/>
          <w:color w:val="auto"/>
        </w:rPr>
        <w:t>Time spent by Party A’s employees in the technical consultation and services;</w:t>
      </w:r>
    </w:p>
    <w:p>
      <w:pPr>
        <w:spacing w:after="0" w:line="228" w:lineRule="exact"/>
        <w:rPr>
          <w:rFonts w:ascii="Arial" w:cs="Arial" w:eastAsia="Arial" w:hAnsi="Arial"/>
          <w:sz w:val="17"/>
          <w:szCs w:val="17"/>
          <w:color w:val="auto"/>
        </w:rPr>
      </w:pPr>
    </w:p>
    <w:p>
      <w:pPr>
        <w:ind w:left="840" w:hanging="417"/>
        <w:spacing w:after="0"/>
        <w:tabs>
          <w:tab w:leader="none" w:pos="840" w:val="left"/>
        </w:tabs>
        <w:numPr>
          <w:ilvl w:val="1"/>
          <w:numId w:val="476"/>
        </w:numPr>
        <w:rPr>
          <w:rFonts w:ascii="Arial" w:cs="Arial" w:eastAsia="Arial" w:hAnsi="Arial"/>
          <w:sz w:val="17"/>
          <w:szCs w:val="17"/>
          <w:color w:val="auto"/>
        </w:rPr>
      </w:pPr>
      <w:r>
        <w:rPr>
          <w:rFonts w:ascii="Arial" w:cs="Arial" w:eastAsia="Arial" w:hAnsi="Arial"/>
          <w:sz w:val="17"/>
          <w:szCs w:val="17"/>
          <w:color w:val="auto"/>
        </w:rPr>
        <w:t>Specific content and commercial value of the technical consultation and services;</w:t>
      </w:r>
    </w:p>
    <w:p>
      <w:pPr>
        <w:spacing w:after="0" w:line="228" w:lineRule="exact"/>
        <w:rPr>
          <w:rFonts w:ascii="Arial" w:cs="Arial" w:eastAsia="Arial" w:hAnsi="Arial"/>
          <w:sz w:val="17"/>
          <w:szCs w:val="17"/>
          <w:color w:val="auto"/>
        </w:rPr>
      </w:pPr>
    </w:p>
    <w:p>
      <w:pPr>
        <w:ind w:left="840" w:hanging="417"/>
        <w:spacing w:after="0"/>
        <w:tabs>
          <w:tab w:leader="none" w:pos="840" w:val="left"/>
        </w:tabs>
        <w:numPr>
          <w:ilvl w:val="1"/>
          <w:numId w:val="476"/>
        </w:numPr>
        <w:rPr>
          <w:rFonts w:ascii="Arial" w:cs="Arial" w:eastAsia="Arial" w:hAnsi="Arial"/>
          <w:sz w:val="17"/>
          <w:szCs w:val="17"/>
          <w:color w:val="auto"/>
        </w:rPr>
      </w:pPr>
      <w:r>
        <w:rPr>
          <w:rFonts w:ascii="Arial" w:cs="Arial" w:eastAsia="Arial" w:hAnsi="Arial"/>
          <w:sz w:val="17"/>
          <w:szCs w:val="17"/>
          <w:color w:val="auto"/>
        </w:rPr>
        <w:t>Market reference price of similar technical consultation and services.</w:t>
      </w:r>
    </w:p>
    <w:p>
      <w:pPr>
        <w:spacing w:after="0" w:line="228" w:lineRule="exact"/>
        <w:rPr>
          <w:sz w:val="20"/>
          <w:szCs w:val="20"/>
          <w:color w:val="auto"/>
        </w:rPr>
      </w:pPr>
    </w:p>
    <w:p>
      <w:pPr>
        <w:jc w:val="both"/>
        <w:ind w:left="420" w:hanging="420"/>
        <w:spacing w:after="0" w:line="295" w:lineRule="auto"/>
        <w:tabs>
          <w:tab w:leader="none" w:pos="420" w:val="left"/>
        </w:tabs>
        <w:numPr>
          <w:ilvl w:val="0"/>
          <w:numId w:val="477"/>
        </w:numPr>
        <w:rPr>
          <w:rFonts w:ascii="Arial" w:cs="Arial" w:eastAsia="Arial" w:hAnsi="Arial"/>
          <w:sz w:val="15"/>
          <w:szCs w:val="15"/>
          <w:color w:val="auto"/>
        </w:rPr>
      </w:pPr>
      <w:r>
        <w:rPr>
          <w:rFonts w:ascii="Arial" w:cs="Arial" w:eastAsia="Arial" w:hAnsi="Arial"/>
          <w:sz w:val="15"/>
          <w:szCs w:val="15"/>
          <w:color w:val="auto"/>
        </w:rPr>
        <w:t>Party A shall summarize and calculate the Service Fees on a quarterly basis and shall, within Thirty (30) days from the start date of any quarter, send a bill of technical Service Fees for the last quarter to Party B and/or Party B’s Subsidiaries so as to give a notice to Party B and/or Party B’s Subsidiaries. Within Ten (10) working days after receipt of such notice, Party B and/or Party B’s Subsidiaries shall pay such Service Fees to the bank account designated by Party A. Party B and/or Party B’s Subsidiaries shall send by fax or by mail a copy of the remittance voucher to Party A within Ten (10) working days after remittance.</w:t>
      </w:r>
    </w:p>
    <w:p>
      <w:pPr>
        <w:spacing w:after="0" w:line="149" w:lineRule="exact"/>
        <w:rPr>
          <w:sz w:val="20"/>
          <w:szCs w:val="20"/>
          <w:color w:val="auto"/>
        </w:rPr>
      </w:pPr>
    </w:p>
    <w:p>
      <w:pPr>
        <w:jc w:val="both"/>
        <w:ind w:left="420" w:hanging="419"/>
        <w:spacing w:after="0" w:line="254" w:lineRule="auto"/>
        <w:tabs>
          <w:tab w:leader="none" w:pos="400" w:val="left"/>
        </w:tabs>
        <w:rPr>
          <w:sz w:val="20"/>
          <w:szCs w:val="20"/>
          <w:color w:val="auto"/>
        </w:rPr>
      </w:pPr>
      <w:r>
        <w:rPr>
          <w:rFonts w:ascii="Arial" w:cs="Arial" w:eastAsia="Arial" w:hAnsi="Arial"/>
          <w:sz w:val="17"/>
          <w:szCs w:val="17"/>
          <w:color w:val="auto"/>
        </w:rPr>
        <w:t>IV.</w:t>
        <w:tab/>
        <w:t>If Party A considers that it is necessary to adjust the service pricing mechanism as stipulated herein that is not continuously applicable for some reason, Party A shall give a prompt written notice to Party B and/or Party B’s Subsidiaries, and such written notice shall take effect when it is served to Party B and/or Party B’s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184390" cy="412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0" w:name="page431"/>
    <w:bookmarkEnd w:id="430"/>
    <w:p>
      <w:pPr>
        <w:jc w:val="center"/>
        <w:spacing w:after="0"/>
        <w:rPr>
          <w:sz w:val="20"/>
          <w:szCs w:val="20"/>
          <w:color w:val="auto"/>
        </w:rPr>
      </w:pPr>
      <w:r>
        <w:rPr>
          <w:rFonts w:ascii="Arial" w:cs="Arial" w:eastAsia="Arial" w:hAnsi="Arial"/>
          <w:sz w:val="20"/>
          <w:szCs w:val="20"/>
          <w:b w:val="1"/>
          <w:bCs w:val="1"/>
          <w:color w:val="auto"/>
        </w:rPr>
        <w:t>Annex III Letter of Acceptance of Rights and Obligations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Our company</w:t>
      </w:r>
      <w:r>
        <w:rPr>
          <w:rFonts w:ascii="Arial" w:cs="Arial" w:eastAsia="Arial" w:hAnsi="Arial"/>
          <w:sz w:val="15"/>
          <w:szCs w:val="15"/>
          <w:b w:val="1"/>
          <w:bCs w:val="1"/>
          <w:color w:val="auto"/>
        </w:rPr>
        <w:t>, ______, is a subsidiary of ______ Co., Ltd. (hereinafter referred to as “______”) incorporated with ______on the ______day of , and Tianjin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Shangde holds % of ______ the shares/equity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accordance with the Exclusive Technical Consultation and Service Agreement (hereinafter referred to as “Agreement”) entered into by ______________Co.,</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Limited and other parties on the day of ______, our company as a newly added “Party B’s Subsidiary” under the Agreement shall join the Agreement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Article 12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114"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114" w:right="3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7"/>
          <w:szCs w:val="17"/>
          <w:b w:val="1"/>
          <w:bCs w:val="1"/>
          <w:color w:val="auto"/>
        </w:rPr>
        <w:t>Exhibit 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3115"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 Operation Agreement</w:t>
      </w:r>
    </w:p>
    <w:p>
      <w:pPr>
        <w:spacing w:after="0" w:line="202"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This Business Operation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fifth day of August,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32"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r>
        <w:rPr>
          <w:rFonts w:ascii="Arial" w:cs="Arial" w:eastAsia="Arial" w:hAnsi="Arial"/>
          <w:sz w:val="17"/>
          <w:szCs w:val="17"/>
          <w:color w:val="auto"/>
        </w:rPr>
        <w:t>: Wuhan Jiayan Online Education Technology Co.</w:t>
      </w:r>
    </w:p>
    <w:p>
      <w:pPr>
        <w:spacing w:after="0" w:line="20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Registered Address: Wuhan East Lake New Technology Development Zone, Guanan Park, No. 1 Road 20, contemporary Huaxia Venture Center, Building 2, 3, Building 3, unit 3 floor, Room 02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HAN Wei</w:t>
      </w: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or more of the shares or investment interests are held by Party B.</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32" w:lineRule="exact"/>
        <w:rPr>
          <w:sz w:val="20"/>
          <w:szCs w:val="20"/>
          <w:color w:val="auto"/>
        </w:rPr>
      </w:pPr>
    </w:p>
    <w:p>
      <w:pPr>
        <w:ind w:left="860" w:hanging="860"/>
        <w:spacing w:after="0"/>
        <w:tabs>
          <w:tab w:leader="none" w:pos="86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28" w:lineRule="exact"/>
        <w:rPr>
          <w:rFonts w:ascii="Arial" w:cs="Arial" w:eastAsia="Arial" w:hAnsi="Arial"/>
          <w:sz w:val="17"/>
          <w:szCs w:val="17"/>
          <w:color w:val="auto"/>
        </w:rPr>
      </w:pPr>
    </w:p>
    <w:p>
      <w:pPr>
        <w:ind w:left="860" w:hanging="860"/>
        <w:spacing w:after="0"/>
        <w:tabs>
          <w:tab w:leader="none" w:pos="86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28" w:lineRule="exact"/>
        <w:rPr>
          <w:rFonts w:ascii="Arial" w:cs="Arial" w:eastAsia="Arial" w:hAnsi="Arial"/>
          <w:sz w:val="17"/>
          <w:szCs w:val="17"/>
          <w:color w:val="auto"/>
        </w:rPr>
      </w:pPr>
    </w:p>
    <w:p>
      <w:pPr>
        <w:ind w:left="860" w:right="120" w:hanging="860"/>
        <w:spacing w:after="0" w:line="304" w:lineRule="auto"/>
        <w:tabs>
          <w:tab w:leader="none" w:pos="860" w:val="left"/>
        </w:tabs>
        <w:numPr>
          <w:ilvl w:val="0"/>
          <w:numId w:val="478"/>
        </w:numPr>
        <w:rPr>
          <w:rFonts w:ascii="Arial" w:cs="Arial" w:eastAsia="Arial" w:hAnsi="Arial"/>
          <w:sz w:val="15"/>
          <w:szCs w:val="15"/>
          <w:color w:val="auto"/>
        </w:rPr>
      </w:pPr>
      <w:r>
        <w:rPr>
          <w:rFonts w:ascii="Arial" w:cs="Arial" w:eastAsia="Arial" w:hAnsi="Arial"/>
          <w:sz w:val="15"/>
          <w:szCs w:val="15"/>
          <w:color w:val="auto"/>
        </w:rPr>
        <w:t>Party A has established the business relationship with Party B and Party B’s Subsidiaries by signing the Exclusive Technical Consultation and Service Agreement and other agreements; Party B and Party B’s Subsidiaries shall pay various amounts to Party A under such agreements, and therefore any daily operating activities of Party B and Party B’s Subsidiaries will have a substantial impact on their ability to pay the corresponding amounts to Party A.</w:t>
      </w:r>
    </w:p>
    <w:p>
      <w:pPr>
        <w:spacing w:after="0" w:line="166" w:lineRule="exact"/>
        <w:rPr>
          <w:rFonts w:ascii="Arial" w:cs="Arial" w:eastAsia="Arial" w:hAnsi="Arial"/>
          <w:sz w:val="15"/>
          <w:szCs w:val="15"/>
          <w:color w:val="auto"/>
        </w:rPr>
      </w:pPr>
    </w:p>
    <w:p>
      <w:pPr>
        <w:ind w:left="720" w:hanging="720"/>
        <w:spacing w:after="0"/>
        <w:tabs>
          <w:tab w:leader="none" w:pos="72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Any interests held by Party C in Party B and the shareholding structure are shown in Annex II hereto.</w:t>
      </w: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85" w:lineRule="exact"/>
        <w:rPr>
          <w:sz w:val="20"/>
          <w:szCs w:val="20"/>
          <w:color w:val="auto"/>
        </w:rPr>
      </w:pPr>
    </w:p>
    <w:p>
      <w:pPr>
        <w:ind w:left="860" w:hanging="860"/>
        <w:spacing w:after="0"/>
        <w:tabs>
          <w:tab w:leader="none" w:pos="860" w:val="left"/>
        </w:tabs>
        <w:numPr>
          <w:ilvl w:val="0"/>
          <w:numId w:val="479"/>
        </w:numPr>
        <w:rPr>
          <w:rFonts w:ascii="Arial" w:cs="Arial" w:eastAsia="Arial" w:hAnsi="Arial"/>
          <w:sz w:val="17"/>
          <w:szCs w:val="17"/>
          <w:color w:val="auto"/>
        </w:rPr>
      </w:pPr>
      <w:r>
        <w:rPr>
          <w:rFonts w:ascii="Arial" w:cs="Arial" w:eastAsia="Arial" w:hAnsi="Arial"/>
          <w:sz w:val="17"/>
          <w:szCs w:val="17"/>
          <w:b w:val="1"/>
          <w:bCs w:val="1"/>
          <w:color w:val="auto"/>
        </w:rPr>
        <w:t>Obligation of omission</w:t>
      </w:r>
    </w:p>
    <w:p>
      <w:pPr>
        <w:spacing w:after="0" w:line="232" w:lineRule="exact"/>
        <w:rPr>
          <w:sz w:val="20"/>
          <w:szCs w:val="20"/>
          <w:color w:val="auto"/>
        </w:rPr>
      </w:pPr>
    </w:p>
    <w:p>
      <w:pPr>
        <w:jc w:val="both"/>
        <w:ind w:left="860"/>
        <w:spacing w:after="0" w:line="278" w:lineRule="auto"/>
        <w:rPr>
          <w:sz w:val="20"/>
          <w:szCs w:val="20"/>
          <w:color w:val="auto"/>
        </w:rPr>
      </w:pPr>
      <w:r>
        <w:rPr>
          <w:rFonts w:ascii="Arial" w:cs="Arial" w:eastAsia="Arial" w:hAnsi="Arial"/>
          <w:sz w:val="16"/>
          <w:szCs w:val="16"/>
          <w:color w:val="auto"/>
        </w:rPr>
        <w:t>In order to ensure that Party B and Party B’s Subsidiaries perform any agreements signed with Party A and their obligations to Party A, Party B, Party B’s Subsidiaries and Party C hereby acknowledge and agree that, unless they obtain the prior written consent of Party A or any other parties designated by Party A, Party B and Party B’s Subsidiaries shall not conduct any transactions and actions that may have substantial adverse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185420</wp:posOffset>
            </wp:positionV>
            <wp:extent cx="7184390" cy="412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32" w:name="page433"/>
    <w:bookmarkEnd w:id="432"/>
    <w:p>
      <w:pPr>
        <w:ind w:left="860"/>
        <w:spacing w:after="0"/>
        <w:rPr>
          <w:sz w:val="20"/>
          <w:szCs w:val="20"/>
          <w:color w:val="auto"/>
        </w:rPr>
      </w:pPr>
      <w:r>
        <w:rPr>
          <w:rFonts w:ascii="Arial" w:cs="Arial" w:eastAsia="Arial" w:hAnsi="Arial"/>
          <w:sz w:val="17"/>
          <w:szCs w:val="17"/>
          <w:color w:val="auto"/>
        </w:rPr>
        <w:t>effects on their assets, business, personnel, obligations, rights or company operations, including but not limited to:</w:t>
      </w:r>
    </w:p>
    <w:p>
      <w:pPr>
        <w:spacing w:after="0" w:line="228"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1.1</w:t>
            </w:r>
          </w:p>
        </w:tc>
        <w:tc>
          <w:tcPr>
            <w:tcW w:w="9760" w:type="dxa"/>
            <w:vAlign w:val="bottom"/>
          </w:tcPr>
          <w:p>
            <w:pPr>
              <w:ind w:left="280"/>
              <w:spacing w:after="0"/>
              <w:rPr>
                <w:sz w:val="20"/>
                <w:szCs w:val="20"/>
                <w:color w:val="auto"/>
              </w:rPr>
            </w:pPr>
            <w:r>
              <w:rPr>
                <w:rFonts w:ascii="Arial" w:cs="Arial" w:eastAsia="Arial" w:hAnsi="Arial"/>
                <w:sz w:val="17"/>
                <w:szCs w:val="17"/>
                <w:color w:val="auto"/>
                <w:w w:val="88"/>
              </w:rPr>
              <w:t>Carrying out any activities beyond the normal business scope of the company or failure to operate company business in any way as consistent</w:t>
            </w:r>
          </w:p>
        </w:tc>
      </w:tr>
      <w:tr>
        <w:trPr>
          <w:trHeight w:val="212"/>
        </w:trPr>
        <w:tc>
          <w:tcPr>
            <w:tcW w:w="58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7"/>
                <w:szCs w:val="17"/>
                <w:color w:val="auto"/>
              </w:rPr>
              <w:t>and usual as those in the past;</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1.2</w:t>
            </w:r>
          </w:p>
        </w:tc>
        <w:tc>
          <w:tcPr>
            <w:tcW w:w="9760" w:type="dxa"/>
            <w:vAlign w:val="bottom"/>
          </w:tcPr>
          <w:p>
            <w:pPr>
              <w:ind w:left="280"/>
              <w:spacing w:after="0"/>
              <w:rPr>
                <w:sz w:val="20"/>
                <w:szCs w:val="20"/>
                <w:color w:val="auto"/>
              </w:rPr>
            </w:pPr>
            <w:r>
              <w:rPr>
                <w:rFonts w:ascii="Arial" w:cs="Arial" w:eastAsia="Arial" w:hAnsi="Arial"/>
                <w:sz w:val="17"/>
                <w:szCs w:val="17"/>
                <w:color w:val="auto"/>
              </w:rPr>
              <w:t>Borrowing money from any third party or assuming any debts;</w:t>
            </w:r>
          </w:p>
        </w:tc>
      </w:tr>
      <w:tr>
        <w:trPr>
          <w:trHeight w:val="448"/>
        </w:trPr>
        <w:tc>
          <w:tcPr>
            <w:tcW w:w="580" w:type="dxa"/>
            <w:vAlign w:val="bottom"/>
          </w:tcPr>
          <w:p>
            <w:pPr>
              <w:spacing w:after="0"/>
              <w:rPr>
                <w:sz w:val="20"/>
                <w:szCs w:val="20"/>
                <w:color w:val="auto"/>
              </w:rPr>
            </w:pPr>
            <w:r>
              <w:rPr>
                <w:rFonts w:ascii="Arial" w:cs="Arial" w:eastAsia="Arial" w:hAnsi="Arial"/>
                <w:sz w:val="17"/>
                <w:szCs w:val="17"/>
                <w:color w:val="auto"/>
              </w:rPr>
              <w:t>1.3</w:t>
            </w:r>
          </w:p>
        </w:tc>
        <w:tc>
          <w:tcPr>
            <w:tcW w:w="9760" w:type="dxa"/>
            <w:vAlign w:val="bottom"/>
          </w:tcPr>
          <w:p>
            <w:pPr>
              <w:ind w:left="280"/>
              <w:spacing w:after="0"/>
              <w:rPr>
                <w:sz w:val="20"/>
                <w:szCs w:val="20"/>
                <w:color w:val="auto"/>
              </w:rPr>
            </w:pPr>
            <w:r>
              <w:rPr>
                <w:rFonts w:ascii="Arial" w:cs="Arial" w:eastAsia="Arial" w:hAnsi="Arial"/>
                <w:sz w:val="17"/>
                <w:szCs w:val="17"/>
                <w:color w:val="auto"/>
              </w:rPr>
              <w:t>Changing or removing any directors of the company or dismissing and replacing any senior managers of the company;</w:t>
            </w:r>
          </w:p>
        </w:tc>
      </w:tr>
      <w:tr>
        <w:trPr>
          <w:trHeight w:val="436"/>
        </w:trPr>
        <w:tc>
          <w:tcPr>
            <w:tcW w:w="580" w:type="dxa"/>
            <w:vAlign w:val="bottom"/>
          </w:tcPr>
          <w:p>
            <w:pPr>
              <w:spacing w:after="0"/>
              <w:rPr>
                <w:sz w:val="20"/>
                <w:szCs w:val="20"/>
                <w:color w:val="auto"/>
              </w:rPr>
            </w:pPr>
            <w:r>
              <w:rPr>
                <w:rFonts w:ascii="Arial" w:cs="Arial" w:eastAsia="Arial" w:hAnsi="Arial"/>
                <w:sz w:val="17"/>
                <w:szCs w:val="17"/>
                <w:color w:val="auto"/>
              </w:rPr>
              <w:t>1.4</w:t>
            </w:r>
          </w:p>
        </w:tc>
        <w:tc>
          <w:tcPr>
            <w:tcW w:w="9760" w:type="dxa"/>
            <w:vAlign w:val="bottom"/>
          </w:tcPr>
          <w:p>
            <w:pPr>
              <w:ind w:left="280"/>
              <w:spacing w:after="0"/>
              <w:rPr>
                <w:sz w:val="20"/>
                <w:szCs w:val="20"/>
                <w:color w:val="auto"/>
              </w:rPr>
            </w:pPr>
            <w:r>
              <w:rPr>
                <w:rFonts w:ascii="Arial" w:cs="Arial" w:eastAsia="Arial" w:hAnsi="Arial"/>
                <w:sz w:val="17"/>
                <w:szCs w:val="17"/>
                <w:color w:val="auto"/>
                <w:w w:val="90"/>
              </w:rPr>
              <w:t>Selling to or acquiring from any third party or otherwise disposing of any assets or rights (including but not limited to any intellectual property</w:t>
            </w:r>
          </w:p>
        </w:tc>
      </w:tr>
      <w:tr>
        <w:trPr>
          <w:trHeight w:val="212"/>
        </w:trPr>
        <w:tc>
          <w:tcPr>
            <w:tcW w:w="58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7"/>
                <w:szCs w:val="17"/>
                <w:color w:val="auto"/>
              </w:rPr>
              <w:t>rights) with the total value of RMB 0.05 million or more;</w:t>
            </w:r>
          </w:p>
        </w:tc>
      </w:tr>
      <w:tr>
        <w:trPr>
          <w:trHeight w:val="411"/>
        </w:trPr>
        <w:tc>
          <w:tcPr>
            <w:tcW w:w="580" w:type="dxa"/>
            <w:vAlign w:val="bottom"/>
          </w:tcPr>
          <w:p>
            <w:pPr>
              <w:spacing w:after="0"/>
              <w:rPr>
                <w:sz w:val="20"/>
                <w:szCs w:val="20"/>
                <w:color w:val="auto"/>
              </w:rPr>
            </w:pPr>
            <w:r>
              <w:rPr>
                <w:rFonts w:ascii="Arial" w:cs="Arial" w:eastAsia="Arial" w:hAnsi="Arial"/>
                <w:sz w:val="17"/>
                <w:szCs w:val="17"/>
                <w:color w:val="auto"/>
              </w:rPr>
              <w:t>1.5</w:t>
            </w:r>
          </w:p>
        </w:tc>
        <w:tc>
          <w:tcPr>
            <w:tcW w:w="9760" w:type="dxa"/>
            <w:vAlign w:val="bottom"/>
          </w:tcPr>
          <w:p>
            <w:pPr>
              <w:ind w:left="280"/>
              <w:spacing w:after="0"/>
              <w:rPr>
                <w:sz w:val="20"/>
                <w:szCs w:val="20"/>
                <w:color w:val="auto"/>
              </w:rPr>
            </w:pPr>
            <w:r>
              <w:rPr>
                <w:rFonts w:ascii="Arial" w:cs="Arial" w:eastAsia="Arial" w:hAnsi="Arial"/>
                <w:sz w:val="17"/>
                <w:szCs w:val="17"/>
                <w:color w:val="auto"/>
                <w:w w:val="91"/>
              </w:rPr>
              <w:t>Providing any third party with any form of guarantees or creating any form of encumbrances on any assets of the company (including any</w:t>
            </w:r>
          </w:p>
        </w:tc>
      </w:tr>
      <w:tr>
        <w:trPr>
          <w:trHeight w:val="212"/>
        </w:trPr>
        <w:tc>
          <w:tcPr>
            <w:tcW w:w="58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7"/>
                <w:szCs w:val="17"/>
                <w:color w:val="auto"/>
              </w:rPr>
              <w:t>intellectual property rights);</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1.6</w:t>
            </w:r>
          </w:p>
        </w:tc>
        <w:tc>
          <w:tcPr>
            <w:tcW w:w="9760" w:type="dxa"/>
            <w:vAlign w:val="bottom"/>
          </w:tcPr>
          <w:p>
            <w:pPr>
              <w:ind w:left="280"/>
              <w:spacing w:after="0"/>
              <w:rPr>
                <w:sz w:val="20"/>
                <w:szCs w:val="20"/>
                <w:color w:val="auto"/>
              </w:rPr>
            </w:pPr>
            <w:r>
              <w:rPr>
                <w:rFonts w:ascii="Arial" w:cs="Arial" w:eastAsia="Arial" w:hAnsi="Arial"/>
                <w:sz w:val="17"/>
                <w:szCs w:val="17"/>
                <w:color w:val="auto"/>
              </w:rPr>
              <w:t>Amending the articles of association or changing the business scope of the company;</w:t>
            </w:r>
          </w:p>
        </w:tc>
      </w:tr>
      <w:tr>
        <w:trPr>
          <w:trHeight w:val="448"/>
        </w:trPr>
        <w:tc>
          <w:tcPr>
            <w:tcW w:w="580" w:type="dxa"/>
            <w:vAlign w:val="bottom"/>
          </w:tcPr>
          <w:p>
            <w:pPr>
              <w:spacing w:after="0"/>
              <w:rPr>
                <w:sz w:val="20"/>
                <w:szCs w:val="20"/>
                <w:color w:val="auto"/>
              </w:rPr>
            </w:pPr>
            <w:r>
              <w:rPr>
                <w:rFonts w:ascii="Arial" w:cs="Arial" w:eastAsia="Arial" w:hAnsi="Arial"/>
                <w:sz w:val="17"/>
                <w:szCs w:val="17"/>
                <w:color w:val="auto"/>
              </w:rPr>
              <w:t>1.7</w:t>
            </w:r>
          </w:p>
        </w:tc>
        <w:tc>
          <w:tcPr>
            <w:tcW w:w="9760" w:type="dxa"/>
            <w:vAlign w:val="bottom"/>
          </w:tcPr>
          <w:p>
            <w:pPr>
              <w:ind w:left="280"/>
              <w:spacing w:after="0"/>
              <w:rPr>
                <w:sz w:val="20"/>
                <w:szCs w:val="20"/>
                <w:color w:val="auto"/>
              </w:rPr>
            </w:pPr>
            <w:r>
              <w:rPr>
                <w:rFonts w:ascii="Arial" w:cs="Arial" w:eastAsia="Arial" w:hAnsi="Arial"/>
                <w:sz w:val="17"/>
                <w:szCs w:val="17"/>
                <w:color w:val="auto"/>
                <w:w w:val="97"/>
              </w:rPr>
              <w:t>Changing the normal business procedures of the company or modifying any major internal rules and regulations of the company;</w:t>
            </w:r>
          </w:p>
        </w:tc>
      </w:tr>
      <w:tr>
        <w:trPr>
          <w:trHeight w:val="448"/>
        </w:trPr>
        <w:tc>
          <w:tcPr>
            <w:tcW w:w="580" w:type="dxa"/>
            <w:vAlign w:val="bottom"/>
          </w:tcPr>
          <w:p>
            <w:pPr>
              <w:spacing w:after="0"/>
              <w:rPr>
                <w:sz w:val="20"/>
                <w:szCs w:val="20"/>
                <w:color w:val="auto"/>
              </w:rPr>
            </w:pPr>
            <w:r>
              <w:rPr>
                <w:rFonts w:ascii="Arial" w:cs="Arial" w:eastAsia="Arial" w:hAnsi="Arial"/>
                <w:sz w:val="17"/>
                <w:szCs w:val="17"/>
                <w:color w:val="auto"/>
              </w:rPr>
              <w:t>1.8</w:t>
            </w:r>
          </w:p>
        </w:tc>
        <w:tc>
          <w:tcPr>
            <w:tcW w:w="9760" w:type="dxa"/>
            <w:vAlign w:val="bottom"/>
          </w:tcPr>
          <w:p>
            <w:pPr>
              <w:ind w:left="280"/>
              <w:spacing w:after="0"/>
              <w:rPr>
                <w:sz w:val="20"/>
                <w:szCs w:val="20"/>
                <w:color w:val="auto"/>
              </w:rPr>
            </w:pPr>
            <w:r>
              <w:rPr>
                <w:rFonts w:ascii="Arial" w:cs="Arial" w:eastAsia="Arial" w:hAnsi="Arial"/>
                <w:sz w:val="17"/>
                <w:szCs w:val="17"/>
                <w:color w:val="auto"/>
              </w:rPr>
              <w:t>Transferring their rights and obligations under this Agreement to any third party;</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1.9</w:t>
            </w:r>
          </w:p>
        </w:tc>
        <w:tc>
          <w:tcPr>
            <w:tcW w:w="9760" w:type="dxa"/>
            <w:vAlign w:val="bottom"/>
          </w:tcPr>
          <w:p>
            <w:pPr>
              <w:ind w:left="280"/>
              <w:spacing w:after="0"/>
              <w:rPr>
                <w:sz w:val="20"/>
                <w:szCs w:val="20"/>
                <w:color w:val="auto"/>
              </w:rPr>
            </w:pPr>
            <w:r>
              <w:rPr>
                <w:rFonts w:ascii="Arial" w:cs="Arial" w:eastAsia="Arial" w:hAnsi="Arial"/>
                <w:sz w:val="17"/>
                <w:szCs w:val="17"/>
                <w:color w:val="auto"/>
                <w:w w:val="95"/>
              </w:rPr>
              <w:t>Making any major adjustments to their business operation model, marketing strategy, management policy or customer relations; and</w:t>
            </w:r>
          </w:p>
        </w:tc>
      </w:tr>
      <w:tr>
        <w:trPr>
          <w:trHeight w:val="448"/>
        </w:trPr>
        <w:tc>
          <w:tcPr>
            <w:tcW w:w="580" w:type="dxa"/>
            <w:vAlign w:val="bottom"/>
          </w:tcPr>
          <w:p>
            <w:pPr>
              <w:spacing w:after="0"/>
              <w:rPr>
                <w:sz w:val="20"/>
                <w:szCs w:val="20"/>
                <w:color w:val="auto"/>
              </w:rPr>
            </w:pPr>
            <w:r>
              <w:rPr>
                <w:rFonts w:ascii="Arial" w:cs="Arial" w:eastAsia="Arial" w:hAnsi="Arial"/>
                <w:sz w:val="17"/>
                <w:szCs w:val="17"/>
                <w:color w:val="auto"/>
              </w:rPr>
              <w:t>1.10</w:t>
            </w:r>
          </w:p>
        </w:tc>
        <w:tc>
          <w:tcPr>
            <w:tcW w:w="9760" w:type="dxa"/>
            <w:vAlign w:val="bottom"/>
          </w:tcPr>
          <w:p>
            <w:pPr>
              <w:ind w:left="280"/>
              <w:spacing w:after="0"/>
              <w:rPr>
                <w:sz w:val="20"/>
                <w:szCs w:val="20"/>
                <w:color w:val="auto"/>
              </w:rPr>
            </w:pPr>
            <w:r>
              <w:rPr>
                <w:rFonts w:ascii="Arial" w:cs="Arial" w:eastAsia="Arial" w:hAnsi="Arial"/>
                <w:sz w:val="17"/>
                <w:szCs w:val="17"/>
                <w:color w:val="auto"/>
              </w:rPr>
              <w:t>Distributing any bonus and dividend in any form.</w:t>
            </w:r>
          </w:p>
        </w:tc>
      </w:tr>
    </w:tbl>
    <w:p>
      <w:pPr>
        <w:spacing w:after="0" w:line="233" w:lineRule="exact"/>
        <w:rPr>
          <w:sz w:val="20"/>
          <w:szCs w:val="20"/>
          <w:color w:val="auto"/>
        </w:rPr>
      </w:pPr>
    </w:p>
    <w:p>
      <w:pPr>
        <w:ind w:left="860" w:hanging="860"/>
        <w:spacing w:after="0"/>
        <w:tabs>
          <w:tab w:leader="none" w:pos="860" w:val="left"/>
        </w:tabs>
        <w:numPr>
          <w:ilvl w:val="0"/>
          <w:numId w:val="480"/>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Management and Personnel Arrangement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Party B’s Subsidiaries and Party C hereby agree to accept any appointment and dismissal of employees of the company provided by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A from time to time and any opinions and instructions on the daily operating management, financial management system, etc., of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company and strictly implement them.</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B, Party B’s Subsidiaries and Party C hereby agree that Party C shall, in accordance with the laws and regulations and the articles of</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association, elect or appoint any persons designated by Party A as director (or executive director) or supervisor of Party B and Party B’s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Subsidiaries and cause such persons elected as director to elect the chairman of the company (if the company has a board of directors)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according to Party A’s recommendation of candidate and shall appoint any persons designated by Party A as general manager, chief financial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officer and other senior managers of Party B and Party B’s Subsidiaries.</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When the aforesaid directors or senior managers designated by Party A leave Party A for any reasons whatsoever (including but not limited to</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any voluntary resignation and dismissal by Party A), they will be disqualified from holding a post in Party B and Party B’s Subsidiaries. In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such a case, Party B, Party B’s Subsidiaries and Party C shall immediately dismiss the aforesaid persons from any post in Party B and Party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B’s Subsidiaries and immediately elect or employ any other persons otherwise designated by Party A to hold such post.</w:t>
            </w:r>
          </w:p>
        </w:tc>
      </w:tr>
      <w:tr>
        <w:trPr>
          <w:trHeight w:val="633"/>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20"/>
                <w:szCs w:val="20"/>
                <w:color w:val="auto"/>
              </w:rPr>
              <w:t>2</w:t>
            </w:r>
          </w:p>
        </w:tc>
      </w:tr>
      <w:tr>
        <w:trPr>
          <w:trHeight w:val="294"/>
        </w:trPr>
        <w:tc>
          <w:tcPr>
            <w:tcW w:w="140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433" w:name="page434"/>
    <w:bookmarkEnd w:id="433"/>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For the purpose of the Section 2.3 above, Party B, Party B’s Subsidiaries and Party C shall, in accordance with the laws, articles of association</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and this Agreement, take all necessary internal and external procedures of the company to complete the above dismissal and appointment</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procedures.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2.5</w:t>
            </w: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Party C hereby agrees that, when signing this Agreement, it shall sign a power of attorney in such form and substance as shown in Annex III</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hereto and shall, according to such power of attorney, irrevocably authorize any persons designated by Party A to exercise its shareholder</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rights on its behalf and exercise all shareholders’ voting rights in the name of shareholders at any meeting of shareholders held by Party B and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Party B’s Subsidiaries. Party C further agrees that it shall replace at any time the designated authorized persons in the forgoing power of</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attorney according to Party A’s requirements.</w:t>
            </w:r>
          </w:p>
        </w:tc>
      </w:tr>
    </w:tbl>
    <w:p>
      <w:pPr>
        <w:spacing w:after="0" w:line="183" w:lineRule="exact"/>
        <w:rPr>
          <w:sz w:val="20"/>
          <w:szCs w:val="20"/>
          <w:color w:val="auto"/>
        </w:rPr>
      </w:pPr>
    </w:p>
    <w:p>
      <w:pPr>
        <w:ind w:left="860" w:hanging="860"/>
        <w:spacing w:after="0"/>
        <w:tabs>
          <w:tab w:leader="none" w:pos="860" w:val="left"/>
        </w:tabs>
        <w:numPr>
          <w:ilvl w:val="0"/>
          <w:numId w:val="481"/>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of the agreements among Party A and Party B and Party B’s Subsidiaries is terminated or expires, Party A shall have the right to decide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whether to terminate all agreements among Party A and Party B and Party B’s Subsidiaries, including but not limited to any Exclusive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Technical Consultation and Service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Considering that Party A has established the business relationship with Party B and Party B’s Subsidiaries by signing an Exclusive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Consultation and Service Agreement and other agreements, any daily operating activities of Party B and Party B’s Subsidiaries will have a</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substantial impact on their ability to pay the corresponding amounts to Party A. Party C agrees that, subject to the provisions of Article 1</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hereof, any incomes or interests shall be immediately paid or transferred without compensation to Party A when they are realized, under no</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conditions, out of any bonuses, dividend distributions or any other similar incomes or interests (regardless of their specific form) that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received by Party C from Party B and Party B’s Subsidiaries in the capacity of a shareholder of Party B and Party B’s Subsidiaries and that it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shall, according to Party A’s requirements, provide all necessary documents or take all necessary actions to realize such payment or transfer.</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3.3</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added Party B’s Subsidiary at any time after the effective date of this Agreement, Party B and Party C shall cause such newly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added Party B’s Subsidiary to sign a letter of acceptance of rights and obligations in such form and substance as shown in Annex IV hereto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any other legal documents permitted or required by the laws of the PRC so as to enable such newly added Party B’s Subsidiary to join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 and fully accept any obligations and rights to be assumed and enjoyed by Party B’s Subsidiaries under this Agreement. From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execution date of such letter of acceptance of rights and obligations and any other legal documents permitted or required by the laws of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PRC, such newly added Party B’s Subsidiary shall be deemed to be a signatory to this Agreement. Any other Parties hereto hereby agree to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fully accept the foregoing arrangement.</w:t>
            </w:r>
          </w:p>
        </w:tc>
      </w:tr>
    </w:tbl>
    <w:p>
      <w:pPr>
        <w:spacing w:after="0" w:line="183" w:lineRule="exact"/>
        <w:rPr>
          <w:sz w:val="20"/>
          <w:szCs w:val="20"/>
          <w:color w:val="auto"/>
        </w:rPr>
      </w:pPr>
    </w:p>
    <w:p>
      <w:pPr>
        <w:ind w:left="860" w:hanging="860"/>
        <w:spacing w:after="0"/>
        <w:tabs>
          <w:tab w:leader="none" w:pos="860" w:val="left"/>
        </w:tabs>
        <w:numPr>
          <w:ilvl w:val="0"/>
          <w:numId w:val="482"/>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and Amendment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This Agreement and all agreements and/or documents referred to or expressly contained herein shall constitute an entire agreement among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Parties in respect of the subject matter of this Agreement and supersede all prior oral and written agreements, contracts, understandings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communications among the Parties in relation to the subject matter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4.2</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No amendments to this Agreement shall be valid unless a written agreement is signed by the Parties. Any amendment and supplementary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agreements duly signed by the Parties in relation to this Agreement shall form an integral part of this Agreement and be equally authentic as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this Agreement.</w:t>
            </w:r>
          </w:p>
        </w:tc>
      </w:tr>
      <w:tr>
        <w:trPr>
          <w:trHeight w:val="633"/>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20"/>
                <w:szCs w:val="20"/>
                <w:color w:val="auto"/>
              </w:rPr>
              <w:t>3</w:t>
            </w:r>
          </w:p>
        </w:tc>
      </w:tr>
      <w:tr>
        <w:trPr>
          <w:trHeight w:val="294"/>
        </w:trPr>
        <w:tc>
          <w:tcPr>
            <w:tcW w:w="140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6" w:right="299" w:bottom="1440" w:gutter="0" w:footer="0" w:header="0"/>
        </w:sectPr>
      </w:pPr>
    </w:p>
    <w:bookmarkStart w:id="434" w:name="page435"/>
    <w:bookmarkEnd w:id="434"/>
    <w:p>
      <w:pPr>
        <w:ind w:left="860" w:hanging="860"/>
        <w:spacing w:after="0"/>
        <w:tabs>
          <w:tab w:leader="none" w:pos="860" w:val="left"/>
        </w:tabs>
        <w:numPr>
          <w:ilvl w:val="0"/>
          <w:numId w:val="483"/>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483"/>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8"/>
              </w:rPr>
              <w:t>resolve such disputes through consultation in good faith. If such disputes can not be resolved through consultation, any Party may submit such</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95"/>
              </w:rPr>
              <w:t>arbitration rules of such Commission in force. The place of arbitration shall be Beijing, and the language to be used in the arbitration</w:t>
            </w:r>
          </w:p>
        </w:tc>
      </w:tr>
      <w:tr>
        <w:trPr>
          <w:trHeight w:val="199"/>
        </w:trPr>
        <w:tc>
          <w:tcPr>
            <w:tcW w:w="540" w:type="dxa"/>
            <w:vAlign w:val="bottom"/>
          </w:tcPr>
          <w:p>
            <w:pPr>
              <w:spacing w:after="0"/>
              <w:rPr>
                <w:sz w:val="17"/>
                <w:szCs w:val="17"/>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Article shall be affected by</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820" w:type="dxa"/>
            <w:vAlign w:val="bottom"/>
          </w:tcPr>
          <w:p>
            <w:pPr>
              <w:ind w:left="320"/>
              <w:spacing w:after="0"/>
              <w:rPr>
                <w:sz w:val="20"/>
                <w:szCs w:val="20"/>
                <w:color w:val="auto"/>
              </w:rPr>
            </w:pPr>
            <w:r>
              <w:rPr>
                <w:rFonts w:ascii="Arial" w:cs="Arial" w:eastAsia="Arial" w:hAnsi="Arial"/>
                <w:sz w:val="17"/>
                <w:szCs w:val="17"/>
                <w:color w:val="auto"/>
                <w:w w:val="92"/>
              </w:rPr>
              <w:t>Except for any matters disputed by the Parties hereto, the Parties hereto shall continue to perform their respective obligations under this</w:t>
            </w:r>
          </w:p>
        </w:tc>
      </w:tr>
      <w:tr>
        <w:trPr>
          <w:trHeight w:val="212"/>
        </w:trPr>
        <w:tc>
          <w:tcPr>
            <w:tcW w:w="54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484"/>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rFonts w:ascii="Arial" w:cs="Arial" w:eastAsia="Arial" w:hAnsi="Arial"/>
          <w:sz w:val="17"/>
          <w:szCs w:val="17"/>
          <w:b w:val="1"/>
          <w:bCs w:val="1"/>
          <w:color w:val="auto"/>
        </w:rPr>
      </w:pPr>
    </w:p>
    <w:p>
      <w:pPr>
        <w:jc w:val="both"/>
        <w:ind w:left="860" w:right="4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2"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A,</w:t>
      </w:r>
    </w:p>
    <w:p>
      <w:pPr>
        <w:spacing w:after="0" w:line="207" w:lineRule="exact"/>
        <w:rPr>
          <w:rFonts w:ascii="Arial" w:cs="Arial" w:eastAsia="Arial" w:hAnsi="Arial"/>
          <w:sz w:val="17"/>
          <w:szCs w:val="17"/>
          <w:b w:val="1"/>
          <w:bCs w:val="1"/>
          <w:color w:val="auto"/>
        </w:rPr>
      </w:pPr>
    </w:p>
    <w:p>
      <w:pPr>
        <w:ind w:left="860" w:right="28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Address: Building No. 6, Chaolai Science and Technology Park, Laiguangying, Chaoyang District, Beijing, China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LIU Tongbo</w:t>
      </w:r>
    </w:p>
    <w:p>
      <w:pPr>
        <w:spacing w:after="0" w:line="211"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B and Party B’s Subsidiaries, Party C</w:t>
      </w:r>
    </w:p>
    <w:p>
      <w:pPr>
        <w:spacing w:after="0" w:line="207" w:lineRule="exact"/>
        <w:rPr>
          <w:rFonts w:ascii="Arial" w:cs="Arial" w:eastAsia="Arial" w:hAnsi="Arial"/>
          <w:sz w:val="17"/>
          <w:szCs w:val="17"/>
          <w:b w:val="1"/>
          <w:bCs w:val="1"/>
          <w:color w:val="auto"/>
        </w:rPr>
      </w:pPr>
    </w:p>
    <w:p>
      <w:pPr>
        <w:ind w:left="860" w:right="28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Address: Building No. 6, Chaolai Science and Technology Park, Laiguangying, Chaoyang District, Beijing, China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HAN Wei</w:t>
      </w:r>
    </w:p>
    <w:p>
      <w:pPr>
        <w:spacing w:after="0" w:line="186" w:lineRule="exact"/>
        <w:rPr>
          <w:rFonts w:ascii="Arial" w:cs="Arial" w:eastAsia="Arial" w:hAnsi="Arial"/>
          <w:sz w:val="17"/>
          <w:szCs w:val="17"/>
          <w:b w:val="1"/>
          <w:bCs w:val="1"/>
          <w:color w:val="auto"/>
        </w:rPr>
      </w:pPr>
    </w:p>
    <w:p>
      <w:pPr>
        <w:ind w:left="720" w:hanging="720"/>
        <w:spacing w:after="0"/>
        <w:tabs>
          <w:tab w:leader="none" w:pos="720" w:val="left"/>
        </w:tabs>
        <w:numPr>
          <w:ilvl w:val="0"/>
          <w:numId w:val="484"/>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Term and Miscellaneous Provisions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Any written consents, suggestions and designations of Party A involved herein and any other decisions that have a substantial impact on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daily operation of Party B and Party B’s Subsidiaries shall be made by Party A’s board of directors and/or executive director.</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8.2</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This Agreement is executed by the parties hereto and take effect as of the date first written above herein. Unless Party A cancels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Agreement in advance, the term of this Agreement shall be terminated upon dissolution of both of Party B and Party B’s Subsidiaries in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accordance with the laws of the PRC. Upon Party A’s request prior to the expiration of this Agreement, the Parties shall extend the term of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Agreement at Party A’s request and shall sign a separate business operation agreement or continue to perform this Agreement according to</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Party A’s requirements.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8.3</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Notwithstanding the above, the Parties acknowledge that, in case of any change of Party B’s shareholding structure or any increase or decrease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of shareholders and other circumstances, Party A, Party B, Party B’s Subsidiaries and all existing shareholders of Party B shall re-sign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Agreement, and this Agreement shall automatically be terminated and become invalid from the effective date of the business operation</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agreement re-signed by the foregoing Parties.</w:t>
            </w:r>
          </w:p>
        </w:tc>
      </w:tr>
      <w:tr>
        <w:trPr>
          <w:trHeight w:val="434"/>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20"/>
                <w:szCs w:val="20"/>
                <w:color w:val="auto"/>
              </w:rPr>
              <w:t>4</w:t>
            </w:r>
          </w:p>
        </w:tc>
      </w:tr>
      <w:tr>
        <w:trPr>
          <w:trHeight w:val="294"/>
        </w:trPr>
        <w:tc>
          <w:tcPr>
            <w:tcW w:w="140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700" w:type="dxa"/>
            <w:vAlign w:val="bottom"/>
          </w:tcPr>
          <w:p>
            <w:pPr>
              <w:ind w:left="320"/>
              <w:spacing w:after="0"/>
              <w:rPr>
                <w:sz w:val="20"/>
                <w:szCs w:val="20"/>
                <w:color w:val="auto"/>
              </w:rPr>
            </w:pPr>
            <w:r>
              <w:rPr>
                <w:rFonts w:ascii="Arial" w:cs="Arial" w:eastAsia="Arial" w:hAnsi="Arial"/>
                <w:sz w:val="17"/>
                <w:szCs w:val="17"/>
                <w:color w:val="auto"/>
                <w:w w:val="89"/>
              </w:rPr>
              <w:t>Within the term of this Agreement, Party B, Party B’s Subsidiaries and Party C shall not terminate this Agreement in advance. Party A shall</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90"/>
              </w:rPr>
              <w:t>have the right to terminate this Agreement at any time by giving a written notice to Party B, Party B’s Subsidiaries and shareholders Thirty</w:t>
            </w:r>
          </w:p>
        </w:tc>
      </w:tr>
      <w:tr>
        <w:trPr>
          <w:trHeight w:val="212"/>
        </w:trPr>
        <w:tc>
          <w:tcPr>
            <w:tcW w:w="54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rPr>
              <w:t>(30) days in advance.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8.5</w:t>
            </w:r>
          </w:p>
        </w:tc>
        <w:tc>
          <w:tcPr>
            <w:tcW w:w="9700" w:type="dxa"/>
            <w:vAlign w:val="bottom"/>
          </w:tcPr>
          <w:p>
            <w:pPr>
              <w:ind w:left="320"/>
              <w:spacing w:after="0"/>
              <w:rPr>
                <w:sz w:val="20"/>
                <w:szCs w:val="20"/>
                <w:color w:val="auto"/>
              </w:rPr>
            </w:pPr>
            <w:r>
              <w:rPr>
                <w:rFonts w:ascii="Arial" w:cs="Arial" w:eastAsia="Arial" w:hAnsi="Arial"/>
                <w:sz w:val="17"/>
                <w:szCs w:val="17"/>
                <w:color w:val="auto"/>
                <w:w w:val="88"/>
              </w:rPr>
              <w:t>The Parties hereby acknowledge that this Agreement shall be a fair and reasonable agreement reached by the Parties hereto on the basis of</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93"/>
              </w:rPr>
              <w:t>equality and mutual benefit. If any provisions of this Agreement are deemed to be illegal or unenforceable by any applicable law, such</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94"/>
              </w:rPr>
              <w:t>provisions shall be deemed to have been deleted from this Agreement and become invalid, provided that any other provisions of this</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88"/>
              </w:rPr>
              <w:t>Agreement shall remain in force, and this Agreement shall be deemed to have not contained such provisions from the beginning. The Parties</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91"/>
              </w:rPr>
              <w:t>hereto shall mutually negotiate about the replacement of such provisions that are deemed to have been deleted with any legal and valid</w:t>
            </w:r>
          </w:p>
        </w:tc>
      </w:tr>
      <w:tr>
        <w:trPr>
          <w:trHeight w:val="212"/>
        </w:trPr>
        <w:tc>
          <w:tcPr>
            <w:tcW w:w="54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rPr>
              <w:t>provisions acceptable to the Parties.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8.6</w:t>
            </w:r>
          </w:p>
        </w:tc>
        <w:tc>
          <w:tcPr>
            <w:tcW w:w="9700" w:type="dxa"/>
            <w:vAlign w:val="bottom"/>
          </w:tcPr>
          <w:p>
            <w:pPr>
              <w:ind w:left="320"/>
              <w:spacing w:after="0"/>
              <w:rPr>
                <w:sz w:val="20"/>
                <w:szCs w:val="20"/>
                <w:color w:val="auto"/>
              </w:rPr>
            </w:pPr>
            <w:r>
              <w:rPr>
                <w:rFonts w:ascii="Arial" w:cs="Arial" w:eastAsia="Arial" w:hAnsi="Arial"/>
                <w:sz w:val="17"/>
                <w:szCs w:val="17"/>
                <w:color w:val="auto"/>
                <w:w w:val="88"/>
              </w:rPr>
              <w:t>No failure by any Party to exercise its rights, powers or privileges under this Agreement shall be treated as a waiver of such rights, powers or</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89"/>
              </w:rPr>
              <w:t>privileges by such Party. No single or partial exercise by any Party of its rights, powers or privileges under this Agreement shall exclude any</w:t>
            </w:r>
          </w:p>
        </w:tc>
      </w:tr>
      <w:tr>
        <w:trPr>
          <w:trHeight w:val="212"/>
        </w:trPr>
        <w:tc>
          <w:tcPr>
            <w:tcW w:w="54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rPr>
              <w:t>exercise by such Party of its other rights, powers or privileges under this Agreement.</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8.7</w:t>
            </w:r>
          </w:p>
        </w:tc>
        <w:tc>
          <w:tcPr>
            <w:tcW w:w="970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8.8</w:t>
            </w:r>
          </w:p>
        </w:tc>
        <w:tc>
          <w:tcPr>
            <w:tcW w:w="9700" w:type="dxa"/>
            <w:vAlign w:val="bottom"/>
          </w:tcPr>
          <w:p>
            <w:pPr>
              <w:ind w:left="320"/>
              <w:spacing w:after="0"/>
              <w:rPr>
                <w:sz w:val="20"/>
                <w:szCs w:val="20"/>
                <w:color w:val="auto"/>
              </w:rPr>
            </w:pPr>
            <w:r>
              <w:rPr>
                <w:rFonts w:ascii="Arial" w:cs="Arial" w:eastAsia="Arial" w:hAnsi="Arial"/>
                <w:sz w:val="17"/>
                <w:szCs w:val="17"/>
                <w:color w:val="auto"/>
                <w:w w:val="89"/>
              </w:rPr>
              <w:t>Party B, Party B’s Subsidiaries and Party C shall not transfer to any third party their rights and obligations under this Agreement unless they</w:t>
            </w:r>
          </w:p>
        </w:tc>
      </w:tr>
      <w:tr>
        <w:trPr>
          <w:trHeight w:val="212"/>
        </w:trPr>
        <w:tc>
          <w:tcPr>
            <w:tcW w:w="54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rPr>
              <w:t>obtain the prior written consent of Party A.</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Parties hereto have caused this Agreement to be executed by their duly authorized representative as of the date first above written.</w:t>
      </w:r>
    </w:p>
    <w:p>
      <w:pPr>
        <w:spacing w:after="0" w:line="249"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[The remainder of this page is intentionally left blank]</w:t>
      </w:r>
    </w:p>
    <w:p>
      <w:pPr>
        <w:spacing w:after="0" w:line="396"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185420</wp:posOffset>
            </wp:positionV>
            <wp:extent cx="7184390" cy="412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240"/>
          </w:cols>
          <w:pgMar w:left="1180" w:top="525" w:right="479" w:bottom="1440" w:gutter="0" w:footer="0" w:header="0"/>
        </w:sectPr>
      </w:pPr>
    </w:p>
    <w:bookmarkStart w:id="436" w:name="page437"/>
    <w:bookmarkEnd w:id="436"/>
    <w:p>
      <w:pPr>
        <w:jc w:val="center"/>
        <w:spacing w:after="0"/>
        <w:rPr>
          <w:sz w:val="20"/>
          <w:szCs w:val="20"/>
          <w:color w:val="auto"/>
        </w:rPr>
      </w:pPr>
      <w:r>
        <w:rPr>
          <w:rFonts w:ascii="Arial" w:cs="Arial" w:eastAsia="Arial" w:hAnsi="Arial"/>
          <w:sz w:val="17"/>
          <w:szCs w:val="17"/>
          <w:color w:val="auto"/>
        </w:rPr>
        <w:t>[This page is the signature page to the Business Operation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 /s/ HAN Wei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-20955</wp:posOffset>
            </wp:positionV>
            <wp:extent cx="57404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8">
                      <a:extLst>
                        <a:ext uri="{28A0092B-C50C-407E-A947-70E740481C1C}"/>
                      </a:extLst>
                    </a:blip>
                    <a:srcRect/>
                    <a:stretch>
                      <a:fillRect/>
                    </a:stretch>
                  </pic:blipFill>
                  <pic:spPr bwMode="auto">
                    <a:xfrm>
                      <a:off x="0" y="0"/>
                      <a:ext cx="574040" cy="7620"/>
                    </a:xfrm>
                    <a:prstGeom prst="rect">
                      <a:avLst/>
                    </a:prstGeom>
                    <a:noFill/>
                  </pic:spPr>
                </pic:pic>
              </a:graphicData>
            </a:graphic>
          </wp:anchor>
        </w:drawing>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00" w:type="dxa"/>
            <w:vAlign w:val="bottom"/>
            <w:gridSpan w:val="8"/>
          </w:tcPr>
          <w:p>
            <w:pPr>
              <w:jc w:val="center"/>
              <w:ind w:right="80"/>
              <w:spacing w:after="0"/>
              <w:rPr>
                <w:sz w:val="20"/>
                <w:szCs w:val="20"/>
                <w:color w:val="auto"/>
              </w:rPr>
            </w:pPr>
            <w:r>
              <w:rPr>
                <w:rFonts w:ascii="Arial" w:cs="Arial" w:eastAsia="Arial" w:hAnsi="Arial"/>
                <w:sz w:val="17"/>
                <w:szCs w:val="17"/>
                <w:b w:val="1"/>
                <w:bCs w:val="1"/>
                <w:color w:val="auto"/>
                <w:w w:val="87"/>
              </w:rPr>
              <w:t>[This page is intentionally left blank as the signature page of the Business Operation Agreement]</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120" w:type="dxa"/>
            <w:vAlign w:val="bottom"/>
            <w:gridSpan w:val="5"/>
          </w:tcPr>
          <w:p>
            <w:pPr>
              <w:spacing w:after="0"/>
              <w:rPr>
                <w:sz w:val="20"/>
                <w:szCs w:val="20"/>
                <w:color w:val="auto"/>
              </w:rPr>
            </w:pPr>
            <w:r>
              <w:rPr>
                <w:rFonts w:ascii="Arial" w:cs="Arial" w:eastAsia="Arial" w:hAnsi="Arial"/>
                <w:sz w:val="17"/>
                <w:szCs w:val="17"/>
                <w:b w:val="1"/>
                <w:bCs w:val="1"/>
                <w:color w:val="auto"/>
              </w:rPr>
              <w:t>Party C:</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120" w:type="dxa"/>
            <w:vAlign w:val="bottom"/>
            <w:gridSpan w:val="5"/>
          </w:tcPr>
          <w:p>
            <w:pPr>
              <w:spacing w:after="0"/>
              <w:rPr>
                <w:sz w:val="20"/>
                <w:szCs w:val="20"/>
                <w:color w:val="auto"/>
              </w:rPr>
            </w:pPr>
            <w:r>
              <w:rPr>
                <w:rFonts w:ascii="Arial" w:cs="Arial" w:eastAsia="Arial" w:hAnsi="Arial"/>
                <w:sz w:val="17"/>
                <w:szCs w:val="17"/>
                <w:color w:val="auto"/>
              </w:rPr>
              <w:t>HAN Wei</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120" w:type="dxa"/>
            <w:vAlign w:val="bottom"/>
            <w:gridSpan w:val="5"/>
          </w:tcPr>
          <w:p>
            <w:pPr>
              <w:spacing w:after="0" w:line="175" w:lineRule="exact"/>
              <w:rPr>
                <w:sz w:val="20"/>
                <w:szCs w:val="20"/>
                <w:color w:val="auto"/>
              </w:rPr>
            </w:pPr>
            <w:r>
              <w:rPr>
                <w:rFonts w:ascii="Arial" w:cs="Arial" w:eastAsia="Arial" w:hAnsi="Arial"/>
                <w:sz w:val="17"/>
                <w:szCs w:val="17"/>
                <w:color w:val="auto"/>
              </w:rPr>
              <w:t>Signature: /s/ HAN Wei</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120" w:type="dxa"/>
            <w:vAlign w:val="bottom"/>
            <w:gridSpan w:val="5"/>
          </w:tcPr>
          <w:p>
            <w:pPr>
              <w:spacing w:after="0"/>
              <w:rPr>
                <w:sz w:val="20"/>
                <w:szCs w:val="20"/>
                <w:color w:val="auto"/>
              </w:rPr>
            </w:pPr>
            <w:r>
              <w:rPr>
                <w:rFonts w:ascii="Arial" w:cs="Arial" w:eastAsia="Arial" w:hAnsi="Arial"/>
                <w:sz w:val="17"/>
                <w:szCs w:val="17"/>
                <w:color w:val="auto"/>
              </w:rPr>
              <w:t>WANG Yanpeng</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120" w:type="dxa"/>
            <w:vAlign w:val="bottom"/>
            <w:gridSpan w:val="5"/>
          </w:tcPr>
          <w:p>
            <w:pPr>
              <w:spacing w:after="0" w:line="175" w:lineRule="exact"/>
              <w:rPr>
                <w:sz w:val="20"/>
                <w:szCs w:val="20"/>
                <w:color w:val="auto"/>
              </w:rPr>
            </w:pPr>
            <w:r>
              <w:rPr>
                <w:rFonts w:ascii="Arial" w:cs="Arial" w:eastAsia="Arial" w:hAnsi="Arial"/>
                <w:sz w:val="17"/>
                <w:szCs w:val="17"/>
                <w:color w:val="auto"/>
                <w:w w:val="91"/>
              </w:rPr>
              <w:t>Signature: /s/ WANG Yanpeng</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0" w:type="dxa"/>
            <w:vAlign w:val="bottom"/>
            <w:gridSpan w:val="5"/>
          </w:tcPr>
          <w:p>
            <w:pPr>
              <w:jc w:val="center"/>
              <w:ind w:right="2000"/>
              <w:spacing w:after="0"/>
              <w:rPr>
                <w:sz w:val="20"/>
                <w:szCs w:val="20"/>
                <w:color w:val="auto"/>
              </w:rPr>
            </w:pPr>
            <w:r>
              <w:rPr>
                <w:rFonts w:ascii="Arial" w:cs="Arial" w:eastAsia="Arial" w:hAnsi="Arial"/>
                <w:sz w:val="17"/>
                <w:szCs w:val="17"/>
                <w:b w:val="1"/>
                <w:bCs w:val="1"/>
                <w:color w:val="auto"/>
                <w:w w:val="88"/>
              </w:rPr>
              <w:t>Annex I Party B’s Shareholders</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720" w:type="dxa"/>
            <w:vAlign w:val="bottom"/>
            <w:tcBorders>
              <w:top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center"/>
              <w:ind w:right="677"/>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top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7"/>
                <w:szCs w:val="17"/>
                <w:color w:val="auto"/>
              </w:rPr>
              <w:t>ID Card No.</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720" w:type="dxa"/>
            <w:vAlign w:val="bottom"/>
          </w:tcPr>
          <w:p>
            <w:pPr>
              <w:spacing w:after="0"/>
              <w:rPr>
                <w:sz w:val="18"/>
                <w:szCs w:val="18"/>
                <w:color w:val="auto"/>
              </w:rPr>
            </w:pPr>
          </w:p>
        </w:tc>
        <w:tc>
          <w:tcPr>
            <w:tcW w:w="2240" w:type="dxa"/>
            <w:vAlign w:val="bottom"/>
            <w:tcBorders>
              <w:right w:val="single" w:sz="8" w:color="auto"/>
            </w:tcBorders>
          </w:tcPr>
          <w:p>
            <w:pPr>
              <w:jc w:val="center"/>
              <w:ind w:right="657"/>
              <w:spacing w:after="0"/>
              <w:rPr>
                <w:sz w:val="20"/>
                <w:szCs w:val="20"/>
                <w:color w:val="auto"/>
              </w:rPr>
            </w:pPr>
            <w:r>
              <w:rPr>
                <w:rFonts w:ascii="Arial" w:cs="Arial" w:eastAsia="Arial" w:hAnsi="Arial"/>
                <w:sz w:val="17"/>
                <w:szCs w:val="17"/>
                <w:color w:val="auto"/>
                <w:w w:val="94"/>
              </w:rPr>
              <w:t>HAN Wei</w:t>
            </w:r>
          </w:p>
        </w:tc>
        <w:tc>
          <w:tcPr>
            <w:tcW w:w="6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720" w:type="dxa"/>
            <w:vAlign w:val="bottom"/>
          </w:tcPr>
          <w:p>
            <w:pPr>
              <w:spacing w:after="0"/>
              <w:rPr>
                <w:sz w:val="18"/>
                <w:szCs w:val="18"/>
                <w:color w:val="auto"/>
              </w:rPr>
            </w:pPr>
          </w:p>
        </w:tc>
        <w:tc>
          <w:tcPr>
            <w:tcW w:w="2240" w:type="dxa"/>
            <w:vAlign w:val="bottom"/>
            <w:tcBorders>
              <w:right w:val="single" w:sz="8" w:color="auto"/>
            </w:tcBorders>
          </w:tcPr>
          <w:p>
            <w:pPr>
              <w:jc w:val="center"/>
              <w:ind w:right="677"/>
              <w:spacing w:after="0"/>
              <w:rPr>
                <w:sz w:val="20"/>
                <w:szCs w:val="20"/>
                <w:color w:val="auto"/>
              </w:rPr>
            </w:pPr>
            <w:r>
              <w:rPr>
                <w:rFonts w:ascii="Arial" w:cs="Arial" w:eastAsia="Arial" w:hAnsi="Arial"/>
                <w:sz w:val="17"/>
                <w:szCs w:val="17"/>
                <w:color w:val="auto"/>
                <w:w w:val="89"/>
              </w:rPr>
              <w:t>WANG Yanpeng</w:t>
            </w:r>
          </w:p>
        </w:tc>
        <w:tc>
          <w:tcPr>
            <w:tcW w:w="6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0" w:type="dxa"/>
            <w:vAlign w:val="bottom"/>
            <w:gridSpan w:val="5"/>
          </w:tcPr>
          <w:p>
            <w:pPr>
              <w:jc w:val="center"/>
              <w:ind w:right="2000"/>
              <w:spacing w:after="0"/>
              <w:rPr>
                <w:sz w:val="20"/>
                <w:szCs w:val="20"/>
                <w:color w:val="auto"/>
              </w:rPr>
            </w:pPr>
            <w:r>
              <w:rPr>
                <w:rFonts w:ascii="Arial" w:cs="Arial" w:eastAsia="Arial" w:hAnsi="Arial"/>
                <w:sz w:val="17"/>
                <w:szCs w:val="17"/>
                <w:b w:val="1"/>
                <w:bCs w:val="1"/>
                <w:color w:val="auto"/>
                <w:w w:val="89"/>
              </w:rPr>
              <w:t>Annex II Party B’s Shareholding Structure</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2"/>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7"/>
                <w:szCs w:val="17"/>
                <w:color w:val="auto"/>
              </w:rPr>
              <w:t>S/N</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40" w:type="dxa"/>
            <w:vAlign w:val="bottom"/>
            <w:gridSpan w:val="4"/>
            <w:vMerge w:val="restart"/>
          </w:tcPr>
          <w:p>
            <w:pPr>
              <w:jc w:val="center"/>
              <w:ind w:right="1417"/>
              <w:spacing w:after="0"/>
              <w:rPr>
                <w:sz w:val="20"/>
                <w:szCs w:val="20"/>
                <w:color w:val="auto"/>
              </w:rPr>
            </w:pPr>
            <w:r>
              <w:rPr>
                <w:rFonts w:ascii="Arial" w:cs="Arial" w:eastAsia="Arial" w:hAnsi="Arial"/>
                <w:sz w:val="17"/>
                <w:szCs w:val="17"/>
                <w:color w:val="auto"/>
                <w:w w:val="86"/>
              </w:rPr>
              <w:t>Name of Shareholders</w:t>
            </w:r>
          </w:p>
        </w:tc>
        <w:tc>
          <w:tcPr>
            <w:tcW w:w="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gridSpan w:val="2"/>
          </w:tcPr>
          <w:p>
            <w:pPr>
              <w:ind w:left="420"/>
              <w:spacing w:after="0"/>
              <w:rPr>
                <w:sz w:val="20"/>
                <w:szCs w:val="20"/>
                <w:color w:val="auto"/>
              </w:rPr>
            </w:pPr>
            <w:r>
              <w:rPr>
                <w:rFonts w:ascii="Arial" w:cs="Arial" w:eastAsia="Arial" w:hAnsi="Arial"/>
                <w:sz w:val="17"/>
                <w:szCs w:val="17"/>
                <w:color w:val="auto"/>
              </w:rPr>
              <w:t>Amount of Contribution</w:t>
            </w:r>
          </w:p>
        </w:tc>
        <w:tc>
          <w:tcPr>
            <w:tcW w:w="440" w:type="dxa"/>
            <w:vAlign w:val="bottom"/>
          </w:tcPr>
          <w:p>
            <w:pPr>
              <w:spacing w:after="0"/>
              <w:rPr>
                <w:sz w:val="17"/>
                <w:szCs w:val="17"/>
                <w:color w:val="auto"/>
              </w:rPr>
            </w:pPr>
          </w:p>
        </w:tc>
        <w:tc>
          <w:tcPr>
            <w:tcW w:w="2040" w:type="dxa"/>
            <w:vAlign w:val="bottom"/>
            <w:tcBorders>
              <w:right w:val="single" w:sz="8" w:color="auto"/>
            </w:tcBorders>
          </w:tcPr>
          <w:p>
            <w:pPr>
              <w:ind w:left="200"/>
              <w:spacing w:after="0"/>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140" w:type="dxa"/>
            <w:vAlign w:val="bottom"/>
            <w:gridSpan w:val="4"/>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7"/>
                <w:szCs w:val="17"/>
                <w:color w:val="auto"/>
                <w:w w:val="93"/>
              </w:rPr>
              <w:t>(CNY10000)</w:t>
            </w:r>
          </w:p>
        </w:tc>
        <w:tc>
          <w:tcPr>
            <w:tcW w:w="440" w:type="dxa"/>
            <w:vAlign w:val="bottom"/>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auto"/>
                <w:w w:val="89"/>
              </w:rPr>
              <w:t>WANG Yanpeng</w:t>
            </w:r>
          </w:p>
        </w:tc>
        <w:tc>
          <w:tcPr>
            <w:tcW w:w="2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10</w:t>
            </w:r>
          </w:p>
        </w:tc>
        <w:tc>
          <w:tcPr>
            <w:tcW w:w="3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Borders>
              <w:right w:val="single" w:sz="8" w:color="auto"/>
            </w:tcBorders>
          </w:tcPr>
          <w:p>
            <w:pPr>
              <w:jc w:val="center"/>
              <w:ind w:right="377"/>
              <w:spacing w:after="0"/>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auto"/>
                <w:w w:val="94"/>
              </w:rPr>
              <w:t>HAN Wei</w:t>
            </w:r>
          </w:p>
        </w:tc>
        <w:tc>
          <w:tcPr>
            <w:tcW w:w="2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190</w:t>
            </w:r>
          </w:p>
        </w:tc>
        <w:tc>
          <w:tcPr>
            <w:tcW w:w="3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Borders>
              <w:right w:val="single" w:sz="8" w:color="auto"/>
            </w:tcBorders>
          </w:tcPr>
          <w:p>
            <w:pPr>
              <w:jc w:val="center"/>
              <w:ind w:right="377"/>
              <w:spacing w:after="0"/>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auto"/>
                <w:w w:val="89"/>
              </w:rPr>
              <w:t>Total</w:t>
            </w:r>
          </w:p>
        </w:tc>
        <w:tc>
          <w:tcPr>
            <w:tcW w:w="2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200</w:t>
            </w:r>
          </w:p>
        </w:tc>
        <w:tc>
          <w:tcPr>
            <w:tcW w:w="3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Borders>
              <w:right w:val="single" w:sz="8" w:color="auto"/>
            </w:tcBorders>
          </w:tcPr>
          <w:p>
            <w:pPr>
              <w:jc w:val="center"/>
              <w:ind w:right="377"/>
              <w:spacing w:after="0"/>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Annex III Power of Attorney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Wuhan Jiayan Online Education Techonology Co. (“</w:t>
      </w:r>
      <w:r>
        <w:rPr>
          <w:rFonts w:ascii="Arial" w:cs="Arial" w:eastAsia="Arial" w:hAnsi="Arial"/>
          <w:sz w:val="17"/>
          <w:szCs w:val="17"/>
          <w:b w:val="1"/>
          <w:bCs w:val="1"/>
          <w:color w:val="auto"/>
        </w:rPr>
        <w:t>Wuhan Jiayan</w:t>
      </w:r>
      <w:r>
        <w:rPr>
          <w:rFonts w:ascii="Arial" w:cs="Arial" w:eastAsia="Arial" w:hAnsi="Arial"/>
          <w:sz w:val="17"/>
          <w:szCs w:val="17"/>
          <w:color w:val="auto"/>
        </w:rPr>
        <w:t>”) of any specific obligations required by them as the shareholders of Wuhan Jiayan,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HAN Wei, WANG Yanpeng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28"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The Authorizers hereby irrevocably authorize to the maximum scope permitted by law Wuhan Studyvip Online Education Co., Limited ("</w:t>
      </w:r>
      <w:r>
        <w:rPr>
          <w:rFonts w:ascii="Arial" w:cs="Arial" w:eastAsia="Arial" w:hAnsi="Arial"/>
          <w:sz w:val="15"/>
          <w:szCs w:val="15"/>
          <w:b w:val="1"/>
          <w:bCs w:val="1"/>
          <w:color w:val="auto"/>
        </w:rPr>
        <w:t>WFOE</w:t>
      </w:r>
      <w:r>
        <w:rPr>
          <w:rFonts w:ascii="Arial" w:cs="Arial" w:eastAsia="Arial" w:hAnsi="Arial"/>
          <w:sz w:val="15"/>
          <w:szCs w:val="15"/>
          <w:color w:val="auto"/>
        </w:rPr>
        <w:t>") or its designated person or authorized representative (“</w:t>
      </w:r>
      <w:r>
        <w:rPr>
          <w:rFonts w:ascii="Arial" w:cs="Arial" w:eastAsia="Arial" w:hAnsi="Arial"/>
          <w:sz w:val="15"/>
          <w:szCs w:val="15"/>
          <w:b w:val="1"/>
          <w:bCs w:val="1"/>
          <w:color w:val="auto"/>
        </w:rPr>
        <w:t>Authorized Person</w:t>
      </w:r>
      <w:r>
        <w:rPr>
          <w:rFonts w:ascii="Arial" w:cs="Arial" w:eastAsia="Arial" w:hAnsi="Arial"/>
          <w:sz w:val="15"/>
          <w:szCs w:val="15"/>
          <w:color w:val="auto"/>
        </w:rPr>
        <w:t>”) to exercise all their shareholder rights corresponding to all voting shares (“</w:t>
      </w:r>
      <w:r>
        <w:rPr>
          <w:rFonts w:ascii="Arial" w:cs="Arial" w:eastAsia="Arial" w:hAnsi="Arial"/>
          <w:sz w:val="15"/>
          <w:szCs w:val="15"/>
          <w:b w:val="1"/>
          <w:bCs w:val="1"/>
          <w:color w:val="auto"/>
        </w:rPr>
        <w:t>Shares</w:t>
      </w:r>
      <w:r>
        <w:rPr>
          <w:rFonts w:ascii="Arial" w:cs="Arial" w:eastAsia="Arial" w:hAnsi="Arial"/>
          <w:sz w:val="15"/>
          <w:szCs w:val="15"/>
          <w:color w:val="auto"/>
        </w:rPr>
        <w:t>”) held by them in Wuhan Jiayan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 (3) exercise all shareholder rights enjoyed by the Authorizers according to the laws and the articles of association, including but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280670</wp:posOffset>
            </wp:positionV>
            <wp:extent cx="7184390" cy="412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37" w:name="page438"/>
    <w:bookmarkEnd w:id="437"/>
    <w:p>
      <w:pPr>
        <w:jc w:val="both"/>
        <w:ind w:right="60"/>
        <w:spacing w:after="0" w:line="254" w:lineRule="auto"/>
        <w:rPr>
          <w:sz w:val="20"/>
          <w:szCs w:val="20"/>
          <w:color w:val="auto"/>
        </w:rPr>
      </w:pPr>
      <w:r>
        <w:rPr>
          <w:rFonts w:ascii="Arial" w:cs="Arial" w:eastAsia="Arial" w:hAnsi="Arial"/>
          <w:sz w:val="17"/>
          <w:szCs w:val="17"/>
          <w:color w:val="auto"/>
        </w:rPr>
        <w:t>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Wuhan Jiayan at the meeting of shareholders of Wuhan Jiayan.</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the WFOE.</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Unless the Business Operation Agreement signed by Wuhan Jiayan,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the [ ], 2020.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HAN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HAN Wei</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WANG Yanpeng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WANG Yanpeng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Studyvip Online Education Co., Limited</w:t>
      </w:r>
    </w:p>
    <w:p>
      <w:pPr>
        <w:spacing w:after="0" w:line="20"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2540</wp:posOffset>
            </wp:positionV>
            <wp:extent cx="253111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0">
                      <a:extLst>
                        <a:ext uri="{28A0092B-C50C-407E-A947-70E740481C1C}"/>
                      </a:extLst>
                    </a:blip>
                    <a:srcRect/>
                    <a:stretch>
                      <a:fillRect/>
                    </a:stretch>
                  </pic:blipFill>
                  <pic:spPr bwMode="auto">
                    <a:xfrm>
                      <a:off x="0" y="0"/>
                      <a:ext cx="2531110"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LIU Tongbo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Position: Authorized Representative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IV Letter of Acceptance of Rights and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company , </w:t>
      </w:r>
      <w:r>
        <w:rPr>
          <w:rFonts w:ascii="Arial" w:cs="Arial" w:eastAsia="Arial" w:hAnsi="Arial"/>
          <w:sz w:val="15"/>
          <w:szCs w:val="15"/>
          <w:b w:val="1"/>
          <w:bCs w:val="1"/>
          <w:color w:val="auto"/>
        </w:rPr>
        <w:t>______, is a subsidiary of (hereinafter referred to as “______ ”) incorporated with on the____ day of_______ , and Wuhan Jiayan holds _____%</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 the shares/equity of _____% of the shares/equity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574675</wp:posOffset>
            </wp:positionV>
            <wp:extent cx="7184390" cy="412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38" w:name="page439"/>
    <w:bookmarkEnd w:id="438"/>
    <w:p>
      <w:pPr>
        <w:spacing w:after="0"/>
        <w:rPr>
          <w:sz w:val="20"/>
          <w:szCs w:val="20"/>
          <w:color w:val="auto"/>
        </w:rPr>
      </w:pPr>
      <w:r>
        <w:rPr>
          <w:rFonts w:ascii="Arial" w:cs="Arial" w:eastAsia="Arial" w:hAnsi="Arial"/>
          <w:sz w:val="15"/>
          <w:szCs w:val="15"/>
          <w:b w:val="1"/>
          <w:bCs w:val="1"/>
          <w:color w:val="auto"/>
        </w:rPr>
        <w:t>In accordance with the Exclusive Technical Consultation and Service Agreement (hereinafter referred to as “Agreement”) entered into by ______ Co., Limited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 other parties on the ______ day of______ , our company as a newly added “Party B’s Subsidiary” under the Agreement shall join the Agreement pursuant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Section 3.3 of the Agreement.</w:t>
      </w:r>
    </w:p>
    <w:p>
      <w:pPr>
        <w:spacing w:after="0" w:line="211"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200" w:lineRule="exact"/>
        <w:rPr>
          <w:sz w:val="20"/>
          <w:szCs w:val="20"/>
          <w:color w:val="auto"/>
        </w:rPr>
      </w:pPr>
    </w:p>
    <w:p>
      <w:pPr>
        <w:spacing w:after="0" w:line="312"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322" w:right="339" w:bottom="1440" w:gutter="0" w:footer="0" w:header="0"/>
        </w:sectPr>
      </w:pPr>
    </w:p>
    <w:bookmarkStart w:id="439" w:name="page440"/>
    <w:bookmarkEnd w:id="439"/>
    <w:p>
      <w:pPr>
        <w:jc w:val="right"/>
        <w:spacing w:after="0"/>
        <w:rPr>
          <w:sz w:val="20"/>
          <w:szCs w:val="20"/>
          <w:color w:val="auto"/>
        </w:rPr>
      </w:pPr>
      <w:r>
        <w:rPr>
          <w:rFonts w:ascii="Arial" w:cs="Arial" w:eastAsia="Arial" w:hAnsi="Arial"/>
          <w:sz w:val="17"/>
          <w:szCs w:val="17"/>
          <w:b w:val="1"/>
          <w:bCs w:val="1"/>
          <w:color w:val="auto"/>
        </w:rPr>
        <w:t>Exhibit 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3115"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Equity Interest Pledge Agreement</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Equity Interest Pledge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fifth day of August,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(hereinafter referred to as the “</w:t>
      </w:r>
      <w:r>
        <w:rPr>
          <w:rFonts w:ascii="Arial" w:cs="Arial" w:eastAsia="Arial" w:hAnsi="Arial"/>
          <w:sz w:val="17"/>
          <w:szCs w:val="17"/>
          <w:b w:val="1"/>
          <w:bCs w:val="1"/>
          <w:color w:val="auto"/>
        </w:rPr>
        <w:t>Pledgors</w:t>
      </w:r>
      <w:r>
        <w:rPr>
          <w:rFonts w:ascii="Arial" w:cs="Arial" w:eastAsia="Arial" w:hAnsi="Arial"/>
          <w:sz w:val="17"/>
          <w:szCs w:val="17"/>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HAN Wei</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WANG Yanpeng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As set out in Annex 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r>
        <w:rPr>
          <w:rFonts w:ascii="Arial" w:cs="Arial" w:eastAsia="Arial" w:hAnsi="Arial"/>
          <w:sz w:val="17"/>
          <w:szCs w:val="17"/>
          <w:color w:val="auto"/>
        </w:rPr>
        <w:t>: Wuhan Jiayan Online Education Technology Co.</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Wuhan East Lake New Technology Development Zone, Guanan Park, No. 1 Road 20, contemporary Huaxia Venture Center, Building 2, 3, Building 3, unit 3 floor, Room 02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HAN Wei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580" w:hanging="580"/>
        <w:spacing w:after="0"/>
        <w:tabs>
          <w:tab w:leader="none" w:pos="58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203" w:lineRule="exact"/>
        <w:rPr>
          <w:rFonts w:ascii="Arial" w:cs="Arial" w:eastAsia="Arial" w:hAnsi="Arial"/>
          <w:sz w:val="17"/>
          <w:szCs w:val="17"/>
          <w:color w:val="auto"/>
        </w:rPr>
      </w:pPr>
    </w:p>
    <w:p>
      <w:pPr>
        <w:ind w:left="580" w:hanging="580"/>
        <w:spacing w:after="0"/>
        <w:tabs>
          <w:tab w:leader="none" w:pos="58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Party C is a limited liability company legally incorporated and existing under the law of the PRC.</w:t>
      </w:r>
    </w:p>
    <w:p>
      <w:pPr>
        <w:spacing w:after="0" w:line="203" w:lineRule="exact"/>
        <w:rPr>
          <w:rFonts w:ascii="Arial" w:cs="Arial" w:eastAsia="Arial" w:hAnsi="Arial"/>
          <w:sz w:val="17"/>
          <w:szCs w:val="17"/>
          <w:color w:val="auto"/>
        </w:rPr>
      </w:pPr>
    </w:p>
    <w:p>
      <w:pPr>
        <w:ind w:left="580" w:hanging="580"/>
        <w:spacing w:after="0"/>
        <w:tabs>
          <w:tab w:leader="none" w:pos="58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The Pledgors as a whole holds one hundred (100) percent of the equity of Party C, with the shareholding structure be listed in Annex II hereto.</w:t>
      </w:r>
    </w:p>
    <w:p>
      <w:pPr>
        <w:spacing w:after="0" w:line="214" w:lineRule="exact"/>
        <w:rPr>
          <w:rFonts w:ascii="Arial" w:cs="Arial" w:eastAsia="Arial" w:hAnsi="Arial"/>
          <w:sz w:val="16"/>
          <w:szCs w:val="16"/>
          <w:color w:val="auto"/>
        </w:rPr>
      </w:pPr>
    </w:p>
    <w:p>
      <w:pPr>
        <w:ind w:left="580" w:hanging="580"/>
        <w:spacing w:after="0" w:line="264" w:lineRule="auto"/>
        <w:tabs>
          <w:tab w:leader="none" w:pos="58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Exclusive Technical Consultation and Service Agreement, the Business Operation Agreement and the Option Agreement were made as of the fifth day of August, 2020 by and among the Pledgee, the Pledgors and Party C.</w:t>
      </w:r>
    </w:p>
    <w:p>
      <w:pPr>
        <w:spacing w:after="0" w:line="167" w:lineRule="exact"/>
        <w:rPr>
          <w:rFonts w:ascii="Arial" w:cs="Arial" w:eastAsia="Arial" w:hAnsi="Arial"/>
          <w:sz w:val="17"/>
          <w:szCs w:val="17"/>
          <w:color w:val="auto"/>
        </w:rPr>
      </w:pPr>
    </w:p>
    <w:p>
      <w:pPr>
        <w:jc w:val="both"/>
        <w:ind w:left="580" w:hanging="580"/>
        <w:spacing w:after="0" w:line="254" w:lineRule="auto"/>
        <w:tabs>
          <w:tab w:leader="none" w:pos="58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For the purpose of guaranteeing the collection by the Pledgee from Party C the service costs under the Exclusive Technical Consultation and Service Agreement and guaranteeing the performance of Individual Agreements (defined below), the Pledgors jointly and severally use all of the equity they hold in Party C as the pledge security for such Agreement, and the Pledgee shall be Party A.</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7"/>
          <w:szCs w:val="17"/>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40" w:name="page441"/>
    <w:bookmarkEnd w:id="440"/>
    <w:p>
      <w:pPr>
        <w:ind w:left="580" w:hanging="580"/>
        <w:spacing w:after="0"/>
        <w:tabs>
          <w:tab w:leader="none" w:pos="580" w:val="left"/>
        </w:tabs>
        <w:numPr>
          <w:ilvl w:val="0"/>
          <w:numId w:val="486"/>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shall be interpreted as defined below unless otherwise provided herein:</w:t>
      </w:r>
    </w:p>
    <w:p>
      <w:pPr>
        <w:spacing w:after="0" w:line="19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3"/>
          <w:szCs w:val="13"/>
          <w:b w:val="1"/>
          <w:bCs w:val="1"/>
          <w:color w:val="auto"/>
        </w:rPr>
        <w:t xml:space="preserve">Pledge Right </w:t>
      </w:r>
      <w:r>
        <w:rPr>
          <w:rFonts w:ascii="Arial" w:cs="Arial" w:eastAsia="Arial" w:hAnsi="Arial"/>
          <w:sz w:val="13"/>
          <w:szCs w:val="13"/>
          <w:color w:val="auto"/>
        </w:rPr>
        <w:t>shall refer to all the contents as described in Section 2 below.</w:t>
      </w:r>
    </w:p>
    <w:p>
      <w:pPr>
        <w:spacing w:after="0" w:line="203" w:lineRule="exact"/>
        <w:rPr>
          <w:sz w:val="20"/>
          <w:szCs w:val="20"/>
          <w:color w:val="auto"/>
        </w:rPr>
      </w:pPr>
    </w:p>
    <w:p>
      <w:pPr>
        <w:ind w:left="1180" w:hanging="584"/>
        <w:spacing w:after="0" w:line="269" w:lineRule="auto"/>
        <w:tabs>
          <w:tab w:leader="none" w:pos="11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b w:val="1"/>
          <w:bCs w:val="1"/>
          <w:color w:val="auto"/>
        </w:rPr>
        <w:t xml:space="preserve">Equity </w:t>
      </w:r>
      <w:r>
        <w:rPr>
          <w:rFonts w:ascii="Arial" w:cs="Arial" w:eastAsia="Arial" w:hAnsi="Arial"/>
          <w:sz w:val="17"/>
          <w:szCs w:val="17"/>
          <w:color w:val="auto"/>
        </w:rPr>
        <w:t>shall refer to the one hundred (100) percent of the equity legally held by the Pledgors as a whole and any and all the current and future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and benefits arising out of the foregoing.</w:t>
      </w:r>
    </w:p>
    <w:p>
      <w:pPr>
        <w:spacing w:after="0" w:line="160" w:lineRule="exact"/>
        <w:rPr>
          <w:sz w:val="20"/>
          <w:szCs w:val="20"/>
          <w:color w:val="auto"/>
        </w:rPr>
      </w:pPr>
    </w:p>
    <w:p>
      <w:pPr>
        <w:ind w:left="1180" w:hanging="584"/>
        <w:spacing w:after="0" w:line="269" w:lineRule="auto"/>
        <w:tabs>
          <w:tab w:leader="none" w:pos="116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b w:val="1"/>
          <w:bCs w:val="1"/>
          <w:color w:val="auto"/>
        </w:rPr>
        <w:t xml:space="preserve">Individual Agreements </w:t>
      </w:r>
      <w:r>
        <w:rPr>
          <w:rFonts w:ascii="Arial" w:cs="Arial" w:eastAsia="Arial" w:hAnsi="Arial"/>
          <w:sz w:val="17"/>
          <w:szCs w:val="17"/>
          <w:color w:val="auto"/>
        </w:rPr>
        <w:t>shall refer to the Exclusive Technical Consultation and Service Agreement, the Business Operation Agreement and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made as of the fifth day of August, 2020 by and among the Pledgee, Party C and other parties.</w:t>
      </w:r>
    </w:p>
    <w:p>
      <w:pPr>
        <w:spacing w:after="0" w:line="160"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b w:val="1"/>
          <w:bCs w:val="1"/>
          <w:color w:val="auto"/>
        </w:rPr>
        <w:t xml:space="preserve">A Default Event </w:t>
      </w:r>
      <w:r>
        <w:rPr>
          <w:rFonts w:ascii="Arial" w:cs="Arial" w:eastAsia="Arial" w:hAnsi="Arial"/>
          <w:sz w:val="15"/>
          <w:szCs w:val="15"/>
          <w:color w:val="auto"/>
        </w:rPr>
        <w:t>shall refer to any of the circumstances described in Section 7 below.</w:t>
      </w:r>
    </w:p>
    <w:p>
      <w:pPr>
        <w:spacing w:after="0" w:line="20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b w:val="1"/>
          <w:bCs w:val="1"/>
          <w:color w:val="auto"/>
        </w:rPr>
        <w:t xml:space="preserve">Default Notice </w:t>
      </w:r>
      <w:r>
        <w:rPr>
          <w:rFonts w:ascii="Arial" w:cs="Arial" w:eastAsia="Arial" w:hAnsi="Arial"/>
          <w:sz w:val="15"/>
          <w:szCs w:val="15"/>
          <w:color w:val="auto"/>
        </w:rPr>
        <w:t>shall refer to a notice declaring a Default Event which is issued by a Pledgor pursuant to this Agreement.</w:t>
      </w:r>
    </w:p>
    <w:p>
      <w:pPr>
        <w:spacing w:after="0" w:line="203" w:lineRule="exact"/>
        <w:rPr>
          <w:sz w:val="20"/>
          <w:szCs w:val="20"/>
          <w:color w:val="auto"/>
        </w:rPr>
      </w:pPr>
    </w:p>
    <w:p>
      <w:pPr>
        <w:ind w:left="580" w:hanging="580"/>
        <w:spacing w:after="0"/>
        <w:tabs>
          <w:tab w:leader="none" w:pos="580" w:val="left"/>
        </w:tabs>
        <w:numPr>
          <w:ilvl w:val="0"/>
          <w:numId w:val="487"/>
        </w:numPr>
        <w:rPr>
          <w:rFonts w:ascii="Arial" w:cs="Arial" w:eastAsia="Arial" w:hAnsi="Arial"/>
          <w:sz w:val="17"/>
          <w:szCs w:val="17"/>
          <w:b w:val="1"/>
          <w:bCs w:val="1"/>
          <w:color w:val="auto"/>
        </w:rPr>
      </w:pPr>
      <w:r>
        <w:rPr>
          <w:rFonts w:ascii="Arial" w:cs="Arial" w:eastAsia="Arial" w:hAnsi="Arial"/>
          <w:sz w:val="17"/>
          <w:szCs w:val="17"/>
          <w:b w:val="1"/>
          <w:bCs w:val="1"/>
          <w:color w:val="auto"/>
        </w:rPr>
        <w:t>Pledge</w:t>
      </w:r>
    </w:p>
    <w:p>
      <w:pPr>
        <w:spacing w:after="0" w:line="207"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2.1The Pledgors pledge to the Pledgee as the security of the Pledgee’s rights and benefits under the Individual Agreements all the Equity owned by the Pledgors and the dividends which arise from the Equity during the effective term of this Agreement.</w:t>
      </w:r>
    </w:p>
    <w:p>
      <w:pPr>
        <w:spacing w:after="0" w:line="167" w:lineRule="exact"/>
        <w:rPr>
          <w:rFonts w:ascii="Arial" w:cs="Arial" w:eastAsia="Arial" w:hAnsi="Arial"/>
          <w:sz w:val="17"/>
          <w:szCs w:val="17"/>
          <w:b w:val="1"/>
          <w:bCs w:val="1"/>
          <w:color w:val="auto"/>
        </w:rPr>
      </w:pPr>
    </w:p>
    <w:p>
      <w:pPr>
        <w:ind w:left="1180" w:hanging="585"/>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2.2</w:t>
      </w:r>
      <w:r>
        <w:rPr>
          <w:rFonts w:ascii="Arial" w:cs="Arial" w:eastAsia="Arial" w:hAnsi="Arial"/>
          <w:sz w:val="16"/>
          <w:szCs w:val="16"/>
          <w:color w:val="auto"/>
        </w:rPr>
        <w:t>The scope guaranteed by the pledge of the Equity hereunder shall be all fees, costs and expenses (including legal costs) payable by Party C and/or the Pledgors, and the losses, interest, liquidated damages, compensation, the costs for realizing the claims, and the liability that Party C and/or the Pledgors shall bear in case of entire or partial invalidation of any of Individual Agreements for any reason.</w:t>
      </w:r>
    </w:p>
    <w:p>
      <w:pPr>
        <w:spacing w:after="0" w:line="157" w:lineRule="exact"/>
        <w:rPr>
          <w:rFonts w:ascii="Arial" w:cs="Arial" w:eastAsia="Arial" w:hAnsi="Arial"/>
          <w:sz w:val="17"/>
          <w:szCs w:val="17"/>
          <w:b w:val="1"/>
          <w:bCs w:val="1"/>
          <w:color w:val="auto"/>
        </w:rPr>
      </w:pPr>
    </w:p>
    <w:p>
      <w:pPr>
        <w:jc w:val="both"/>
        <w:ind w:left="580"/>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In case the competent industrial and commercial administration expressly requires a definite amount of the guaranteed claims during the handling of the Equity pledge registration process, the parties hereto agree, for the sole purpose of handling the Equity pledge registration, to register as the amount of the claims under the Individual Agreements CNY 5,000,000 and any and all breach-of-contract liability and damages under the related agreements. The parties further acknowledge that for the purpose of handling the Equity pledge registration, the foregoing amount shall not diminish or limit any rights or interest that Party A has under the Individual Agreements and this Equity Pledge Agreement.</w:t>
      </w:r>
    </w:p>
    <w:p>
      <w:pPr>
        <w:spacing w:after="0" w:line="181"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2.3The Pledge Rights hereunder shall refer to the rights for the Pledgee to be paid from in priority the money gained from the conversion into money, auction or sale of the Equity pledged by the Pledgors to the Pledgee.</w:t>
      </w:r>
    </w:p>
    <w:p>
      <w:pPr>
        <w:spacing w:after="0" w:line="167" w:lineRule="exact"/>
        <w:rPr>
          <w:rFonts w:ascii="Arial" w:cs="Arial" w:eastAsia="Arial" w:hAnsi="Arial"/>
          <w:sz w:val="17"/>
          <w:szCs w:val="17"/>
          <w:b w:val="1"/>
          <w:bCs w:val="1"/>
          <w:color w:val="auto"/>
        </w:rPr>
      </w:pPr>
    </w:p>
    <w:p>
      <w:pPr>
        <w:ind w:left="1180" w:hanging="585"/>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2.4</w:t>
      </w:r>
      <w:r>
        <w:rPr>
          <w:rFonts w:ascii="Arial" w:cs="Arial" w:eastAsia="Arial" w:hAnsi="Arial"/>
          <w:sz w:val="16"/>
          <w:szCs w:val="16"/>
          <w:color w:val="auto"/>
        </w:rPr>
        <w:t>After this Agreement takes effect, unless expressly agreed by the Pledgee in writing, the pledge hereunder may be relieved only after Party C and the Pledgors have properly and fully performed all of their obligations under the Individual Agreements and the performance thereof has been recognized by the Pledgee in writing. In case Party C or any of the Pledgors fails to fully perform any of its obligations under the Individual Agreements upon expiration of the period described thereunder, the Pledgors shall still has the Pledge Rights herein; and the pledge will be relieved until the foregoing obligations and liability have been fully performed to the Pledgee’s satisfaction.</w:t>
      </w:r>
    </w:p>
    <w:p>
      <w:pPr>
        <w:spacing w:after="0" w:line="160" w:lineRule="exact"/>
        <w:rPr>
          <w:rFonts w:ascii="Arial" w:cs="Arial" w:eastAsia="Arial" w:hAnsi="Arial"/>
          <w:sz w:val="17"/>
          <w:szCs w:val="17"/>
          <w:b w:val="1"/>
          <w:bCs w:val="1"/>
          <w:color w:val="auto"/>
        </w:rPr>
      </w:pPr>
    </w:p>
    <w:p>
      <w:pPr>
        <w:ind w:left="580" w:hanging="580"/>
        <w:spacing w:after="0"/>
        <w:tabs>
          <w:tab w:leader="none" w:pos="580" w:val="left"/>
        </w:tabs>
        <w:numPr>
          <w:ilvl w:val="0"/>
          <w:numId w:val="487"/>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207" w:lineRule="exact"/>
        <w:rPr>
          <w:sz w:val="20"/>
          <w:szCs w:val="20"/>
          <w:color w:val="auto"/>
        </w:rPr>
      </w:pPr>
    </w:p>
    <w:p>
      <w:pPr>
        <w:jc w:val="both"/>
        <w:ind w:left="580" w:hanging="585"/>
        <w:spacing w:after="0" w:line="254" w:lineRule="auto"/>
        <w:tabs>
          <w:tab w:leader="none" w:pos="5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This Agreement shall be formed and take effect as of the date of being signed and/or sealed by the parties hereto. The Pledge Rights hereunder shall be set up and take effect as of the date when the registration formalities regarding the Equity pledge have been completed at Party C’s competent industrial and commercial administration.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441" w:name="page442"/>
    <w:bookmarkEnd w:id="441"/>
    <w:p>
      <w:pPr>
        <w:jc w:val="both"/>
        <w:ind w:left="580" w:hanging="585"/>
        <w:spacing w:after="0" w:line="254" w:lineRule="auto"/>
        <w:tabs>
          <w:tab w:leader="none" w:pos="5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During the effective term of this Agreement, in case Party C fails to pay the service costs subject to the Exclusive Technical Consultation and Service Agreement or perform any other obligations thereunder, the Pledgee shall have the right to exercise the Pledge Rights hereunder after issuing a reasonable notice.</w:t>
      </w:r>
    </w:p>
    <w:p>
      <w:pPr>
        <w:spacing w:after="0" w:line="173" w:lineRule="exact"/>
        <w:rPr>
          <w:sz w:val="20"/>
          <w:szCs w:val="20"/>
          <w:color w:val="auto"/>
        </w:rPr>
      </w:pPr>
    </w:p>
    <w:p>
      <w:pPr>
        <w:ind w:left="580" w:hanging="580"/>
        <w:spacing w:after="0"/>
        <w:tabs>
          <w:tab w:leader="none" w:pos="580" w:val="left"/>
        </w:tabs>
        <w:numPr>
          <w:ilvl w:val="0"/>
          <w:numId w:val="488"/>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and Custody of the Pledge Rights Receipts; Registration of Pledge Rights</w:t>
      </w:r>
    </w:p>
    <w:p>
      <w:pPr>
        <w:spacing w:after="0" w:line="207" w:lineRule="exact"/>
        <w:rPr>
          <w:rFonts w:ascii="Arial" w:cs="Arial" w:eastAsia="Arial" w:hAnsi="Arial"/>
          <w:sz w:val="17"/>
          <w:szCs w:val="17"/>
          <w:b w:val="1"/>
          <w:bCs w:val="1"/>
          <w:color w:val="auto"/>
        </w:rPr>
      </w:pPr>
    </w:p>
    <w:p>
      <w:pPr>
        <w:ind w:left="1180" w:hanging="585"/>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4.1</w:t>
      </w:r>
      <w:r>
        <w:rPr>
          <w:rFonts w:ascii="Arial" w:cs="Arial" w:eastAsia="Arial" w:hAnsi="Arial"/>
          <w:sz w:val="16"/>
          <w:szCs w:val="16"/>
          <w:color w:val="auto"/>
        </w:rPr>
        <w:t>The Pledgors shall, within Ten (10) business days after the execution of this Agreement or any other date mutually negotiated and fixed by the Parties hereto, deliver to the Pledgee the Equity Contribution Certificate (Original) for the pledge’s custody, submit to the Pledgee the certification that the pledge hereunder has been properly registered in Party C’s Shareholders’ Register, and handle any and all examinations and approvals and registration and filing formalities (including but not limited to, handling the Equity pledge registration formalities at Party C’s competent industrial and commercial administration subject to the laws of China) required by the laws and regulations of China.</w:t>
      </w:r>
    </w:p>
    <w:p>
      <w:pPr>
        <w:spacing w:after="0" w:line="164" w:lineRule="exact"/>
        <w:rPr>
          <w:rFonts w:ascii="Arial" w:cs="Arial" w:eastAsia="Arial" w:hAnsi="Arial"/>
          <w:sz w:val="17"/>
          <w:szCs w:val="17"/>
          <w:b w:val="1"/>
          <w:bCs w:val="1"/>
          <w:color w:val="auto"/>
        </w:rPr>
      </w:pPr>
    </w:p>
    <w:p>
      <w:pPr>
        <w:ind w:left="1180" w:hanging="585"/>
        <w:spacing w:after="0" w:line="304" w:lineRule="auto"/>
        <w:rPr>
          <w:rFonts w:ascii="Arial" w:cs="Arial" w:eastAsia="Arial" w:hAnsi="Arial"/>
          <w:sz w:val="17"/>
          <w:szCs w:val="17"/>
          <w:b w:val="1"/>
          <w:bCs w:val="1"/>
          <w:color w:val="auto"/>
        </w:rPr>
      </w:pPr>
      <w:r>
        <w:rPr>
          <w:rFonts w:ascii="Arial" w:cs="Arial" w:eastAsia="Arial" w:hAnsi="Arial"/>
          <w:sz w:val="17"/>
          <w:szCs w:val="17"/>
          <w:color w:val="auto"/>
        </w:rPr>
        <w:t>4.2</w:t>
      </w:r>
      <w:r>
        <w:rPr>
          <w:rFonts w:ascii="Arial" w:cs="Arial" w:eastAsia="Arial" w:hAnsi="Arial"/>
          <w:sz w:val="15"/>
          <w:szCs w:val="15"/>
          <w:color w:val="auto"/>
        </w:rPr>
        <w:t>In case of any change of particulars and the registration needs to be legally changed accordingly, the Pledgee and the Pledgors shall, within Five (5) business days as of the date of change of particulars, carry out the change of registration accordingly, submit the applicable change of registration documents and handle the applicable change registration formalities at Party C’s competent industrial and commercial administration.</w:t>
      </w:r>
    </w:p>
    <w:p>
      <w:pPr>
        <w:spacing w:after="0" w:line="141" w:lineRule="exact"/>
        <w:rPr>
          <w:rFonts w:ascii="Arial" w:cs="Arial" w:eastAsia="Arial" w:hAnsi="Arial"/>
          <w:sz w:val="17"/>
          <w:szCs w:val="17"/>
          <w:b w:val="1"/>
          <w:bCs w:val="1"/>
          <w:color w:val="auto"/>
        </w:rPr>
      </w:pPr>
    </w:p>
    <w:p>
      <w:pPr>
        <w:ind w:left="1180" w:hanging="585"/>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4.3</w:t>
      </w:r>
      <w:r>
        <w:rPr>
          <w:rFonts w:ascii="Arial" w:cs="Arial" w:eastAsia="Arial" w:hAnsi="Arial"/>
          <w:sz w:val="16"/>
          <w:szCs w:val="16"/>
          <w:color w:val="auto"/>
        </w:rPr>
        <w:t>During the Equity pledge period, the Pledgors shall instruct Party C not to distribute any dividend or bonus or approve any profit distribution program; or in case the Pledgors shall obtain any economic interest of any nature from the pledged Equity other than dividend or bonus or any other profit distribution program, the Pledgors shall remit, as required and instructed by the Pledgee, to the banking account specified by the Pledgee the applicable (realized) amount, which shall not be used by the Pledgors without the Pledgee’s prior written consent.</w:t>
      </w:r>
    </w:p>
    <w:p>
      <w:pPr>
        <w:spacing w:after="0" w:line="162" w:lineRule="exact"/>
        <w:rPr>
          <w:rFonts w:ascii="Arial" w:cs="Arial" w:eastAsia="Arial" w:hAnsi="Arial"/>
          <w:sz w:val="17"/>
          <w:szCs w:val="17"/>
          <w:b w:val="1"/>
          <w:bCs w:val="1"/>
          <w:color w:val="auto"/>
        </w:rPr>
      </w:pPr>
    </w:p>
    <w:p>
      <w:pPr>
        <w:ind w:left="1180" w:hanging="585"/>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4.4During the Equity pledge period, in case the any of the Pledgors subscribe for or purchase any of Party C’s new registered capital or any of Party C’s Equity held by any other Pledgor (the “</w:t>
      </w:r>
      <w:r>
        <w:rPr>
          <w:rFonts w:ascii="Arial" w:cs="Arial" w:eastAsia="Arial" w:hAnsi="Arial"/>
          <w:sz w:val="17"/>
          <w:szCs w:val="17"/>
          <w:b w:val="1"/>
          <w:bCs w:val="1"/>
          <w:color w:val="auto"/>
        </w:rPr>
        <w:t>New Equity</w:t>
      </w:r>
      <w:r>
        <w:rPr>
          <w:rFonts w:ascii="Arial" w:cs="Arial" w:eastAsia="Arial" w:hAnsi="Arial"/>
          <w:sz w:val="17"/>
          <w:szCs w:val="17"/>
          <w:color w:val="auto"/>
        </w:rPr>
        <w:t>”), the New Equity will then automatically form part of the pledged Equity hereunder, and such Pledgor shall complete any and all formalities regarding the pledge of the New Equity within Ten (10) business days following its acquisition of the New Equity. In case the Pledgor fails to complete the applicable formalities as required in the preceding sentence, the Pledgee may promptly have the Pledge Rights realized pursuant to Section 8 below.</w:t>
      </w:r>
    </w:p>
    <w:p>
      <w:pPr>
        <w:spacing w:after="0" w:line="177" w:lineRule="exact"/>
        <w:rPr>
          <w:rFonts w:ascii="Arial" w:cs="Arial" w:eastAsia="Arial" w:hAnsi="Arial"/>
          <w:sz w:val="17"/>
          <w:szCs w:val="17"/>
          <w:b w:val="1"/>
          <w:bCs w:val="1"/>
          <w:color w:val="auto"/>
        </w:rPr>
      </w:pPr>
    </w:p>
    <w:p>
      <w:pPr>
        <w:ind w:left="580" w:hanging="580"/>
        <w:spacing w:after="0"/>
        <w:tabs>
          <w:tab w:leader="none" w:pos="580" w:val="left"/>
        </w:tabs>
        <w:numPr>
          <w:ilvl w:val="0"/>
          <w:numId w:val="488"/>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Pledgors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Upon the execution of this Agreement, the Pledgors make to the Pledgee the following representations and warranties and confirm that this Agreement is signed and performed by the Pledgee by them in reliance of such representations and warranties:</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The Pledgors lawfully hold the Equity hereunder and have the right to use such Equity to provide pledge security to the Pledgee.</w:t>
      </w:r>
    </w:p>
    <w:p>
      <w:pPr>
        <w:spacing w:after="0" w:line="203" w:lineRule="exact"/>
        <w:rPr>
          <w:sz w:val="20"/>
          <w:szCs w:val="20"/>
          <w:color w:val="auto"/>
        </w:rPr>
      </w:pPr>
    </w:p>
    <w:p>
      <w:pPr>
        <w:jc w:val="both"/>
        <w:ind w:left="1180" w:hanging="584"/>
        <w:spacing w:after="0" w:line="254" w:lineRule="auto"/>
        <w:tabs>
          <w:tab w:leader="none" w:pos="11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After this Agreement is executed, during the period when the Pledgee has the Pledge Rights subject to Section 2.4 above, when the Pledgee exercises, at any time, its rights or has the Pledge Rights realized pursuant to this Agreement, there shall be no lawful claim or proper intervention from or by any third party.</w:t>
      </w:r>
    </w:p>
    <w:p>
      <w:pPr>
        <w:spacing w:after="0" w:line="17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3"/>
          <w:szCs w:val="13"/>
          <w:color w:val="auto"/>
        </w:rPr>
        <w:t>The Pledgee shall have the right to exercise the Pledge Rights as per the method described herein or otherwise permitted by the laws and regulations.</w:t>
      </w:r>
    </w:p>
    <w:p>
      <w:pPr>
        <w:spacing w:after="0" w:line="203" w:lineRule="exact"/>
        <w:rPr>
          <w:sz w:val="20"/>
          <w:szCs w:val="20"/>
          <w:color w:val="auto"/>
        </w:rPr>
      </w:pPr>
    </w:p>
    <w:p>
      <w:pPr>
        <w:jc w:val="both"/>
        <w:ind w:left="1180" w:hanging="584"/>
        <w:spacing w:after="0" w:line="254" w:lineRule="auto"/>
        <w:tabs>
          <w:tab w:leader="none" w:pos="116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color w:val="auto"/>
        </w:rPr>
        <w:t>The Pledgors have obtained all necessary corporate authorization to sign this Agreement and perform its obligations hereunder, which does not violate any provisions of any applicable laws and regulations. The authorized representative signatories of this Agreement have obtained legal and effective authorization.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442" w:name="page443"/>
    <w:bookmarkEnd w:id="442"/>
    <w:p>
      <w:pPr>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There is no encumbrance or security interest of any nature for any third person (including but not limited to pledge) except for the pledge hereunder in connection with the Equity held by the Pledgors.</w:t>
      </w:r>
    </w:p>
    <w:p>
      <w:pPr>
        <w:spacing w:after="0" w:line="168" w:lineRule="exact"/>
        <w:rPr>
          <w:sz w:val="20"/>
          <w:szCs w:val="20"/>
          <w:color w:val="auto"/>
        </w:rPr>
      </w:pPr>
    </w:p>
    <w:p>
      <w:pPr>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color w:val="auto"/>
        </w:rPr>
        <w:t>There are no pending or threatened civil, administrative or criminal proceedings, administrative punishment or arbitration in connection with the Equity.</w:t>
      </w:r>
    </w:p>
    <w:p>
      <w:pPr>
        <w:spacing w:after="0" w:line="168" w:lineRule="exact"/>
        <w:rPr>
          <w:sz w:val="20"/>
          <w:szCs w:val="20"/>
          <w:color w:val="auto"/>
        </w:rPr>
      </w:pPr>
    </w:p>
    <w:p>
      <w:pPr>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7"/>
          <w:szCs w:val="17"/>
          <w:color w:val="auto"/>
        </w:rPr>
        <w:t>There are no tax or fee due but unpaid, or legal procedures or formalities that should have been completed but have not been completed, in connection with the Equity.</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5"/>
          <w:szCs w:val="15"/>
          <w:color w:val="auto"/>
        </w:rPr>
        <w:t>Any and all provisions hereof are the expression of the Pledgors’ true intention and are binding upon the Pledgors.</w:t>
      </w:r>
    </w:p>
    <w:p>
      <w:pPr>
        <w:spacing w:after="0" w:line="199" w:lineRule="exact"/>
        <w:rPr>
          <w:sz w:val="20"/>
          <w:szCs w:val="20"/>
          <w:color w:val="auto"/>
        </w:rPr>
      </w:pPr>
    </w:p>
    <w:p>
      <w:pPr>
        <w:ind w:left="580" w:hanging="580"/>
        <w:spacing w:after="0"/>
        <w:tabs>
          <w:tab w:leader="none" w:pos="580" w:val="left"/>
        </w:tabs>
        <w:numPr>
          <w:ilvl w:val="0"/>
          <w:numId w:val="489"/>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 of the Pledgors</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6.1</w:t>
      </w:r>
      <w:r>
        <w:rPr>
          <w:rFonts w:ascii="Arial" w:cs="Arial" w:eastAsia="Arial" w:hAnsi="Arial"/>
          <w:sz w:val="13"/>
          <w:szCs w:val="13"/>
          <w:color w:val="auto"/>
        </w:rPr>
        <w:t>During the effective term of this Agreement, the Pledgors undertake to the Pledgee that the Pledgors:</w:t>
      </w:r>
    </w:p>
    <w:p>
      <w:pPr>
        <w:spacing w:after="0" w:line="203" w:lineRule="exact"/>
        <w:rPr>
          <w:sz w:val="20"/>
          <w:szCs w:val="20"/>
          <w:color w:val="auto"/>
        </w:rPr>
      </w:pPr>
    </w:p>
    <w:p>
      <w:pPr>
        <w:jc w:val="both"/>
        <w:ind w:left="1760" w:hanging="584"/>
        <w:spacing w:after="0" w:line="269" w:lineRule="auto"/>
        <w:tabs>
          <w:tab w:leader="none" w:pos="174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6"/>
          <w:szCs w:val="16"/>
          <w:color w:val="auto"/>
        </w:rPr>
        <w:t>Except for the transfer of the Equity to the Pledgee or any other person specified by the Pledgee as required by the Pledgee, prior to the full performance of their obligations thereunder, without the Pledgee’s prior written consent, will not transfer the Equity or create, or permit, any pledge or any other encumbrance that may affect the Pledgee’s rights or interest or any third-person security interest of any form. Without the Pledgee’s prior written consent, the Pledgors shall not take any action which will or may result in change to the Equity or any rights incidental to the Equity, which will or may then result in substantially adverse effects upon the Pledgee’s rights.</w:t>
      </w:r>
    </w:p>
    <w:p>
      <w:pPr>
        <w:spacing w:after="0" w:line="165" w:lineRule="exact"/>
        <w:rPr>
          <w:sz w:val="20"/>
          <w:szCs w:val="20"/>
          <w:color w:val="auto"/>
        </w:rPr>
      </w:pPr>
    </w:p>
    <w:p>
      <w:pPr>
        <w:jc w:val="both"/>
        <w:ind w:left="1760" w:hanging="584"/>
        <w:spacing w:after="0" w:line="278" w:lineRule="auto"/>
        <w:tabs>
          <w:tab w:leader="none" w:pos="174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6"/>
          <w:szCs w:val="16"/>
          <w:color w:val="auto"/>
        </w:rPr>
        <w:t>Comply with and implement the provisions of all applicable laws and regulations, and within Five (5) business days upon receipt of any notice, order or suggestion issued or prepared by the relevant competent authority in connection with the Pledge Rights, produce to the Pledgee such notice, order or suggestion and take action as reasonably instructed by the Pledgee.</w:t>
      </w:r>
    </w:p>
    <w:p>
      <w:pPr>
        <w:spacing w:after="0" w:line="158" w:lineRule="exact"/>
        <w:rPr>
          <w:sz w:val="20"/>
          <w:szCs w:val="20"/>
          <w:color w:val="auto"/>
        </w:rPr>
      </w:pPr>
    </w:p>
    <w:p>
      <w:pPr>
        <w:jc w:val="both"/>
        <w:ind w:left="1760" w:hanging="584"/>
        <w:spacing w:after="0" w:line="254" w:lineRule="auto"/>
        <w:tabs>
          <w:tab w:leader="none" w:pos="174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7"/>
          <w:szCs w:val="17"/>
          <w:color w:val="auto"/>
        </w:rPr>
        <w:t>Timely notify the Pledgee any event or notice received that may affect the Pledgors’ Equity or other rights hereunder, any event or notice received that may affect any of the Pledgors’ obligations hereunder or affect the Pledgors’ performance of any of their obligations hereunder, and take action as reasonably instructed by the Pledgee.</w:t>
      </w:r>
    </w:p>
    <w:p>
      <w:pPr>
        <w:spacing w:after="0" w:line="177" w:lineRule="exact"/>
        <w:rPr>
          <w:sz w:val="20"/>
          <w:szCs w:val="20"/>
          <w:color w:val="auto"/>
        </w:rPr>
      </w:pPr>
    </w:p>
    <w:p>
      <w:pPr>
        <w:jc w:val="both"/>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The Pledgors agree that they will procure that the exercise by the Pledgee of any of its rights pursuant to the provisions of this Agreement will not be interrupted or prevented by the Pledgors or their successors or assignees or any other persons.</w:t>
      </w:r>
    </w:p>
    <w:p>
      <w:pPr>
        <w:spacing w:after="0" w:line="168" w:lineRule="exact"/>
        <w:rPr>
          <w:sz w:val="20"/>
          <w:szCs w:val="20"/>
          <w:color w:val="auto"/>
        </w:rPr>
      </w:pPr>
    </w:p>
    <w:p>
      <w:pPr>
        <w:jc w:val="both"/>
        <w:ind w:left="1180" w:hanging="584"/>
        <w:spacing w:after="0" w:line="288" w:lineRule="auto"/>
        <w:tabs>
          <w:tab w:leader="none" w:pos="11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The Pledgors warrant to the Pledgee that for the purpose of protecting or perfecting the security of the Pledgors and/or Party C’s obligations under the Individual Agreements, the Pledgors will make all necessary amendments to Party C’s Articles of Association (if applicable), honestly sign, and procure any other persons who has interest in Pledge Rights to sign all title or right certificates and deeds as requested by the Pledgee, and/or perform, and procure any other persons who has interest therein to perform, the acts as reasonably requested by the Pledgee, facilitate the exercise by the Pledgee of the Pledge Rights, sign all documents related to the Equity certificate change with the Pledgee or any third party appointed by the Pledgee, and provide to the Pledgee within a reasonable period all the documents related to the Pledge Rights as needed by the Pledgee.</w:t>
      </w:r>
    </w:p>
    <w:p>
      <w:pPr>
        <w:spacing w:after="0" w:line="153" w:lineRule="exact"/>
        <w:rPr>
          <w:sz w:val="20"/>
          <w:szCs w:val="20"/>
          <w:color w:val="auto"/>
        </w:rPr>
      </w:pPr>
    </w:p>
    <w:p>
      <w:pPr>
        <w:jc w:val="both"/>
        <w:ind w:left="1180" w:hanging="584"/>
        <w:spacing w:after="0" w:line="278" w:lineRule="auto"/>
        <w:tabs>
          <w:tab w:leader="none" w:pos="116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6"/>
          <w:szCs w:val="16"/>
          <w:color w:val="auto"/>
        </w:rPr>
        <w:t>The Pledgors warrant to the Pledgee that for the protection of the Pledgee’s interest, the Pledgors will comply with and perform all warranties, undertaking, covenants and representations. In case the Pledgors fail to perform, or partially perform, their warranties, undertaking, covenants or representations, the Pledgors shall indemnify all the loss suffered by the Pledgee arising out thereof or in connection therewith.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443" w:name="page444"/>
    <w:bookmarkEnd w:id="443"/>
    <w:p>
      <w:pPr>
        <w:ind w:left="580" w:hanging="580"/>
        <w:spacing w:after="0"/>
        <w:tabs>
          <w:tab w:leader="none" w:pos="580" w:val="left"/>
        </w:tabs>
        <w:numPr>
          <w:ilvl w:val="0"/>
          <w:numId w:val="490"/>
        </w:numPr>
        <w:rPr>
          <w:rFonts w:ascii="Arial" w:cs="Arial" w:eastAsia="Arial" w:hAnsi="Arial"/>
          <w:sz w:val="17"/>
          <w:szCs w:val="17"/>
          <w:b w:val="1"/>
          <w:bCs w:val="1"/>
          <w:color w:val="auto"/>
        </w:rPr>
      </w:pPr>
      <w:r>
        <w:rPr>
          <w:rFonts w:ascii="Arial" w:cs="Arial" w:eastAsia="Arial" w:hAnsi="Arial"/>
          <w:sz w:val="17"/>
          <w:szCs w:val="17"/>
          <w:b w:val="1"/>
          <w:bCs w:val="1"/>
          <w:color w:val="auto"/>
        </w:rPr>
        <w:t>Default Event</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7.1</w:t>
      </w:r>
      <w:r>
        <w:rPr>
          <w:rFonts w:ascii="Arial" w:cs="Arial" w:eastAsia="Arial" w:hAnsi="Arial"/>
          <w:sz w:val="15"/>
          <w:szCs w:val="15"/>
          <w:color w:val="auto"/>
        </w:rPr>
        <w:t>Any of the following events will be deemed to be a Default Event:</w:t>
      </w:r>
    </w:p>
    <w:p>
      <w:pPr>
        <w:spacing w:after="0" w:line="203" w:lineRule="exact"/>
        <w:rPr>
          <w:sz w:val="20"/>
          <w:szCs w:val="20"/>
          <w:color w:val="auto"/>
        </w:rPr>
      </w:pPr>
    </w:p>
    <w:p>
      <w:pPr>
        <w:jc w:val="both"/>
        <w:ind w:left="1760" w:hanging="584"/>
        <w:spacing w:after="0" w:line="296" w:lineRule="auto"/>
        <w:tabs>
          <w:tab w:leader="none" w:pos="174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6"/>
          <w:szCs w:val="16"/>
          <w:color w:val="auto"/>
        </w:rPr>
        <w:t>Party C or any of its successors or assignees fails to fully pay on schedule any amounts payable under the Individual Agreements, or the Pledgors or their successors or assignees fail to perform any of their obligations under the Individual Agreements.</w:t>
      </w:r>
    </w:p>
    <w:p>
      <w:pPr>
        <w:spacing w:after="0" w:line="144" w:lineRule="exact"/>
        <w:rPr>
          <w:sz w:val="20"/>
          <w:szCs w:val="20"/>
          <w:color w:val="auto"/>
        </w:rPr>
      </w:pPr>
    </w:p>
    <w:p>
      <w:pPr>
        <w:jc w:val="both"/>
        <w:ind w:left="1760" w:hanging="584"/>
        <w:spacing w:after="0" w:line="296" w:lineRule="auto"/>
        <w:tabs>
          <w:tab w:leader="none" w:pos="174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6"/>
          <w:szCs w:val="16"/>
          <w:color w:val="auto"/>
        </w:rPr>
        <w:t>Any representation, warranty or undertaking made by the Pledgors under Section 5 or 6 above is substantially misleading or incorrect, and/or the Pledgors violates any representation, warranty or undertaking made by the Pledgors under Section 5 or 6 above.</w:t>
      </w:r>
    </w:p>
    <w:p>
      <w:pPr>
        <w:spacing w:after="0" w:line="144"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5"/>
          <w:szCs w:val="15"/>
          <w:color w:val="auto"/>
        </w:rPr>
        <w:t>The Pledgors or Party C violates any provision of this Agreement.</w:t>
      </w:r>
    </w:p>
    <w:p>
      <w:pPr>
        <w:spacing w:after="0" w:line="203"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7.1.4</w:t>
      </w:r>
      <w:r>
        <w:rPr>
          <w:sz w:val="20"/>
          <w:szCs w:val="20"/>
          <w:color w:val="auto"/>
        </w:rPr>
        <w:tab/>
      </w:r>
      <w:r>
        <w:rPr>
          <w:rFonts w:ascii="Arial" w:cs="Arial" w:eastAsia="Arial" w:hAnsi="Arial"/>
          <w:sz w:val="17"/>
          <w:szCs w:val="17"/>
          <w:color w:val="auto"/>
        </w:rPr>
        <w:t>Except as otherwise agreed in Section 6.1.1 above, the Pledgors transfer or otherwise dispose the pledged Equity without the Pledgee’s written consent.</w:t>
      </w:r>
    </w:p>
    <w:p>
      <w:pPr>
        <w:spacing w:after="0" w:line="168" w:lineRule="exact"/>
        <w:rPr>
          <w:sz w:val="20"/>
          <w:szCs w:val="20"/>
          <w:color w:val="auto"/>
        </w:rPr>
      </w:pPr>
    </w:p>
    <w:p>
      <w:pPr>
        <w:jc w:val="both"/>
        <w:ind w:left="1760" w:hanging="584"/>
        <w:spacing w:after="0" w:line="254" w:lineRule="auto"/>
        <w:tabs>
          <w:tab w:leader="none" w:pos="1740" w:val="left"/>
        </w:tabs>
        <w:rPr>
          <w:sz w:val="20"/>
          <w:szCs w:val="20"/>
          <w:color w:val="auto"/>
        </w:rPr>
      </w:pPr>
      <w:r>
        <w:rPr>
          <w:rFonts w:ascii="Arial" w:cs="Arial" w:eastAsia="Arial" w:hAnsi="Arial"/>
          <w:sz w:val="17"/>
          <w:szCs w:val="17"/>
          <w:color w:val="auto"/>
        </w:rPr>
        <w:t>7.1.5</w:t>
      </w:r>
      <w:r>
        <w:rPr>
          <w:sz w:val="20"/>
          <w:szCs w:val="20"/>
          <w:color w:val="auto"/>
        </w:rPr>
        <w:tab/>
      </w:r>
      <w:r>
        <w:rPr>
          <w:rFonts w:ascii="Arial" w:cs="Arial" w:eastAsia="Arial" w:hAnsi="Arial"/>
          <w:sz w:val="17"/>
          <w:szCs w:val="17"/>
          <w:color w:val="auto"/>
        </w:rPr>
        <w:t>Any of the Pledgors’ external borrowings, security, compensation, undertaking or other debt or liability shall be repaid or performed in advance or is due but cannot be repaid or performed on schedule, which makes the Pledgee reasonably believe that the Pledgors’ ability to perform any of their obligations is affected, which further affect the Pledgee’s interest.</w:t>
      </w:r>
    </w:p>
    <w:p>
      <w:pPr>
        <w:spacing w:after="0" w:line="177"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7.1.6</w:t>
      </w:r>
      <w:r>
        <w:rPr>
          <w:sz w:val="20"/>
          <w:szCs w:val="20"/>
          <w:color w:val="auto"/>
        </w:rPr>
        <w:tab/>
      </w:r>
      <w:r>
        <w:rPr>
          <w:rFonts w:ascii="Arial" w:cs="Arial" w:eastAsia="Arial" w:hAnsi="Arial"/>
          <w:sz w:val="13"/>
          <w:szCs w:val="13"/>
          <w:color w:val="auto"/>
        </w:rPr>
        <w:t>The Pledgors cannot perform any of their general debt or other debt, which further affects the Pledgee’s interest.</w:t>
      </w:r>
    </w:p>
    <w:p>
      <w:pPr>
        <w:spacing w:after="0" w:line="203"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7.1.7</w:t>
      </w:r>
      <w:r>
        <w:rPr>
          <w:sz w:val="20"/>
          <w:szCs w:val="20"/>
          <w:color w:val="auto"/>
        </w:rPr>
        <w:tab/>
      </w:r>
      <w:r>
        <w:rPr>
          <w:rFonts w:ascii="Arial" w:cs="Arial" w:eastAsia="Arial" w:hAnsi="Arial"/>
          <w:sz w:val="17"/>
          <w:szCs w:val="17"/>
          <w:color w:val="auto"/>
        </w:rPr>
        <w:t>The promulgation of any law results in invalidation of this Agreement or inability of the Pledgors to continuously perform any of their obligations hereunder.</w:t>
      </w:r>
    </w:p>
    <w:p>
      <w:pPr>
        <w:spacing w:after="0" w:line="168"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7.1.8</w:t>
      </w:r>
      <w:r>
        <w:rPr>
          <w:sz w:val="20"/>
          <w:szCs w:val="20"/>
          <w:color w:val="auto"/>
        </w:rPr>
        <w:tab/>
      </w:r>
      <w:r>
        <w:rPr>
          <w:rFonts w:ascii="Arial" w:cs="Arial" w:eastAsia="Arial" w:hAnsi="Arial"/>
          <w:sz w:val="17"/>
          <w:szCs w:val="17"/>
          <w:color w:val="auto"/>
        </w:rPr>
        <w:t>The consent, permit, approval or authorization of any governmental department necessary to legalize, validate or enforce this Agreement is withdrawn, suspended, invalidated or substantially amended.</w:t>
      </w:r>
    </w:p>
    <w:p>
      <w:pPr>
        <w:spacing w:after="0" w:line="168"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7.1.9</w:t>
      </w:r>
      <w:r>
        <w:rPr>
          <w:sz w:val="20"/>
          <w:szCs w:val="20"/>
          <w:color w:val="auto"/>
        </w:rPr>
        <w:tab/>
      </w:r>
      <w:r>
        <w:rPr>
          <w:rFonts w:ascii="Arial" w:cs="Arial" w:eastAsia="Arial" w:hAnsi="Arial"/>
          <w:sz w:val="17"/>
          <w:szCs w:val="17"/>
          <w:color w:val="auto"/>
        </w:rPr>
        <w:t>There occurs any adverse change to any of the assets owned by the Pledgors, which makes the Pledgee believe that the Pledgors’ ability to perform any of their obligations is affected.</w:t>
      </w:r>
    </w:p>
    <w:p>
      <w:pPr>
        <w:spacing w:after="0" w:line="168"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7"/>
          <w:szCs w:val="17"/>
          <w:color w:val="auto"/>
        </w:rPr>
        <w:t>7.1.10</w:t>
      </w:r>
      <w:r>
        <w:rPr>
          <w:sz w:val="20"/>
          <w:szCs w:val="20"/>
          <w:color w:val="auto"/>
        </w:rPr>
        <w:tab/>
      </w:r>
      <w:r>
        <w:rPr>
          <w:rFonts w:ascii="Arial" w:cs="Arial" w:eastAsia="Arial" w:hAnsi="Arial"/>
          <w:sz w:val="13"/>
          <w:szCs w:val="13"/>
          <w:color w:val="auto"/>
        </w:rPr>
        <w:t>Any other event that the Pledgee cannot exercise or otherwise dispose of the Pledge Rights under the applicable laws.</w:t>
      </w:r>
    </w:p>
    <w:p>
      <w:pPr>
        <w:spacing w:after="0" w:line="203" w:lineRule="exact"/>
        <w:rPr>
          <w:sz w:val="20"/>
          <w:szCs w:val="20"/>
          <w:color w:val="auto"/>
        </w:rPr>
      </w:pPr>
    </w:p>
    <w:p>
      <w:pPr>
        <w:jc w:val="both"/>
        <w:ind w:left="1760" w:hanging="584"/>
        <w:spacing w:after="0" w:line="264" w:lineRule="auto"/>
        <w:tabs>
          <w:tab w:leader="none" w:pos="174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The Pledgors and/or Party C shall immediately notify the Pledgee in writing any of the events described in Section 7.1 above or the occurrence or potential occurrence thereof the Pledgors and/or Party C becomes aware of or discovers.</w:t>
      </w:r>
    </w:p>
    <w:p>
      <w:pPr>
        <w:spacing w:after="0" w:line="168" w:lineRule="exact"/>
        <w:rPr>
          <w:sz w:val="20"/>
          <w:szCs w:val="20"/>
          <w:color w:val="auto"/>
        </w:rPr>
      </w:pPr>
    </w:p>
    <w:p>
      <w:pPr>
        <w:jc w:val="both"/>
        <w:ind w:left="1180" w:hanging="584"/>
        <w:spacing w:after="0" w:line="280" w:lineRule="auto"/>
        <w:tabs>
          <w:tab w:leader="none" w:pos="116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5"/>
          <w:szCs w:val="15"/>
          <w:color w:val="auto"/>
        </w:rPr>
        <w:t>Unless the default events listed in Section 7.1 above have been perfectly settled to the Pledgee’s satisfaction, the Pledgee may, upon the occurrence of such default event or at any time following the occurrence thereof, issue a written default notice to the Pledgors and/or Party C, requesting the Pledgors and/or Party C to immediately pay the money owned or other payables under the Exclusive Technical Consultation and Service Agreement or to timely perform the obligations under the Individual Agreements. In case the Pledgors or Party C fails to timely correct their defaults, or take necessary remedies, within Ten (10) business days following the issuance of such written notice, the Pledgee may exercise the Pledge Rights pursuant to Section</w:t>
      </w:r>
    </w:p>
    <w:p>
      <w:pPr>
        <w:spacing w:after="0" w:line="3" w:lineRule="exact"/>
        <w:rPr>
          <w:sz w:val="20"/>
          <w:szCs w:val="20"/>
          <w:color w:val="auto"/>
        </w:rPr>
      </w:pPr>
    </w:p>
    <w:p>
      <w:pPr>
        <w:ind w:left="1300" w:hanging="129"/>
        <w:spacing w:after="0"/>
        <w:tabs>
          <w:tab w:leader="none" w:pos="1300" w:val="left"/>
        </w:tabs>
        <w:numPr>
          <w:ilvl w:val="1"/>
          <w:numId w:val="491"/>
        </w:numPr>
        <w:rPr>
          <w:rFonts w:ascii="Arial" w:cs="Arial" w:eastAsia="Arial" w:hAnsi="Arial"/>
          <w:sz w:val="17"/>
          <w:szCs w:val="17"/>
          <w:color w:val="auto"/>
        </w:rPr>
      </w:pPr>
      <w:r>
        <w:rPr>
          <w:rFonts w:ascii="Arial" w:cs="Arial" w:eastAsia="Arial" w:hAnsi="Arial"/>
          <w:sz w:val="17"/>
          <w:szCs w:val="17"/>
          <w:color w:val="auto"/>
        </w:rPr>
        <w:t>below.</w:t>
      </w:r>
    </w:p>
    <w:p>
      <w:pPr>
        <w:spacing w:after="0" w:line="186" w:lineRule="exact"/>
        <w:rPr>
          <w:rFonts w:ascii="Arial" w:cs="Arial" w:eastAsia="Arial" w:hAnsi="Arial"/>
          <w:sz w:val="17"/>
          <w:szCs w:val="17"/>
          <w:color w:val="auto"/>
        </w:rPr>
      </w:pPr>
    </w:p>
    <w:p>
      <w:pPr>
        <w:ind w:left="580" w:hanging="580"/>
        <w:spacing w:after="0"/>
        <w:tabs>
          <w:tab w:leader="none" w:pos="580" w:val="left"/>
        </w:tabs>
        <w:numPr>
          <w:ilvl w:val="0"/>
          <w:numId w:val="491"/>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Pledge Rights</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8.1</w:t>
      </w:r>
      <w:r>
        <w:rPr>
          <w:rFonts w:ascii="Arial" w:cs="Arial" w:eastAsia="Arial" w:hAnsi="Arial"/>
          <w:sz w:val="13"/>
          <w:szCs w:val="13"/>
          <w:color w:val="auto"/>
        </w:rPr>
        <w:t>The Pledgee shall issue a default notice to the Pledgors as described in Section 7.3 above upon its exercise of the Pledge Rights.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444" w:name="page445"/>
    <w:bookmarkEnd w:id="444"/>
    <w:p>
      <w:pPr>
        <w:jc w:val="both"/>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Subject to Section 7.3 above, the Pledgee may exercise the Pledge Rights at any time following its issuance of the default notice as described in Section 7.3.</w:t>
      </w:r>
    </w:p>
    <w:p>
      <w:pPr>
        <w:spacing w:after="0" w:line="168" w:lineRule="exact"/>
        <w:rPr>
          <w:sz w:val="20"/>
          <w:szCs w:val="20"/>
          <w:color w:val="auto"/>
        </w:rPr>
      </w:pPr>
    </w:p>
    <w:p>
      <w:pPr>
        <w:jc w:val="both"/>
        <w:ind w:left="1180" w:hanging="584"/>
        <w:spacing w:after="0" w:line="254" w:lineRule="auto"/>
        <w:tabs>
          <w:tab w:leader="none" w:pos="116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The Pledgee shall have the right to convert into money and sell all or part of the Equity hereunder subject to the statutory procedures, or to be paid in priority from the money gained from auction or sale of such Equity, until full offset of the service costs and other payables unpaid under the Individual Agreements and full performance of other obligations under the Individual Agreements.</w:t>
      </w:r>
    </w:p>
    <w:p>
      <w:pPr>
        <w:spacing w:after="0" w:line="177" w:lineRule="exact"/>
        <w:rPr>
          <w:sz w:val="20"/>
          <w:szCs w:val="20"/>
          <w:color w:val="auto"/>
        </w:rPr>
      </w:pPr>
    </w:p>
    <w:p>
      <w:pPr>
        <w:jc w:val="both"/>
        <w:ind w:left="1180" w:hanging="584"/>
        <w:spacing w:after="0" w:line="264" w:lineRule="auto"/>
        <w:tabs>
          <w:tab w:leader="none" w:pos="116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When the Pledgee exercises the Pledge Rights pursuant to this Agreement, the Pledgors and/or Party C shall not create any barrier or hindrance but shall offer necessary assistance, so as to facilitate the Pledgee’s realization of its Pledge Rights.</w:t>
      </w:r>
    </w:p>
    <w:p>
      <w:pPr>
        <w:spacing w:after="0" w:line="164" w:lineRule="exact"/>
        <w:rPr>
          <w:sz w:val="20"/>
          <w:szCs w:val="20"/>
          <w:color w:val="auto"/>
        </w:rPr>
      </w:pPr>
    </w:p>
    <w:p>
      <w:pPr>
        <w:ind w:left="580" w:hanging="580"/>
        <w:spacing w:after="0"/>
        <w:tabs>
          <w:tab w:leader="none" w:pos="580" w:val="left"/>
        </w:tabs>
        <w:numPr>
          <w:ilvl w:val="0"/>
          <w:numId w:val="492"/>
        </w:numPr>
        <w:rPr>
          <w:rFonts w:ascii="Arial" w:cs="Arial" w:eastAsia="Arial" w:hAnsi="Arial"/>
          <w:sz w:val="17"/>
          <w:szCs w:val="17"/>
          <w:b w:val="1"/>
          <w:bCs w:val="1"/>
          <w:color w:val="auto"/>
        </w:rPr>
      </w:pPr>
      <w:r>
        <w:rPr>
          <w:rFonts w:ascii="Arial" w:cs="Arial" w:eastAsia="Arial" w:hAnsi="Arial"/>
          <w:sz w:val="17"/>
          <w:szCs w:val="17"/>
          <w:b w:val="1"/>
          <w:bCs w:val="1"/>
          <w:color w:val="auto"/>
        </w:rPr>
        <w:t>Transfer</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9.1</w:t>
      </w:r>
      <w:r>
        <w:rPr>
          <w:rFonts w:ascii="Arial" w:cs="Arial" w:eastAsia="Arial" w:hAnsi="Arial"/>
          <w:sz w:val="15"/>
          <w:szCs w:val="15"/>
          <w:color w:val="auto"/>
        </w:rPr>
        <w:t>The Pledgors shall not transfer to any third party any of their rights or obligations hereunder without the Pledgee’s prior written and explicit consent.</w:t>
      </w:r>
    </w:p>
    <w:p>
      <w:pPr>
        <w:spacing w:after="0" w:line="203"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9.2</w:t>
      </w:r>
      <w:r>
        <w:rPr>
          <w:rFonts w:ascii="Arial" w:cs="Arial" w:eastAsia="Arial" w:hAnsi="Arial"/>
          <w:sz w:val="13"/>
          <w:szCs w:val="13"/>
          <w:color w:val="auto"/>
        </w:rPr>
        <w:t>This Agreement shall be binding upon the Pledgors and their successors and the Pledgee and its successors or assignees.</w:t>
      </w:r>
    </w:p>
    <w:p>
      <w:pPr>
        <w:spacing w:after="0" w:line="203" w:lineRule="exact"/>
        <w:rPr>
          <w:rFonts w:ascii="Arial" w:cs="Arial" w:eastAsia="Arial" w:hAnsi="Arial"/>
          <w:sz w:val="17"/>
          <w:szCs w:val="17"/>
          <w:b w:val="1"/>
          <w:bCs w:val="1"/>
          <w:color w:val="auto"/>
        </w:rPr>
      </w:pPr>
    </w:p>
    <w:p>
      <w:pPr>
        <w:ind w:left="1180" w:hanging="585"/>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9.3The Pledgee may at any time transfer any or all of its rights or obligations under the Individual Agreements to any third party it specified, under which circumstance, the assignee shall accordingly have and bear the rights and obligations which the Pledgee have and bear hereunder. Upon the transfer by the Pledgee of the rights or obligations hereunder, the Pledgors shall, as requested by the Pledgee, sign the corresponding agreements and/or documents regarding the transfer thereof.</w:t>
      </w:r>
    </w:p>
    <w:p>
      <w:pPr>
        <w:spacing w:after="0" w:line="178" w:lineRule="exact"/>
        <w:rPr>
          <w:rFonts w:ascii="Arial" w:cs="Arial" w:eastAsia="Arial" w:hAnsi="Arial"/>
          <w:sz w:val="17"/>
          <w:szCs w:val="17"/>
          <w:b w:val="1"/>
          <w:bCs w:val="1"/>
          <w:color w:val="auto"/>
        </w:rPr>
      </w:pPr>
    </w:p>
    <w:p>
      <w:pPr>
        <w:ind w:left="1180" w:hanging="585"/>
        <w:spacing w:after="0" w:line="332" w:lineRule="auto"/>
        <w:rPr>
          <w:rFonts w:ascii="Arial" w:cs="Arial" w:eastAsia="Arial" w:hAnsi="Arial"/>
          <w:sz w:val="17"/>
          <w:szCs w:val="17"/>
          <w:b w:val="1"/>
          <w:bCs w:val="1"/>
          <w:color w:val="auto"/>
        </w:rPr>
      </w:pPr>
      <w:r>
        <w:rPr>
          <w:rFonts w:ascii="Arial" w:cs="Arial" w:eastAsia="Arial" w:hAnsi="Arial"/>
          <w:sz w:val="17"/>
          <w:szCs w:val="17"/>
          <w:color w:val="auto"/>
        </w:rPr>
        <w:t>9.4</w:t>
      </w:r>
      <w:r>
        <w:rPr>
          <w:rFonts w:ascii="Arial" w:cs="Arial" w:eastAsia="Arial" w:hAnsi="Arial"/>
          <w:sz w:val="15"/>
          <w:szCs w:val="15"/>
          <w:color w:val="auto"/>
        </w:rPr>
        <w:t>In case there is a change of the Pledgee due to the transfer of the rights or obligations as described in Section 9.3 above, the substitute Pledgee and the Pledgors shall re-sign the pledge agreement and the Pledgors shall be responsible for handling all applicable registration formalities.</w:t>
      </w:r>
    </w:p>
    <w:p>
      <w:pPr>
        <w:spacing w:after="0" w:line="116" w:lineRule="exact"/>
        <w:rPr>
          <w:rFonts w:ascii="Arial" w:cs="Arial" w:eastAsia="Arial" w:hAnsi="Arial"/>
          <w:sz w:val="17"/>
          <w:szCs w:val="17"/>
          <w:b w:val="1"/>
          <w:bCs w:val="1"/>
          <w:color w:val="auto"/>
        </w:rPr>
      </w:pPr>
    </w:p>
    <w:p>
      <w:pPr>
        <w:ind w:left="580" w:hanging="580"/>
        <w:spacing w:after="0"/>
        <w:tabs>
          <w:tab w:leader="none" w:pos="580" w:val="left"/>
        </w:tabs>
        <w:numPr>
          <w:ilvl w:val="0"/>
          <w:numId w:val="492"/>
        </w:numPr>
        <w:rPr>
          <w:rFonts w:ascii="Arial" w:cs="Arial" w:eastAsia="Arial" w:hAnsi="Arial"/>
          <w:sz w:val="17"/>
          <w:szCs w:val="17"/>
          <w:b w:val="1"/>
          <w:bCs w:val="1"/>
          <w:color w:val="auto"/>
        </w:rPr>
      </w:pPr>
      <w:r>
        <w:rPr>
          <w:rFonts w:ascii="Arial" w:cs="Arial" w:eastAsia="Arial" w:hAnsi="Arial"/>
          <w:sz w:val="17"/>
          <w:szCs w:val="17"/>
          <w:b w:val="1"/>
          <w:bCs w:val="1"/>
          <w:color w:val="auto"/>
        </w:rPr>
        <w:t>Charges and Other Costs</w:t>
      </w:r>
    </w:p>
    <w:p>
      <w:pPr>
        <w:spacing w:after="0" w:line="207" w:lineRule="exact"/>
        <w:rPr>
          <w:rFonts w:ascii="Arial" w:cs="Arial" w:eastAsia="Arial" w:hAnsi="Arial"/>
          <w:sz w:val="17"/>
          <w:szCs w:val="17"/>
          <w:b w:val="1"/>
          <w:bCs w:val="1"/>
          <w:color w:val="auto"/>
        </w:rPr>
      </w:pPr>
    </w:p>
    <w:p>
      <w:pPr>
        <w:ind w:left="5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All costs and actual expenses related to this Agreement, including but not limited to the legal costs, print costs, stamp duty and any other tax and charges, shall be equally borne by the Pledgee and Party C.</w:t>
      </w:r>
    </w:p>
    <w:p>
      <w:pPr>
        <w:spacing w:after="0" w:line="163" w:lineRule="exact"/>
        <w:rPr>
          <w:rFonts w:ascii="Arial" w:cs="Arial" w:eastAsia="Arial" w:hAnsi="Arial"/>
          <w:sz w:val="17"/>
          <w:szCs w:val="17"/>
          <w:b w:val="1"/>
          <w:bCs w:val="1"/>
          <w:color w:val="auto"/>
        </w:rPr>
      </w:pPr>
    </w:p>
    <w:p>
      <w:pPr>
        <w:ind w:left="580" w:hanging="580"/>
        <w:spacing w:after="0"/>
        <w:tabs>
          <w:tab w:leader="none" w:pos="580" w:val="left"/>
        </w:tabs>
        <w:numPr>
          <w:ilvl w:val="0"/>
          <w:numId w:val="492"/>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3" w:lineRule="exact"/>
        <w:rPr>
          <w:rFonts w:ascii="Arial" w:cs="Arial" w:eastAsia="Arial" w:hAnsi="Arial"/>
          <w:sz w:val="17"/>
          <w:szCs w:val="17"/>
          <w:b w:val="1"/>
          <w:bCs w:val="1"/>
          <w:color w:val="auto"/>
        </w:rPr>
      </w:pPr>
    </w:p>
    <w:p>
      <w:pPr>
        <w:ind w:left="1180" w:hanging="585"/>
        <w:spacing w:after="0" w:line="285" w:lineRule="auto"/>
        <w:rPr>
          <w:rFonts w:ascii="Arial" w:cs="Arial" w:eastAsia="Arial" w:hAnsi="Arial"/>
          <w:sz w:val="17"/>
          <w:szCs w:val="17"/>
          <w:b w:val="1"/>
          <w:bCs w:val="1"/>
          <w:color w:val="auto"/>
        </w:rPr>
      </w:pPr>
      <w:r>
        <w:rPr>
          <w:rFonts w:ascii="Arial" w:cs="Arial" w:eastAsia="Arial" w:hAnsi="Arial"/>
          <w:sz w:val="17"/>
          <w:szCs w:val="17"/>
          <w:color w:val="auto"/>
        </w:rPr>
        <w:t>11.1</w:t>
      </w:r>
      <w:r>
        <w:rPr>
          <w:rFonts w:ascii="Arial" w:cs="Arial" w:eastAsia="Arial" w:hAnsi="Arial"/>
          <w:sz w:val="15"/>
          <w:szCs w:val="15"/>
          <w:color w:val="auto"/>
        </w:rPr>
        <w:t>“</w:t>
      </w:r>
      <w:r>
        <w:rPr>
          <w:rFonts w:ascii="Arial" w:cs="Arial" w:eastAsia="Arial" w:hAnsi="Arial"/>
          <w:sz w:val="15"/>
          <w:szCs w:val="15"/>
          <w:b w:val="1"/>
          <w:bCs w:val="1"/>
          <w:color w:val="auto"/>
        </w:rPr>
        <w:t>Force Majeure Events</w:t>
      </w:r>
      <w:r>
        <w:rPr>
          <w:rFonts w:ascii="Arial" w:cs="Arial" w:eastAsia="Arial" w:hAnsi="Arial"/>
          <w:sz w:val="15"/>
          <w:szCs w:val="15"/>
          <w:color w:val="auto"/>
        </w:rPr>
        <w:t>” mean any events beyond the reasonable control of one Party that are unavoidable by the affected Party with reasonable care, including but not limited to any acts of government, natural force, fire, explosion, storm, flood, earthquake, tide, lightning or war, provided that any credit, capital or financing shortage shall not be deemed to be the event beyond the reasonable control of one Party. The Party affected by any Force Majeure Events (hereinafter referred to as “</w:t>
      </w:r>
      <w:r>
        <w:rPr>
          <w:rFonts w:ascii="Arial" w:cs="Arial" w:eastAsia="Arial" w:hAnsi="Arial"/>
          <w:sz w:val="15"/>
          <w:szCs w:val="15"/>
          <w:b w:val="1"/>
          <w:bCs w:val="1"/>
          <w:color w:val="auto"/>
        </w:rPr>
        <w:t>Affected Party</w:t>
      </w:r>
      <w:r>
        <w:rPr>
          <w:rFonts w:ascii="Arial" w:cs="Arial" w:eastAsia="Arial" w:hAnsi="Arial"/>
          <w:sz w:val="15"/>
          <w:szCs w:val="15"/>
          <w:color w:val="auto"/>
        </w:rPr>
        <w:t>”) shall be exempted from its responsibility in whole or in part according to the effects of such Force Majeure Events on this Agreement, and the Affected Party who seeks exemption from its responsibility for the performance of this Agreement due to such Force Majeure Events shall notify the other Party of such Force Majeure Events not later than Ten (10) days after occurrence of such Force Majeure Events so that the Parties hereto negotiate about the amendment to this Agreement according to the effects of such Force Majeure Events and exempt in whole or in part the Affected Party from its obligations under this Agreement.</w:t>
      </w:r>
    </w:p>
    <w:p>
      <w:pPr>
        <w:spacing w:after="0" w:line="159" w:lineRule="exact"/>
        <w:rPr>
          <w:sz w:val="20"/>
          <w:szCs w:val="20"/>
          <w:color w:val="auto"/>
        </w:rPr>
      </w:pPr>
    </w:p>
    <w:p>
      <w:pPr>
        <w:jc w:val="both"/>
        <w:ind w:left="1180" w:hanging="584"/>
        <w:spacing w:after="0" w:line="278" w:lineRule="auto"/>
        <w:tabs>
          <w:tab w:leader="none" w:pos="11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color w:val="auto"/>
        </w:rPr>
        <w:t>The Affected Party shall take appropriate measures to reduce or eliminate the effects of such Force Majeure Events and shall try to restore the performance of its obligations delayed or hindered by such Force Majeure Events. Once such Force Majeure Events are eliminated, the Parties hereto agree that they shall use their best efforts to restore the performance of their rights and obligations under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445" w:name="page446"/>
    <w:bookmarkEnd w:id="445"/>
    <w:p>
      <w:pPr>
        <w:ind w:left="580" w:hanging="580"/>
        <w:spacing w:after="0"/>
        <w:tabs>
          <w:tab w:leader="none" w:pos="580"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Settlement</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12.1</w:t>
      </w:r>
      <w:r>
        <w:rPr>
          <w:rFonts w:ascii="Arial" w:cs="Arial" w:eastAsia="Arial" w:hAnsi="Arial"/>
          <w:sz w:val="13"/>
          <w:szCs w:val="13"/>
          <w:color w:val="auto"/>
        </w:rPr>
        <w:t>This Agreement shall be governed by and construed in accordance with the laws of the PRC.</w:t>
      </w:r>
    </w:p>
    <w:p>
      <w:pPr>
        <w:spacing w:after="0" w:line="203" w:lineRule="exact"/>
        <w:rPr>
          <w:rFonts w:ascii="Arial" w:cs="Arial" w:eastAsia="Arial" w:hAnsi="Arial"/>
          <w:sz w:val="17"/>
          <w:szCs w:val="17"/>
          <w:b w:val="1"/>
          <w:bCs w:val="1"/>
          <w:color w:val="auto"/>
        </w:rPr>
      </w:pPr>
    </w:p>
    <w:p>
      <w:pPr>
        <w:ind w:left="1180" w:hanging="585"/>
        <w:spacing w:after="0" w:line="291" w:lineRule="auto"/>
        <w:rPr>
          <w:rFonts w:ascii="Arial" w:cs="Arial" w:eastAsia="Arial" w:hAnsi="Arial"/>
          <w:sz w:val="17"/>
          <w:szCs w:val="17"/>
          <w:b w:val="1"/>
          <w:bCs w:val="1"/>
          <w:color w:val="auto"/>
        </w:rPr>
      </w:pPr>
      <w:r>
        <w:rPr>
          <w:rFonts w:ascii="Arial" w:cs="Arial" w:eastAsia="Arial" w:hAnsi="Arial"/>
          <w:sz w:val="17"/>
          <w:szCs w:val="17"/>
          <w:color w:val="auto"/>
        </w:rPr>
        <w:t>12.2</w:t>
      </w:r>
      <w:r>
        <w:rPr>
          <w:rFonts w:ascii="Arial" w:cs="Arial" w:eastAsia="Arial" w:hAnsi="Arial"/>
          <w:sz w:val="15"/>
          <w:szCs w:val="15"/>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 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Section shall be affected by any termination or cancellation of this Agreement.</w:t>
      </w:r>
    </w:p>
    <w:p>
      <w:pPr>
        <w:spacing w:after="0" w:line="150"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12.3Except for any matters disputed by the Parties hereto, the Parties hereto shall continue to perform their respective obligations under this Agreement based on the principle of good faith.</w:t>
      </w:r>
    </w:p>
    <w:p>
      <w:pPr>
        <w:spacing w:after="0" w:line="163" w:lineRule="exact"/>
        <w:rPr>
          <w:rFonts w:ascii="Arial" w:cs="Arial" w:eastAsia="Arial" w:hAnsi="Arial"/>
          <w:sz w:val="17"/>
          <w:szCs w:val="17"/>
          <w:b w:val="1"/>
          <w:bCs w:val="1"/>
          <w:color w:val="auto"/>
        </w:rPr>
      </w:pPr>
    </w:p>
    <w:p>
      <w:pPr>
        <w:ind w:left="580" w:hanging="580"/>
        <w:spacing w:after="0"/>
        <w:tabs>
          <w:tab w:leader="none" w:pos="580"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rFonts w:ascii="Arial" w:cs="Arial" w:eastAsia="Arial" w:hAnsi="Arial"/>
          <w:sz w:val="17"/>
          <w:szCs w:val="17"/>
          <w:b w:val="1"/>
          <w:bCs w:val="1"/>
          <w:color w:val="auto"/>
        </w:rPr>
      </w:pPr>
    </w:p>
    <w:p>
      <w:pPr>
        <w:ind w:left="580"/>
        <w:spacing w:after="0" w:line="332" w:lineRule="auto"/>
        <w:rPr>
          <w:rFonts w:ascii="Arial" w:cs="Arial" w:eastAsia="Arial" w:hAnsi="Arial"/>
          <w:sz w:val="17"/>
          <w:szCs w:val="17"/>
          <w:b w:val="1"/>
          <w:bCs w:val="1"/>
          <w:color w:val="auto"/>
        </w:rPr>
      </w:pPr>
      <w:r>
        <w:rPr>
          <w:rFonts w:ascii="Arial" w:cs="Arial" w:eastAsia="Arial" w:hAnsi="Arial"/>
          <w:sz w:val="15"/>
          <w:szCs w:val="15"/>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20"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Party A,</w:t>
      </w:r>
    </w:p>
    <w:p>
      <w:pPr>
        <w:spacing w:after="0" w:line="203" w:lineRule="exact"/>
        <w:rPr>
          <w:rFonts w:ascii="Arial" w:cs="Arial" w:eastAsia="Arial" w:hAnsi="Arial"/>
          <w:sz w:val="17"/>
          <w:szCs w:val="17"/>
          <w:b w:val="1"/>
          <w:bCs w:val="1"/>
          <w:color w:val="auto"/>
        </w:rPr>
      </w:pPr>
    </w:p>
    <w:p>
      <w:pPr>
        <w:ind w:left="580" w:right="3060"/>
        <w:spacing w:after="0" w:line="489" w:lineRule="auto"/>
        <w:rPr>
          <w:rFonts w:ascii="Arial" w:cs="Arial" w:eastAsia="Arial" w:hAnsi="Arial"/>
          <w:sz w:val="17"/>
          <w:szCs w:val="17"/>
          <w:b w:val="1"/>
          <w:bCs w:val="1"/>
          <w:color w:val="auto"/>
        </w:rPr>
      </w:pPr>
      <w:r>
        <w:rPr>
          <w:rFonts w:ascii="Arial" w:cs="Arial" w:eastAsia="Arial" w:hAnsi="Arial"/>
          <w:sz w:val="17"/>
          <w:szCs w:val="17"/>
          <w:color w:val="auto"/>
        </w:rPr>
        <w:t>Address: Building No. 6, Chaolai Science and Technology Park, Laiguangying, Chaoyang District, Beijing, China Tel.:</w:t>
      </w:r>
    </w:p>
    <w:p>
      <w:pPr>
        <w:ind w:left="580" w:right="9320"/>
        <w:spacing w:after="0" w:line="554" w:lineRule="auto"/>
        <w:rPr>
          <w:rFonts w:ascii="Arial" w:cs="Arial" w:eastAsia="Arial" w:hAnsi="Arial"/>
          <w:sz w:val="17"/>
          <w:szCs w:val="17"/>
          <w:b w:val="1"/>
          <w:bCs w:val="1"/>
          <w:color w:val="auto"/>
        </w:rPr>
      </w:pPr>
      <w:r>
        <w:rPr>
          <w:rFonts w:ascii="Arial" w:cs="Arial" w:eastAsia="Arial" w:hAnsi="Arial"/>
          <w:sz w:val="15"/>
          <w:szCs w:val="15"/>
          <w:color w:val="auto"/>
        </w:rPr>
        <w:t>Attn.: LIU Tongbo Party B and Party C</w:t>
      </w:r>
    </w:p>
    <w:p>
      <w:pPr>
        <w:ind w:left="580" w:right="3060"/>
        <w:spacing w:after="0" w:line="489" w:lineRule="auto"/>
        <w:rPr>
          <w:rFonts w:ascii="Arial" w:cs="Arial" w:eastAsia="Arial" w:hAnsi="Arial"/>
          <w:sz w:val="17"/>
          <w:szCs w:val="17"/>
          <w:b w:val="1"/>
          <w:bCs w:val="1"/>
          <w:color w:val="auto"/>
        </w:rPr>
      </w:pPr>
      <w:r>
        <w:rPr>
          <w:rFonts w:ascii="Arial" w:cs="Arial" w:eastAsia="Arial" w:hAnsi="Arial"/>
          <w:sz w:val="17"/>
          <w:szCs w:val="17"/>
          <w:color w:val="auto"/>
        </w:rPr>
        <w:t>Address: Building No. 6, Chaolai Science and Technology Park, Laiguangying, Chaoyang District, Beijing, China Tel.:</w:t>
      </w: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Attn.: HAN Wei</w:t>
      </w:r>
    </w:p>
    <w:p>
      <w:pPr>
        <w:spacing w:after="0" w:line="199" w:lineRule="exact"/>
        <w:rPr>
          <w:rFonts w:ascii="Arial" w:cs="Arial" w:eastAsia="Arial" w:hAnsi="Arial"/>
          <w:sz w:val="17"/>
          <w:szCs w:val="17"/>
          <w:b w:val="1"/>
          <w:bCs w:val="1"/>
          <w:color w:val="auto"/>
        </w:rPr>
      </w:pPr>
    </w:p>
    <w:p>
      <w:pPr>
        <w:ind w:left="580" w:hanging="580"/>
        <w:spacing w:after="0"/>
        <w:tabs>
          <w:tab w:leader="none" w:pos="580"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color w:val="auto"/>
        </w:rPr>
        <w:t>Annex</w:t>
      </w:r>
    </w:p>
    <w:p>
      <w:pPr>
        <w:spacing w:after="0" w:line="207"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The annexes hereto shall form part of this Agreement.</w:t>
      </w:r>
    </w:p>
    <w:p>
      <w:pPr>
        <w:spacing w:after="0" w:line="199" w:lineRule="exact"/>
        <w:rPr>
          <w:rFonts w:ascii="Arial" w:cs="Arial" w:eastAsia="Arial" w:hAnsi="Arial"/>
          <w:sz w:val="17"/>
          <w:szCs w:val="17"/>
          <w:b w:val="1"/>
          <w:bCs w:val="1"/>
          <w:color w:val="auto"/>
        </w:rPr>
      </w:pPr>
    </w:p>
    <w:p>
      <w:pPr>
        <w:ind w:left="580" w:hanging="580"/>
        <w:spacing w:after="0"/>
        <w:tabs>
          <w:tab w:leader="none" w:pos="580"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207" w:lineRule="exact"/>
        <w:rPr>
          <w:rFonts w:ascii="Arial" w:cs="Arial" w:eastAsia="Arial" w:hAnsi="Arial"/>
          <w:sz w:val="17"/>
          <w:szCs w:val="17"/>
          <w:b w:val="1"/>
          <w:bCs w:val="1"/>
          <w:color w:val="auto"/>
        </w:rPr>
      </w:pPr>
    </w:p>
    <w:p>
      <w:pPr>
        <w:jc w:val="both"/>
        <w:ind w:left="58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Pledgee’s failure to exercise or delayed exercise of any rights, remedies, powers or privileges hereunder shall not be deemed to be waiver of such rights, remedies, powers or privileges. The Pledgee’s single or partial exercise of any rights, remedies, powers or privileges shall not exclude its exercise of any other rights, remedies, powers or privileges.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rights, remedies, powers and privileges hereunder are cumulative and in addition to any other rights, remedies, powers and privileges under any law.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446" w:name="page447"/>
    <w:bookmarkEnd w:id="446"/>
    <w:p>
      <w:pPr>
        <w:ind w:left="580" w:hanging="580"/>
        <w:spacing w:after="0"/>
        <w:tabs>
          <w:tab w:leader="none" w:pos="580" w:val="left"/>
        </w:tabs>
        <w:numPr>
          <w:ilvl w:val="0"/>
          <w:numId w:val="494"/>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rFonts w:ascii="Arial" w:cs="Arial" w:eastAsia="Arial" w:hAnsi="Arial"/>
          <w:sz w:val="17"/>
          <w:szCs w:val="17"/>
          <w:b w:val="1"/>
          <w:bCs w:val="1"/>
          <w:color w:val="auto"/>
        </w:rPr>
      </w:pPr>
    </w:p>
    <w:p>
      <w:pPr>
        <w:ind w:left="1180" w:hanging="585"/>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16.1Any modification or supplementation of or amendment to this Agreement shall be in writing and be effective only after being sealed and signed by the Parties hereto.</w:t>
      </w:r>
    </w:p>
    <w:p>
      <w:pPr>
        <w:spacing w:after="0" w:line="167" w:lineRule="exact"/>
        <w:rPr>
          <w:rFonts w:ascii="Arial" w:cs="Arial" w:eastAsia="Arial" w:hAnsi="Arial"/>
          <w:sz w:val="17"/>
          <w:szCs w:val="17"/>
          <w:b w:val="1"/>
          <w:bCs w:val="1"/>
          <w:color w:val="auto"/>
        </w:rPr>
      </w:pPr>
    </w:p>
    <w:p>
      <w:pPr>
        <w:ind w:left="1180" w:hanging="585"/>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16.2The Parties hereby acknowledge that this Agreement shall be a fair and reasonable agreement reached by the Parties hereto on the basis of equality and mutual benefit. In case any provision hereof becomes invalid or cannot be enforced due to conflict with any applicable law, such provision shall be invalid or unenforceable to the sole extent of the jurisdiction of such applicable law and shall in no way influence the legal force of the remaining provisions of this Agreement.</w:t>
      </w:r>
    </w:p>
    <w:p>
      <w:pPr>
        <w:spacing w:after="0" w:line="178" w:lineRule="exact"/>
        <w:rPr>
          <w:rFonts w:ascii="Arial" w:cs="Arial" w:eastAsia="Arial" w:hAnsi="Arial"/>
          <w:sz w:val="17"/>
          <w:szCs w:val="17"/>
          <w:b w:val="1"/>
          <w:bCs w:val="1"/>
          <w:color w:val="auto"/>
        </w:rPr>
      </w:pPr>
    </w:p>
    <w:p>
      <w:pPr>
        <w:ind w:left="1180" w:hanging="585"/>
        <w:spacing w:after="0" w:line="304" w:lineRule="auto"/>
        <w:rPr>
          <w:rFonts w:ascii="Arial" w:cs="Arial" w:eastAsia="Arial" w:hAnsi="Arial"/>
          <w:sz w:val="17"/>
          <w:szCs w:val="17"/>
          <w:b w:val="1"/>
          <w:bCs w:val="1"/>
          <w:color w:val="auto"/>
        </w:rPr>
      </w:pPr>
      <w:r>
        <w:rPr>
          <w:rFonts w:ascii="Arial" w:cs="Arial" w:eastAsia="Arial" w:hAnsi="Arial"/>
          <w:sz w:val="17"/>
          <w:szCs w:val="17"/>
          <w:color w:val="auto"/>
        </w:rPr>
        <w:t>16.3</w:t>
      </w:r>
      <w:r>
        <w:rPr>
          <w:rFonts w:ascii="Arial" w:cs="Arial" w:eastAsia="Arial" w:hAnsi="Arial"/>
          <w:sz w:val="15"/>
          <w:szCs w:val="15"/>
          <w:color w:val="auto"/>
        </w:rPr>
        <w:t>The Parties hereto agree that in case of any change to Party C’s shareholding structure or any addition or deduction of any of Party C’s shareholders, Party A, Party C and Party C’s then-current shareholders shall re-sign this Agreement, and as of the effective date of the Equity Interest Pledge Agreement re-entered into by and among the foregoing parties, this Agreement will automatically terminate and become invalid.</w:t>
      </w:r>
    </w:p>
    <w:p>
      <w:pPr>
        <w:spacing w:after="0" w:line="141"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16.4</w:t>
      </w:r>
      <w:r>
        <w:rPr>
          <w:rFonts w:ascii="Arial" w:cs="Arial" w:eastAsia="Arial" w:hAnsi="Arial"/>
          <w:sz w:val="15"/>
          <w:szCs w:val="15"/>
          <w:color w:val="auto"/>
        </w:rPr>
        <w:t>This Agreement is written in Chinese and is executed in Four (4) original copies.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447" w:name="page448"/>
    <w:bookmarkEnd w:id="447"/>
    <w:p>
      <w:pPr>
        <w:jc w:val="right"/>
        <w:ind w:right="1919"/>
        <w:spacing w:after="0"/>
        <w:rPr>
          <w:sz w:val="20"/>
          <w:szCs w:val="20"/>
          <w:color w:val="auto"/>
        </w:rPr>
      </w:pPr>
      <w:r>
        <w:rPr>
          <w:rFonts w:ascii="Arial" w:cs="Arial" w:eastAsia="Arial" w:hAnsi="Arial"/>
          <w:sz w:val="17"/>
          <w:szCs w:val="17"/>
          <w:b w:val="1"/>
          <w:bCs w:val="1"/>
          <w:color w:val="auto"/>
        </w:rPr>
        <w:t>[This page is the signature page to the Equity Interest Pledge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HAN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HAN Wei</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WANG Yanpeng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WANG Yanpeng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HAN Wei</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448" w:name="page449"/>
    <w:bookmarkEnd w:id="448"/>
    <w:p>
      <w:pPr>
        <w:jc w:val="center"/>
        <w:ind w:right="40"/>
        <w:spacing w:after="0"/>
        <w:rPr>
          <w:sz w:val="20"/>
          <w:szCs w:val="20"/>
          <w:color w:val="auto"/>
        </w:rPr>
      </w:pPr>
      <w:r>
        <w:rPr>
          <w:rFonts w:ascii="Arial" w:cs="Arial" w:eastAsia="Arial" w:hAnsi="Arial"/>
          <w:sz w:val="17"/>
          <w:szCs w:val="17"/>
          <w:b w:val="1"/>
          <w:bCs w:val="1"/>
          <w:color w:val="auto"/>
        </w:rPr>
        <w:t>Equity Interest Pledge Agreement - Signature Page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Annex I Pledgor</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2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7"/>
                <w:szCs w:val="17"/>
                <w:color w:val="auto"/>
                <w:w w:val="98"/>
              </w:rPr>
              <w:t>S/N</w:t>
            </w:r>
          </w:p>
        </w:tc>
        <w:tc>
          <w:tcPr>
            <w:tcW w:w="3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color w:val="auto"/>
                <w:w w:val="86"/>
              </w:rPr>
              <w:t>Name of Shareholders</w:t>
            </w:r>
          </w:p>
        </w:tc>
        <w:tc>
          <w:tcPr>
            <w:tcW w:w="3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right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gridSpan w:val="4"/>
          </w:tcPr>
          <w:p>
            <w:pPr>
              <w:ind w:left="140"/>
              <w:spacing w:after="0"/>
              <w:rPr>
                <w:sz w:val="20"/>
                <w:szCs w:val="20"/>
                <w:color w:val="auto"/>
              </w:rPr>
            </w:pPr>
            <w:r>
              <w:rPr>
                <w:rFonts w:ascii="Arial" w:cs="Arial" w:eastAsia="Arial" w:hAnsi="Arial"/>
                <w:sz w:val="17"/>
                <w:szCs w:val="17"/>
                <w:color w:val="auto"/>
              </w:rPr>
              <w:t>ID Card No.</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right w:val="single" w:sz="8" w:color="auto"/>
            </w:tcBorders>
          </w:tcPr>
          <w:p>
            <w:pPr>
              <w:jc w:val="right"/>
              <w:ind w:right="117"/>
              <w:spacing w:after="0"/>
              <w:rPr>
                <w:sz w:val="20"/>
                <w:szCs w:val="20"/>
                <w:color w:val="auto"/>
              </w:rPr>
            </w:pPr>
            <w:r>
              <w:rPr>
                <w:rFonts w:ascii="Arial" w:cs="Arial" w:eastAsia="Arial" w:hAnsi="Arial"/>
                <w:sz w:val="17"/>
                <w:szCs w:val="17"/>
                <w:color w:val="auto"/>
              </w:rPr>
              <w:t>1</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ind w:left="300"/>
              <w:spacing w:after="0"/>
              <w:rPr>
                <w:sz w:val="20"/>
                <w:szCs w:val="20"/>
                <w:color w:val="auto"/>
              </w:rPr>
            </w:pPr>
            <w:r>
              <w:rPr>
                <w:rFonts w:ascii="Arial" w:cs="Arial" w:eastAsia="Arial" w:hAnsi="Arial"/>
                <w:sz w:val="17"/>
                <w:szCs w:val="17"/>
                <w:color w:val="auto"/>
              </w:rPr>
              <w:t>HAN Wei</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right w:val="single" w:sz="8" w:color="auto"/>
            </w:tcBorders>
          </w:tcPr>
          <w:p>
            <w:pPr>
              <w:jc w:val="right"/>
              <w:ind w:right="117"/>
              <w:spacing w:after="0"/>
              <w:rPr>
                <w:sz w:val="20"/>
                <w:szCs w:val="20"/>
                <w:color w:val="auto"/>
              </w:rPr>
            </w:pPr>
            <w:r>
              <w:rPr>
                <w:rFonts w:ascii="Arial" w:cs="Arial" w:eastAsia="Arial" w:hAnsi="Arial"/>
                <w:sz w:val="17"/>
                <w:szCs w:val="17"/>
                <w:color w:val="auto"/>
              </w:rPr>
              <w:t>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ind w:left="80"/>
              <w:spacing w:after="0"/>
              <w:rPr>
                <w:sz w:val="20"/>
                <w:szCs w:val="20"/>
                <w:color w:val="auto"/>
              </w:rPr>
            </w:pPr>
            <w:r>
              <w:rPr>
                <w:rFonts w:ascii="Arial" w:cs="Arial" w:eastAsia="Arial" w:hAnsi="Arial"/>
                <w:sz w:val="17"/>
                <w:szCs w:val="17"/>
                <w:color w:val="auto"/>
              </w:rPr>
              <w:t>WANG Yanpeng</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gridSpan w:val="8"/>
          </w:tcPr>
          <w:p>
            <w:pPr>
              <w:ind w:left="80"/>
              <w:spacing w:after="0"/>
              <w:rPr>
                <w:sz w:val="20"/>
                <w:szCs w:val="20"/>
                <w:color w:val="auto"/>
              </w:rPr>
            </w:pPr>
            <w:r>
              <w:rPr>
                <w:rFonts w:ascii="Arial" w:cs="Arial" w:eastAsia="Arial" w:hAnsi="Arial"/>
                <w:sz w:val="20"/>
                <w:szCs w:val="20"/>
                <w:b w:val="1"/>
                <w:bCs w:val="1"/>
                <w:color w:val="auto"/>
                <w:w w:val="92"/>
              </w:rPr>
              <w:t>Annex II Shareholding Structure</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spacing w:after="0"/>
              <w:rPr>
                <w:sz w:val="16"/>
                <w:szCs w:val="16"/>
                <w:color w:val="auto"/>
              </w:rPr>
            </w:pPr>
          </w:p>
        </w:tc>
        <w:tc>
          <w:tcPr>
            <w:tcW w:w="1580" w:type="dxa"/>
            <w:vAlign w:val="bottom"/>
            <w:tcBorders>
              <w:bottom w:val="single" w:sz="8" w:color="auto"/>
            </w:tcBorders>
            <w:gridSpan w:val="3"/>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gridSpan w:val="9"/>
            <w:vMerge w:val="restart"/>
          </w:tcPr>
          <w:p>
            <w:pPr>
              <w:jc w:val="center"/>
              <w:ind w:right="976"/>
              <w:spacing w:after="0"/>
              <w:rPr>
                <w:sz w:val="20"/>
                <w:szCs w:val="20"/>
                <w:color w:val="auto"/>
              </w:rPr>
            </w:pPr>
            <w:r>
              <w:rPr>
                <w:rFonts w:ascii="Arial" w:cs="Arial" w:eastAsia="Arial" w:hAnsi="Arial"/>
                <w:sz w:val="17"/>
                <w:szCs w:val="17"/>
                <w:color w:val="auto"/>
                <w:w w:val="86"/>
              </w:rPr>
              <w:t>Name of Shareholders</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Borders>
              <w:right w:val="single" w:sz="8" w:color="auto"/>
            </w:tcBorders>
            <w:gridSpan w:val="6"/>
          </w:tcPr>
          <w:p>
            <w:pPr>
              <w:ind w:left="200"/>
              <w:spacing w:after="0"/>
              <w:rPr>
                <w:sz w:val="20"/>
                <w:szCs w:val="20"/>
                <w:color w:val="auto"/>
              </w:rPr>
            </w:pPr>
            <w:r>
              <w:rPr>
                <w:rFonts w:ascii="Arial" w:cs="Arial" w:eastAsia="Arial" w:hAnsi="Arial"/>
                <w:sz w:val="17"/>
                <w:szCs w:val="17"/>
                <w:color w:val="auto"/>
              </w:rPr>
              <w:t>Amount of Contribution</w:t>
            </w:r>
          </w:p>
        </w:tc>
        <w:tc>
          <w:tcPr>
            <w:tcW w:w="440" w:type="dxa"/>
            <w:vAlign w:val="bottom"/>
          </w:tcPr>
          <w:p>
            <w:pPr>
              <w:spacing w:after="0"/>
              <w:rPr>
                <w:sz w:val="17"/>
                <w:szCs w:val="17"/>
                <w:color w:val="auto"/>
              </w:rPr>
            </w:pPr>
          </w:p>
        </w:tc>
        <w:tc>
          <w:tcPr>
            <w:tcW w:w="20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40" w:type="dxa"/>
            <w:vAlign w:val="bottom"/>
            <w:gridSpan w:val="9"/>
            <w:vMerge w:val="continue"/>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tcBorders>
              <w:right w:val="single" w:sz="8" w:color="auto"/>
            </w:tcBorders>
            <w:gridSpan w:val="4"/>
            <w:vMerge w:val="restart"/>
          </w:tcPr>
          <w:p>
            <w:pPr>
              <w:jc w:val="center"/>
              <w:ind w:right="737"/>
              <w:spacing w:after="0"/>
              <w:rPr>
                <w:sz w:val="20"/>
                <w:szCs w:val="20"/>
                <w:color w:val="auto"/>
              </w:rPr>
            </w:pPr>
            <w:r>
              <w:rPr>
                <w:rFonts w:ascii="Arial" w:cs="Arial" w:eastAsia="Arial" w:hAnsi="Arial"/>
                <w:sz w:val="17"/>
                <w:szCs w:val="17"/>
                <w:color w:val="auto"/>
                <w:w w:val="93"/>
              </w:rPr>
              <w:t>(CNY10000)</w:t>
            </w:r>
          </w:p>
        </w:tc>
        <w:tc>
          <w:tcPr>
            <w:tcW w:w="44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0" w:type="dxa"/>
            <w:vAlign w:val="bottom"/>
            <w:tcBorders>
              <w:left w:val="single" w:sz="8" w:color="auto"/>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40" w:type="dxa"/>
            <w:vAlign w:val="bottom"/>
            <w:tcBorders>
              <w:right w:val="single" w:sz="8" w:color="auto"/>
            </w:tcBorders>
            <w:gridSpan w:val="4"/>
            <w:vMerge w:val="continue"/>
          </w:tcPr>
          <w:p>
            <w:pPr>
              <w:spacing w:after="0"/>
              <w:rPr>
                <w:sz w:val="8"/>
                <w:szCs w:val="8"/>
                <w:color w:val="auto"/>
              </w:rPr>
            </w:pPr>
          </w:p>
        </w:tc>
        <w:tc>
          <w:tcPr>
            <w:tcW w:w="440" w:type="dxa"/>
            <w:vAlign w:val="bottom"/>
          </w:tcPr>
          <w:p>
            <w:pPr>
              <w:spacing w:after="0"/>
              <w:rPr>
                <w:sz w:val="8"/>
                <w:szCs w:val="8"/>
                <w:color w:val="auto"/>
              </w:rPr>
            </w:pPr>
          </w:p>
        </w:tc>
        <w:tc>
          <w:tcPr>
            <w:tcW w:w="20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7"/>
                <w:szCs w:val="17"/>
                <w:color w:val="auto"/>
                <w:w w:val="89"/>
              </w:rPr>
              <w:t>WANG Yanpeng</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center"/>
              <w:ind w:left="237"/>
              <w:spacing w:after="0"/>
              <w:rPr>
                <w:sz w:val="20"/>
                <w:szCs w:val="20"/>
                <w:color w:val="auto"/>
              </w:rPr>
            </w:pPr>
            <w:r>
              <w:rPr>
                <w:rFonts w:ascii="Arial" w:cs="Arial" w:eastAsia="Arial" w:hAnsi="Arial"/>
                <w:sz w:val="17"/>
                <w:szCs w:val="17"/>
                <w:color w:val="auto"/>
                <w:w w:val="84"/>
              </w:rPr>
              <w:t>10</w:t>
            </w:r>
          </w:p>
        </w:tc>
        <w:tc>
          <w:tcPr>
            <w:tcW w:w="7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Borders>
              <w:right w:val="single" w:sz="8" w:color="auto"/>
            </w:tcBorders>
          </w:tcPr>
          <w:p>
            <w:pPr>
              <w:jc w:val="center"/>
              <w:ind w:right="417"/>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Arial" w:cs="Arial" w:eastAsia="Arial" w:hAnsi="Arial"/>
                <w:sz w:val="17"/>
                <w:szCs w:val="17"/>
                <w:color w:val="auto"/>
                <w:w w:val="94"/>
              </w:rPr>
              <w:t>HAN Wei</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center"/>
              <w:ind w:left="237"/>
              <w:spacing w:after="0"/>
              <w:rPr>
                <w:sz w:val="20"/>
                <w:szCs w:val="20"/>
                <w:color w:val="auto"/>
              </w:rPr>
            </w:pPr>
            <w:r>
              <w:rPr>
                <w:rFonts w:ascii="Arial" w:cs="Arial" w:eastAsia="Arial" w:hAnsi="Arial"/>
                <w:sz w:val="17"/>
                <w:szCs w:val="17"/>
                <w:color w:val="auto"/>
                <w:w w:val="84"/>
              </w:rPr>
              <w:t>190</w:t>
            </w:r>
          </w:p>
        </w:tc>
        <w:tc>
          <w:tcPr>
            <w:tcW w:w="7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Borders>
              <w:right w:val="single" w:sz="8" w:color="auto"/>
            </w:tcBorders>
          </w:tcPr>
          <w:p>
            <w:pPr>
              <w:jc w:val="center"/>
              <w:ind w:right="417"/>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Arial" w:cs="Arial" w:eastAsia="Arial" w:hAnsi="Arial"/>
                <w:sz w:val="17"/>
                <w:szCs w:val="17"/>
                <w:color w:val="auto"/>
                <w:w w:val="89"/>
              </w:rPr>
              <w:t>Total</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center"/>
              <w:ind w:left="237"/>
              <w:spacing w:after="0"/>
              <w:rPr>
                <w:sz w:val="20"/>
                <w:szCs w:val="20"/>
                <w:color w:val="auto"/>
              </w:rPr>
            </w:pPr>
            <w:r>
              <w:rPr>
                <w:rFonts w:ascii="Arial" w:cs="Arial" w:eastAsia="Arial" w:hAnsi="Arial"/>
                <w:sz w:val="17"/>
                <w:szCs w:val="17"/>
                <w:color w:val="auto"/>
                <w:w w:val="84"/>
              </w:rPr>
              <w:t>200</w:t>
            </w:r>
          </w:p>
        </w:tc>
        <w:tc>
          <w:tcPr>
            <w:tcW w:w="7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Borders>
              <w:right w:val="single" w:sz="8" w:color="auto"/>
            </w:tcBorders>
          </w:tcPr>
          <w:p>
            <w:pPr>
              <w:jc w:val="center"/>
              <w:ind w:right="417"/>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right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60" w:type="dxa"/>
            <w:vAlign w:val="bottom"/>
            <w:gridSpan w:val="18"/>
          </w:tcPr>
          <w:p>
            <w:pPr>
              <w:ind w:left="100"/>
              <w:spacing w:after="0"/>
              <w:rPr>
                <w:sz w:val="20"/>
                <w:szCs w:val="20"/>
                <w:color w:val="auto"/>
              </w:rPr>
            </w:pPr>
            <w:r>
              <w:rPr>
                <w:rFonts w:ascii="Arial" w:cs="Arial" w:eastAsia="Arial" w:hAnsi="Arial"/>
                <w:sz w:val="20"/>
                <w:szCs w:val="20"/>
                <w:b w:val="1"/>
                <w:bCs w:val="1"/>
                <w:color w:val="auto"/>
              </w:rPr>
              <w:t>Annex III Form of Party C’s Shareholders’ Register</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540" w:type="dxa"/>
            <w:vAlign w:val="bottom"/>
            <w:gridSpan w:val="17"/>
          </w:tcPr>
          <w:p>
            <w:pPr>
              <w:spacing w:after="0"/>
              <w:rPr>
                <w:sz w:val="20"/>
                <w:szCs w:val="20"/>
                <w:color w:val="auto"/>
              </w:rPr>
            </w:pPr>
            <w:r>
              <w:rPr>
                <w:rFonts w:ascii="Arial" w:cs="Arial" w:eastAsia="Arial" w:hAnsi="Arial"/>
                <w:sz w:val="17"/>
                <w:szCs w:val="17"/>
                <w:b w:val="1"/>
                <w:bCs w:val="1"/>
                <w:color w:val="auto"/>
              </w:rPr>
              <w:t>Name of Company: Wuhan Jiayan Online Education Technology Co.</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20" w:type="dxa"/>
            <w:vAlign w:val="bottom"/>
            <w:tcBorders>
              <w:bottom w:val="single" w:sz="8" w:color="auto"/>
            </w:tcBorders>
            <w:gridSpan w:val="2"/>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40" w:type="dxa"/>
            <w:vAlign w:val="bottom"/>
            <w:tcBorders>
              <w:left w:val="single" w:sz="8" w:color="auto"/>
            </w:tcBorders>
            <w:gridSpan w:val="3"/>
          </w:tcPr>
          <w:p>
            <w:pPr>
              <w:jc w:val="center"/>
              <w:ind w:left="297"/>
              <w:spacing w:after="0"/>
              <w:rPr>
                <w:sz w:val="20"/>
                <w:szCs w:val="20"/>
                <w:color w:val="auto"/>
              </w:rPr>
            </w:pPr>
            <w:r>
              <w:rPr>
                <w:rFonts w:ascii="Arial" w:cs="Arial" w:eastAsia="Arial" w:hAnsi="Arial"/>
                <w:sz w:val="17"/>
                <w:szCs w:val="17"/>
                <w:b w:val="1"/>
                <w:bCs w:val="1"/>
                <w:color w:val="auto"/>
                <w:w w:val="87"/>
              </w:rPr>
              <w:t>Full name of the</w:t>
            </w:r>
          </w:p>
        </w:tc>
        <w:tc>
          <w:tcPr>
            <w:tcW w:w="2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7"/>
                <w:szCs w:val="17"/>
                <w:b w:val="1"/>
                <w:bCs w:val="1"/>
                <w:color w:val="auto"/>
                <w:w w:val="96"/>
              </w:rPr>
              <w:t>[HAN Wei]</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ind w:left="140"/>
              <w:spacing w:after="0"/>
              <w:rPr>
                <w:sz w:val="20"/>
                <w:szCs w:val="20"/>
                <w:color w:val="auto"/>
              </w:rPr>
            </w:pPr>
            <w:r>
              <w:rPr>
                <w:rFonts w:ascii="Arial" w:cs="Arial" w:eastAsia="Arial" w:hAnsi="Arial"/>
                <w:sz w:val="17"/>
                <w:szCs w:val="17"/>
                <w:b w:val="1"/>
                <w:bCs w:val="1"/>
                <w:color w:val="auto"/>
              </w:rPr>
              <w:t>ID Card No./</w:t>
            </w:r>
          </w:p>
        </w:tc>
        <w:tc>
          <w:tcPr>
            <w:tcW w:w="3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Arial" w:cs="Arial" w:eastAsia="Arial" w:hAnsi="Arial"/>
                <w:sz w:val="17"/>
                <w:szCs w:val="17"/>
                <w:b w:val="1"/>
                <w:bCs w:val="1"/>
                <w:color w:val="auto"/>
                <w:w w:val="94"/>
              </w:rPr>
              <w:t>[]Occupa tion/]</w:t>
            </w:r>
          </w:p>
        </w:tc>
        <w:tc>
          <w:tcPr>
            <w:tcW w:w="1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Borders>
              <w:right w:val="single" w:sz="8" w:color="auto"/>
            </w:tcBorders>
            <w:gridSpan w:val="2"/>
          </w:tcPr>
          <w:p>
            <w:pPr>
              <w:jc w:val="center"/>
              <w:ind w:right="437"/>
              <w:spacing w:after="0"/>
              <w:rPr>
                <w:sz w:val="20"/>
                <w:szCs w:val="20"/>
                <w:color w:val="auto"/>
              </w:rPr>
            </w:pPr>
            <w:r>
              <w:rPr>
                <w:rFonts w:ascii="Arial" w:cs="Arial" w:eastAsia="Arial" w:hAnsi="Arial"/>
                <w:sz w:val="17"/>
                <w:szCs w:val="17"/>
                <w:b w:val="1"/>
                <w:bCs w:val="1"/>
                <w:color w:val="auto"/>
                <w:w w:val="95"/>
              </w:rPr>
              <w:t>Identity</w:t>
            </w:r>
          </w:p>
        </w:tc>
        <w:tc>
          <w:tcPr>
            <w:tcW w:w="440" w:type="dxa"/>
            <w:vAlign w:val="bottom"/>
          </w:tcPr>
          <w:p>
            <w:pPr>
              <w:spacing w:after="0"/>
              <w:rPr>
                <w:sz w:val="19"/>
                <w:szCs w:val="19"/>
                <w:color w:val="auto"/>
              </w:rPr>
            </w:pPr>
          </w:p>
        </w:tc>
        <w:tc>
          <w:tcPr>
            <w:tcW w:w="2000" w:type="dxa"/>
            <w:vAlign w:val="bottom"/>
            <w:tcBorders>
              <w:right w:val="single" w:sz="8" w:color="auto"/>
            </w:tcBorders>
          </w:tcPr>
          <w:p>
            <w:pPr>
              <w:ind w:left="60"/>
              <w:spacing w:after="0"/>
              <w:rPr>
                <w:sz w:val="20"/>
                <w:szCs w:val="20"/>
                <w:color w:val="auto"/>
              </w:rPr>
            </w:pPr>
            <w:r>
              <w:rPr>
                <w:rFonts w:ascii="Arial" w:cs="Arial" w:eastAsia="Arial" w:hAnsi="Arial"/>
                <w:sz w:val="17"/>
                <w:szCs w:val="17"/>
                <w:b w:val="1"/>
                <w:bCs w:val="1"/>
                <w:color w:val="auto"/>
              </w:rPr>
              <w:t>Executive Director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gridSpan w:val="3"/>
          </w:tcPr>
          <w:p>
            <w:pPr>
              <w:jc w:val="center"/>
              <w:ind w:left="297"/>
              <w:spacing w:after="0"/>
              <w:rPr>
                <w:sz w:val="20"/>
                <w:szCs w:val="20"/>
                <w:color w:val="auto"/>
              </w:rPr>
            </w:pPr>
            <w:r>
              <w:rPr>
                <w:rFonts w:ascii="Arial" w:cs="Arial" w:eastAsia="Arial" w:hAnsi="Arial"/>
                <w:sz w:val="17"/>
                <w:szCs w:val="17"/>
                <w:b w:val="1"/>
                <w:bCs w:val="1"/>
                <w:color w:val="auto"/>
                <w:w w:val="86"/>
              </w:rPr>
              <w:t>Shareholder</w:t>
            </w:r>
          </w:p>
        </w:tc>
        <w:tc>
          <w:tcPr>
            <w:tcW w:w="2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Arial" w:cs="Arial" w:eastAsia="Arial" w:hAnsi="Arial"/>
                <w:sz w:val="17"/>
                <w:szCs w:val="17"/>
                <w:b w:val="1"/>
                <w:bCs w:val="1"/>
                <w:color w:val="auto"/>
              </w:rPr>
              <w:t>Registration No.</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920" w:type="dxa"/>
            <w:vAlign w:val="bottom"/>
            <w:tcBorders>
              <w:left w:val="single" w:sz="8" w:color="auto"/>
              <w:bottom w:val="single" w:sz="8" w:color="auto"/>
            </w:tcBorders>
            <w:gridSpan w:val="2"/>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880" w:type="dxa"/>
            <w:vAlign w:val="bottom"/>
            <w:tcBorders>
              <w:left w:val="single" w:sz="8" w:color="auto"/>
            </w:tcBorders>
            <w:gridSpan w:val="4"/>
          </w:tcPr>
          <w:p>
            <w:pPr>
              <w:ind w:left="380"/>
              <w:spacing w:after="0"/>
              <w:rPr>
                <w:sz w:val="20"/>
                <w:szCs w:val="20"/>
                <w:color w:val="auto"/>
              </w:rPr>
            </w:pPr>
            <w:r>
              <w:rPr>
                <w:rFonts w:ascii="Arial" w:cs="Arial" w:eastAsia="Arial" w:hAnsi="Arial"/>
                <w:sz w:val="17"/>
                <w:szCs w:val="17"/>
                <w:b w:val="1"/>
                <w:bCs w:val="1"/>
                <w:color w:val="auto"/>
                <w:w w:val="90"/>
              </w:rPr>
              <w:t>Address of Domicile</w:t>
            </w:r>
          </w:p>
        </w:tc>
        <w:tc>
          <w:tcPr>
            <w:tcW w:w="1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ind w:right="37"/>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920" w:type="dxa"/>
            <w:vAlign w:val="bottom"/>
            <w:tcBorders>
              <w:left w:val="single" w:sz="8" w:color="auto"/>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5"/>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920" w:type="dxa"/>
            <w:vAlign w:val="bottom"/>
            <w:tcBorders>
              <w:left w:val="single" w:sz="8" w:color="auto"/>
              <w:right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Date</w:t>
            </w:r>
          </w:p>
        </w:tc>
        <w:tc>
          <w:tcPr>
            <w:tcW w:w="720" w:type="dxa"/>
            <w:vAlign w:val="bottom"/>
          </w:tcPr>
          <w:p>
            <w:pPr>
              <w:spacing w:after="0"/>
              <w:rPr>
                <w:sz w:val="19"/>
                <w:szCs w:val="19"/>
                <w:color w:val="auto"/>
              </w:rPr>
            </w:pPr>
          </w:p>
        </w:tc>
        <w:tc>
          <w:tcPr>
            <w:tcW w:w="2380" w:type="dxa"/>
            <w:vAlign w:val="bottom"/>
            <w:gridSpan w:val="11"/>
          </w:tcPr>
          <w:p>
            <w:pPr>
              <w:jc w:val="center"/>
              <w:ind w:right="700"/>
              <w:spacing w:after="0"/>
              <w:rPr>
                <w:sz w:val="20"/>
                <w:szCs w:val="20"/>
                <w:color w:val="auto"/>
              </w:rPr>
            </w:pPr>
            <w:r>
              <w:rPr>
                <w:rFonts w:ascii="Arial" w:cs="Arial" w:eastAsia="Arial" w:hAnsi="Arial"/>
                <w:sz w:val="17"/>
                <w:szCs w:val="17"/>
                <w:b w:val="1"/>
                <w:bCs w:val="1"/>
                <w:color w:val="auto"/>
                <w:w w:val="91"/>
              </w:rPr>
              <w:t>Contribution Amount/</w:t>
            </w:r>
          </w:p>
        </w:tc>
        <w:tc>
          <w:tcPr>
            <w:tcW w:w="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gridSpan w:val="6"/>
          </w:tcPr>
          <w:p>
            <w:pPr>
              <w:ind w:left="800"/>
              <w:spacing w:after="0"/>
              <w:rPr>
                <w:sz w:val="20"/>
                <w:szCs w:val="20"/>
                <w:color w:val="auto"/>
              </w:rPr>
            </w:pPr>
            <w:r>
              <w:rPr>
                <w:rFonts w:ascii="Arial" w:cs="Arial" w:eastAsia="Arial" w:hAnsi="Arial"/>
                <w:sz w:val="17"/>
                <w:szCs w:val="17"/>
                <w:b w:val="1"/>
                <w:bCs w:val="1"/>
                <w:color w:val="auto"/>
              </w:rPr>
              <w:t>Shareholding</w:t>
            </w:r>
          </w:p>
        </w:tc>
        <w:tc>
          <w:tcPr>
            <w:tcW w:w="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7"/>
                <w:szCs w:val="17"/>
                <w:b w:val="1"/>
                <w:bCs w:val="1"/>
                <w:color w:val="auto"/>
                <w:w w:val="84"/>
              </w:rPr>
              <w:t>Note</w:t>
            </w:r>
          </w:p>
        </w:tc>
        <w:tc>
          <w:tcPr>
            <w:tcW w:w="20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10"/>
          </w:tcPr>
          <w:p>
            <w:pPr>
              <w:jc w:val="center"/>
              <w:ind w:right="940"/>
              <w:spacing w:after="0"/>
              <w:rPr>
                <w:sz w:val="20"/>
                <w:szCs w:val="20"/>
                <w:color w:val="auto"/>
              </w:rPr>
            </w:pPr>
            <w:r>
              <w:rPr>
                <w:rFonts w:ascii="Arial" w:cs="Arial" w:eastAsia="Arial" w:hAnsi="Arial"/>
                <w:sz w:val="17"/>
                <w:szCs w:val="17"/>
                <w:b w:val="1"/>
                <w:bCs w:val="1"/>
                <w:color w:val="auto"/>
                <w:w w:val="87"/>
              </w:rPr>
              <w:t>Consideration</w:t>
            </w:r>
          </w:p>
        </w:tc>
        <w:tc>
          <w:tcPr>
            <w:tcW w:w="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6"/>
          </w:tcPr>
          <w:p>
            <w:pPr>
              <w:ind w:left="880"/>
              <w:spacing w:after="0"/>
              <w:rPr>
                <w:sz w:val="20"/>
                <w:szCs w:val="20"/>
                <w:color w:val="auto"/>
              </w:rPr>
            </w:pPr>
            <w:r>
              <w:rPr>
                <w:rFonts w:ascii="Arial" w:cs="Arial" w:eastAsia="Arial" w:hAnsi="Arial"/>
                <w:sz w:val="17"/>
                <w:szCs w:val="17"/>
                <w:b w:val="1"/>
                <w:bCs w:val="1"/>
                <w:color w:val="auto"/>
              </w:rPr>
              <w:t>Percentage</w:t>
            </w: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2440" w:type="dxa"/>
            <w:vAlign w:val="bottom"/>
            <w:tcBorders>
              <w:bottom w:val="single" w:sz="8" w:color="auto"/>
              <w:right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0" w:type="dxa"/>
            <w:vAlign w:val="bottom"/>
            <w:tcBorders>
              <w:lef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5"/>
          </w:tcPr>
          <w:p>
            <w:pPr>
              <w:jc w:val="center"/>
              <w:spacing w:after="0"/>
              <w:rPr>
                <w:sz w:val="20"/>
                <w:szCs w:val="20"/>
                <w:color w:val="auto"/>
              </w:rPr>
            </w:pPr>
            <w:r>
              <w:rPr>
                <w:rFonts w:ascii="Arial" w:cs="Arial" w:eastAsia="Arial" w:hAnsi="Arial"/>
                <w:sz w:val="17"/>
                <w:szCs w:val="17"/>
                <w:color w:val="auto"/>
                <w:w w:val="96"/>
              </w:rPr>
              <w:t>CNY [190]</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4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2"/>
              </w:rPr>
              <w:t>95]%</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80" w:type="dxa"/>
            <w:vAlign w:val="bottom"/>
            <w:tcBorders>
              <w:right w:val="single" w:sz="8" w:color="auto"/>
            </w:tcBorders>
            <w:gridSpan w:val="4"/>
          </w:tcPr>
          <w:p>
            <w:pPr>
              <w:jc w:val="center"/>
              <w:ind w:right="857"/>
              <w:spacing w:after="0"/>
              <w:rPr>
                <w:sz w:val="20"/>
                <w:szCs w:val="20"/>
                <w:color w:val="auto"/>
              </w:rPr>
            </w:pPr>
            <w:r>
              <w:rPr>
                <w:rFonts w:ascii="Arial" w:cs="Arial" w:eastAsia="Arial" w:hAnsi="Arial"/>
                <w:sz w:val="17"/>
                <w:szCs w:val="17"/>
                <w:color w:val="auto"/>
                <w:w w:val="88"/>
              </w:rPr>
              <w:t>100% of the equity being pledged to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right w:val="single" w:sz="8" w:color="auto"/>
            </w:tcBorders>
            <w:gridSpan w:val="5"/>
          </w:tcPr>
          <w:p>
            <w:pPr>
              <w:jc w:val="center"/>
              <w:ind w:right="417"/>
              <w:spacing w:after="0"/>
              <w:rPr>
                <w:sz w:val="20"/>
                <w:szCs w:val="20"/>
                <w:color w:val="auto"/>
              </w:rPr>
            </w:pPr>
            <w:r>
              <w:rPr>
                <w:rFonts w:ascii="Arial" w:cs="Arial" w:eastAsia="Arial" w:hAnsi="Arial"/>
                <w:sz w:val="17"/>
                <w:szCs w:val="17"/>
                <w:color w:val="auto"/>
                <w:w w:val="92"/>
              </w:rPr>
              <w:t>[  Wuhan Studyvip Online Education Co.,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7"/>
                <w:szCs w:val="17"/>
                <w:color w:val="auto"/>
              </w:rPr>
              <w:t>Limited</w:t>
            </w:r>
          </w:p>
        </w:tc>
        <w:tc>
          <w:tcPr>
            <w:tcW w:w="20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920" w:type="dxa"/>
            <w:vAlign w:val="bottom"/>
            <w:tcBorders>
              <w:left w:val="single" w:sz="8" w:color="auto"/>
              <w:bottom w:val="single" w:sz="8" w:color="auto"/>
              <w:right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1"/>
        </w:trPr>
        <w:tc>
          <w:tcPr>
            <w:tcW w:w="164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spacing w:after="0"/>
              <w:rPr>
                <w:sz w:val="24"/>
                <w:szCs w:val="24"/>
                <w:color w:val="auto"/>
              </w:rPr>
            </w:pPr>
          </w:p>
        </w:tc>
        <w:tc>
          <w:tcPr>
            <w:tcW w:w="1300" w:type="dxa"/>
            <w:vAlign w:val="bottom"/>
            <w:tcBorders>
              <w:bottom w:val="single" w:sz="8" w:color="auto"/>
            </w:tcBorders>
            <w:gridSpan w:val="5"/>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40" w:type="dxa"/>
            <w:vAlign w:val="bottom"/>
            <w:tcBorders>
              <w:left w:val="single" w:sz="8" w:color="auto"/>
            </w:tcBorders>
            <w:gridSpan w:val="3"/>
          </w:tcPr>
          <w:p>
            <w:pPr>
              <w:jc w:val="center"/>
              <w:ind w:left="317"/>
              <w:spacing w:after="0"/>
              <w:rPr>
                <w:sz w:val="20"/>
                <w:szCs w:val="20"/>
                <w:color w:val="auto"/>
              </w:rPr>
            </w:pPr>
            <w:r>
              <w:rPr>
                <w:rFonts w:ascii="Arial" w:cs="Arial" w:eastAsia="Arial" w:hAnsi="Arial"/>
                <w:sz w:val="17"/>
                <w:szCs w:val="17"/>
                <w:b w:val="1"/>
                <w:bCs w:val="1"/>
                <w:color w:val="auto"/>
                <w:w w:val="88"/>
              </w:rPr>
              <w:t>Full name of the</w:t>
            </w:r>
          </w:p>
        </w:tc>
        <w:tc>
          <w:tcPr>
            <w:tcW w:w="2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right w:val="single" w:sz="8" w:color="auto"/>
            </w:tcBorders>
            <w:gridSpan w:val="5"/>
          </w:tcPr>
          <w:p>
            <w:pPr>
              <w:ind w:left="160"/>
              <w:spacing w:after="0"/>
              <w:rPr>
                <w:sz w:val="20"/>
                <w:szCs w:val="20"/>
                <w:color w:val="auto"/>
              </w:rPr>
            </w:pPr>
            <w:r>
              <w:rPr>
                <w:rFonts w:ascii="Arial" w:cs="Arial" w:eastAsia="Arial" w:hAnsi="Arial"/>
                <w:sz w:val="17"/>
                <w:szCs w:val="17"/>
                <w:b w:val="1"/>
                <w:bCs w:val="1"/>
                <w:color w:val="auto"/>
              </w:rPr>
              <w:t>WANG Yan</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ind w:left="200"/>
              <w:spacing w:after="0"/>
              <w:rPr>
                <w:sz w:val="20"/>
                <w:szCs w:val="20"/>
                <w:color w:val="auto"/>
              </w:rPr>
            </w:pPr>
            <w:r>
              <w:rPr>
                <w:rFonts w:ascii="Arial" w:cs="Arial" w:eastAsia="Arial" w:hAnsi="Arial"/>
                <w:sz w:val="17"/>
                <w:szCs w:val="17"/>
                <w:b w:val="1"/>
                <w:bCs w:val="1"/>
                <w:color w:val="auto"/>
              </w:rPr>
              <w:t>ID Card No./</w:t>
            </w:r>
          </w:p>
        </w:tc>
        <w:tc>
          <w:tcPr>
            <w:tcW w:w="380" w:type="dxa"/>
            <w:vAlign w:val="bottom"/>
            <w:tcBorders>
              <w:right w:val="single" w:sz="8" w:color="auto"/>
            </w:tcBorders>
            <w:gridSpan w:val="2"/>
          </w:tcPr>
          <w:p>
            <w:pPr>
              <w:spacing w:after="0"/>
              <w:rPr>
                <w:sz w:val="19"/>
                <w:szCs w:val="19"/>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2"/>
          </w:tcPr>
          <w:p>
            <w:pPr>
              <w:jc w:val="right"/>
              <w:ind w:right="137"/>
              <w:spacing w:after="0"/>
              <w:rPr>
                <w:sz w:val="20"/>
                <w:szCs w:val="20"/>
                <w:color w:val="auto"/>
              </w:rPr>
            </w:pPr>
            <w:r>
              <w:rPr>
                <w:rFonts w:ascii="Arial" w:cs="Arial" w:eastAsia="Arial" w:hAnsi="Arial"/>
                <w:sz w:val="17"/>
                <w:szCs w:val="17"/>
                <w:b w:val="1"/>
                <w:bCs w:val="1"/>
                <w:color w:val="auto"/>
              </w:rPr>
              <w:t>]</w:t>
            </w:r>
          </w:p>
        </w:tc>
        <w:tc>
          <w:tcPr>
            <w:tcW w:w="16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7"/>
              </w:rPr>
              <w:t>Occupation/</w:t>
            </w:r>
          </w:p>
        </w:tc>
        <w:tc>
          <w:tcPr>
            <w:tcW w:w="44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Shareholder</w:t>
            </w:r>
          </w:p>
        </w:tc>
        <w:tc>
          <w:tcPr>
            <w:tcW w:w="2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peng</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ind w:left="80"/>
              <w:spacing w:after="0"/>
              <w:rPr>
                <w:sz w:val="20"/>
                <w:szCs w:val="20"/>
                <w:color w:val="auto"/>
              </w:rPr>
            </w:pPr>
            <w:r>
              <w:rPr>
                <w:rFonts w:ascii="Arial" w:cs="Arial" w:eastAsia="Arial" w:hAnsi="Arial"/>
                <w:sz w:val="17"/>
                <w:szCs w:val="17"/>
                <w:b w:val="1"/>
                <w:bCs w:val="1"/>
                <w:color w:val="auto"/>
                <w:w w:val="98"/>
              </w:rPr>
              <w:t>Registration No.</w:t>
            </w:r>
          </w:p>
        </w:tc>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397"/>
              <w:spacing w:after="0"/>
              <w:rPr>
                <w:sz w:val="20"/>
                <w:szCs w:val="20"/>
                <w:color w:val="auto"/>
              </w:rPr>
            </w:pPr>
            <w:r>
              <w:rPr>
                <w:rFonts w:ascii="Arial" w:cs="Arial" w:eastAsia="Arial" w:hAnsi="Arial"/>
                <w:sz w:val="17"/>
                <w:szCs w:val="17"/>
                <w:b w:val="1"/>
                <w:bCs w:val="1"/>
                <w:color w:val="auto"/>
                <w:w w:val="95"/>
              </w:rPr>
              <w:t>Identity</w:t>
            </w:r>
          </w:p>
        </w:tc>
        <w:tc>
          <w:tcPr>
            <w:tcW w:w="4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880" w:type="dxa"/>
            <w:vAlign w:val="bottom"/>
            <w:tcBorders>
              <w:left w:val="single" w:sz="8" w:color="auto"/>
              <w:bottom w:val="single" w:sz="8" w:color="auto"/>
            </w:tcBorders>
            <w:gridSpan w:val="4"/>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tcBorders>
            <w:gridSpan w:val="3"/>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880" w:type="dxa"/>
            <w:vAlign w:val="bottom"/>
            <w:tcBorders>
              <w:left w:val="single" w:sz="8" w:color="auto"/>
            </w:tcBorders>
            <w:gridSpan w:val="4"/>
          </w:tcPr>
          <w:p>
            <w:pPr>
              <w:ind w:left="400"/>
              <w:spacing w:after="0"/>
              <w:rPr>
                <w:sz w:val="20"/>
                <w:szCs w:val="20"/>
                <w:color w:val="auto"/>
              </w:rPr>
            </w:pPr>
            <w:r>
              <w:rPr>
                <w:rFonts w:ascii="Arial" w:cs="Arial" w:eastAsia="Arial" w:hAnsi="Arial"/>
                <w:sz w:val="17"/>
                <w:szCs w:val="17"/>
                <w:b w:val="1"/>
                <w:bCs w:val="1"/>
                <w:color w:val="auto"/>
                <w:w w:val="88"/>
              </w:rPr>
              <w:t>Address of Domicile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3"/>
          </w:tcPr>
          <w:p>
            <w:pPr>
              <w:jc w:val="right"/>
              <w:ind w:right="317"/>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920" w:type="dxa"/>
            <w:vAlign w:val="bottom"/>
            <w:tcBorders>
              <w:left w:val="single" w:sz="8" w:color="auto"/>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right w:val="single" w:sz="8" w:color="auto"/>
            </w:tcBorders>
            <w:gridSpan w:val="2"/>
          </w:tcPr>
          <w:p>
            <w:pPr>
              <w:spacing w:after="0"/>
              <w:rPr>
                <w:sz w:val="4"/>
                <w:szCs w:val="4"/>
                <w:color w:val="auto"/>
              </w:rPr>
            </w:pPr>
          </w:p>
        </w:tc>
        <w:tc>
          <w:tcPr>
            <w:tcW w:w="1460" w:type="dxa"/>
            <w:vAlign w:val="bottom"/>
            <w:tcBorders>
              <w:bottom w:val="single" w:sz="8" w:color="auto"/>
            </w:tcBorders>
            <w:gridSpan w:val="6"/>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3"/>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920" w:type="dxa"/>
            <w:vAlign w:val="bottom"/>
            <w:tcBorders>
              <w:left w:val="single" w:sz="8" w:color="auto"/>
              <w:right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Date</w:t>
            </w:r>
          </w:p>
        </w:tc>
        <w:tc>
          <w:tcPr>
            <w:tcW w:w="720" w:type="dxa"/>
            <w:vAlign w:val="bottom"/>
          </w:tcPr>
          <w:p>
            <w:pPr>
              <w:spacing w:after="0"/>
              <w:rPr>
                <w:sz w:val="19"/>
                <w:szCs w:val="19"/>
                <w:color w:val="auto"/>
              </w:rPr>
            </w:pPr>
          </w:p>
        </w:tc>
        <w:tc>
          <w:tcPr>
            <w:tcW w:w="2380" w:type="dxa"/>
            <w:vAlign w:val="bottom"/>
            <w:gridSpan w:val="11"/>
          </w:tcPr>
          <w:p>
            <w:pPr>
              <w:jc w:val="center"/>
              <w:ind w:right="620"/>
              <w:spacing w:after="0"/>
              <w:rPr>
                <w:sz w:val="20"/>
                <w:szCs w:val="20"/>
                <w:color w:val="auto"/>
              </w:rPr>
            </w:pPr>
            <w:r>
              <w:rPr>
                <w:rFonts w:ascii="Arial" w:cs="Arial" w:eastAsia="Arial" w:hAnsi="Arial"/>
                <w:sz w:val="17"/>
                <w:szCs w:val="17"/>
                <w:b w:val="1"/>
                <w:bCs w:val="1"/>
                <w:color w:val="auto"/>
                <w:w w:val="91"/>
              </w:rPr>
              <w:t>Contribution Amount/</w:t>
            </w: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2400" w:type="dxa"/>
            <w:vAlign w:val="bottom"/>
            <w:gridSpan w:val="6"/>
          </w:tcPr>
          <w:p>
            <w:pPr>
              <w:ind w:left="840"/>
              <w:spacing w:after="0"/>
              <w:rPr>
                <w:sz w:val="20"/>
                <w:szCs w:val="20"/>
                <w:color w:val="auto"/>
              </w:rPr>
            </w:pPr>
            <w:r>
              <w:rPr>
                <w:rFonts w:ascii="Arial" w:cs="Arial" w:eastAsia="Arial" w:hAnsi="Arial"/>
                <w:sz w:val="17"/>
                <w:szCs w:val="17"/>
                <w:b w:val="1"/>
                <w:bCs w:val="1"/>
                <w:color w:val="auto"/>
              </w:rPr>
              <w:t>Shareholding</w:t>
            </w:r>
          </w:p>
        </w:tc>
        <w:tc>
          <w:tcPr>
            <w:tcW w:w="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7"/>
                <w:szCs w:val="17"/>
                <w:b w:val="1"/>
                <w:bCs w:val="1"/>
                <w:color w:val="auto"/>
                <w:w w:val="84"/>
              </w:rPr>
              <w:t>Note</w:t>
            </w:r>
          </w:p>
        </w:tc>
        <w:tc>
          <w:tcPr>
            <w:tcW w:w="20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9"/>
          </w:tcPr>
          <w:p>
            <w:pPr>
              <w:jc w:val="center"/>
              <w:ind w:right="1000"/>
              <w:spacing w:after="0"/>
              <w:rPr>
                <w:sz w:val="20"/>
                <w:szCs w:val="20"/>
                <w:color w:val="auto"/>
              </w:rPr>
            </w:pPr>
            <w:r>
              <w:rPr>
                <w:rFonts w:ascii="Arial" w:cs="Arial" w:eastAsia="Arial" w:hAnsi="Arial"/>
                <w:sz w:val="17"/>
                <w:szCs w:val="17"/>
                <w:b w:val="1"/>
                <w:bCs w:val="1"/>
                <w:color w:val="auto"/>
                <w:w w:val="85"/>
              </w:rPr>
              <w:t>Consideration</w:t>
            </w: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400" w:type="dxa"/>
            <w:vAlign w:val="bottom"/>
            <w:gridSpan w:val="6"/>
          </w:tcPr>
          <w:p>
            <w:pPr>
              <w:ind w:left="940"/>
              <w:spacing w:after="0"/>
              <w:rPr>
                <w:sz w:val="20"/>
                <w:szCs w:val="20"/>
                <w:color w:val="auto"/>
              </w:rPr>
            </w:pPr>
            <w:r>
              <w:rPr>
                <w:rFonts w:ascii="Arial" w:cs="Arial" w:eastAsia="Arial" w:hAnsi="Arial"/>
                <w:sz w:val="17"/>
                <w:szCs w:val="17"/>
                <w:b w:val="1"/>
                <w:bCs w:val="1"/>
                <w:color w:val="auto"/>
              </w:rPr>
              <w:t>Percentage</w:t>
            </w: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gridSpan w:val="2"/>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2440" w:type="dxa"/>
            <w:vAlign w:val="bottom"/>
            <w:tcBorders>
              <w:bottom w:val="single" w:sz="8" w:color="auto"/>
              <w:right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0" w:type="dxa"/>
            <w:vAlign w:val="bottom"/>
            <w:tcBorders>
              <w:lef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7"/>
                <w:szCs w:val="17"/>
                <w:color w:val="auto"/>
              </w:rPr>
              <w:t>CNY [</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4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right w:val="single" w:sz="8" w:color="auto"/>
            </w:tcBorders>
            <w:gridSpan w:val="2"/>
          </w:tcPr>
          <w:p>
            <w:pPr>
              <w:spacing w:after="0"/>
              <w:rPr>
                <w:sz w:val="19"/>
                <w:szCs w:val="19"/>
                <w:color w:val="auto"/>
              </w:rPr>
            </w:pPr>
          </w:p>
        </w:tc>
        <w:tc>
          <w:tcPr>
            <w:tcW w:w="1400" w:type="dxa"/>
            <w:vAlign w:val="bottom"/>
          </w:tcPr>
          <w:p>
            <w:pPr>
              <w:ind w:left="9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257"/>
              <w:spacing w:after="0"/>
              <w:rPr>
                <w:sz w:val="20"/>
                <w:szCs w:val="20"/>
                <w:color w:val="auto"/>
              </w:rPr>
            </w:pPr>
            <w:r>
              <w:rPr>
                <w:rFonts w:ascii="Arial" w:cs="Arial" w:eastAsia="Arial" w:hAnsi="Arial"/>
                <w:sz w:val="17"/>
                <w:szCs w:val="17"/>
                <w:color w:val="auto"/>
              </w:rPr>
              <w:t>5 ]%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80" w:type="dxa"/>
            <w:vAlign w:val="bottom"/>
            <w:tcBorders>
              <w:right w:val="single" w:sz="8" w:color="auto"/>
            </w:tcBorders>
            <w:gridSpan w:val="4"/>
          </w:tcPr>
          <w:p>
            <w:pPr>
              <w:jc w:val="center"/>
              <w:ind w:right="817"/>
              <w:spacing w:after="0"/>
              <w:rPr>
                <w:sz w:val="20"/>
                <w:szCs w:val="20"/>
                <w:color w:val="auto"/>
              </w:rPr>
            </w:pPr>
            <w:r>
              <w:rPr>
                <w:rFonts w:ascii="Arial" w:cs="Arial" w:eastAsia="Arial" w:hAnsi="Arial"/>
                <w:sz w:val="17"/>
                <w:szCs w:val="17"/>
                <w:color w:val="auto"/>
                <w:w w:val="88"/>
              </w:rPr>
              <w:t>100% of the equity being pledged to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right w:val="single" w:sz="8" w:color="auto"/>
            </w:tcBorders>
            <w:gridSpan w:val="5"/>
          </w:tcPr>
          <w:p>
            <w:pPr>
              <w:jc w:val="center"/>
              <w:ind w:right="397"/>
              <w:spacing w:after="0"/>
              <w:rPr>
                <w:sz w:val="20"/>
                <w:szCs w:val="20"/>
                <w:color w:val="auto"/>
              </w:rPr>
            </w:pPr>
            <w:r>
              <w:rPr>
                <w:rFonts w:ascii="Arial" w:cs="Arial" w:eastAsia="Arial" w:hAnsi="Arial"/>
                <w:sz w:val="17"/>
                <w:szCs w:val="17"/>
                <w:color w:val="auto"/>
                <w:w w:val="92"/>
              </w:rPr>
              <w:t>[   Wuhan Studyvip Online Education Co.,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Limited</w:t>
            </w:r>
          </w:p>
        </w:tc>
        <w:tc>
          <w:tcPr>
            <w:tcW w:w="2000" w:type="dxa"/>
            <w:vAlign w:val="bottom"/>
            <w:tcBorders>
              <w:right w:val="single" w:sz="8" w:color="auto"/>
            </w:tcBorders>
          </w:tcPr>
          <w:p>
            <w:pPr>
              <w:jc w:val="right"/>
              <w:ind w:right="1657"/>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4"/>
        </w:trPr>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449" w:name="page450"/>
    <w:bookmarkEnd w:id="449"/>
    <w:p>
      <w:pPr>
        <w:spacing w:after="0"/>
        <w:rPr>
          <w:sz w:val="20"/>
          <w:szCs w:val="20"/>
          <w:color w:val="auto"/>
        </w:rPr>
      </w:pPr>
      <w:r>
        <w:rPr>
          <w:rFonts w:ascii="Arial" w:cs="Arial" w:eastAsia="Arial" w:hAnsi="Arial"/>
          <w:sz w:val="17"/>
          <w:szCs w:val="17"/>
          <w:b w:val="1"/>
          <w:bCs w:val="1"/>
          <w:color w:val="auto"/>
        </w:rPr>
        <w:t>Annotation:</w:t>
      </w:r>
    </w:p>
    <w:p>
      <w:pPr>
        <w:spacing w:after="0" w:line="203" w:lineRule="exact"/>
        <w:rPr>
          <w:sz w:val="20"/>
          <w:szCs w:val="20"/>
          <w:color w:val="auto"/>
        </w:rPr>
      </w:pPr>
    </w:p>
    <w:p>
      <w:pPr>
        <w:ind w:right="20"/>
        <w:spacing w:after="0" w:line="257" w:lineRule="auto"/>
        <w:tabs>
          <w:tab w:leader="none" w:pos="166" w:val="left"/>
        </w:tabs>
        <w:numPr>
          <w:ilvl w:val="0"/>
          <w:numId w:val="495"/>
        </w:numPr>
        <w:rPr>
          <w:rFonts w:ascii="Arial" w:cs="Arial" w:eastAsia="Arial" w:hAnsi="Arial"/>
          <w:sz w:val="17"/>
          <w:szCs w:val="17"/>
          <w:b w:val="1"/>
          <w:bCs w:val="1"/>
          <w:color w:val="auto"/>
        </w:rPr>
      </w:pPr>
      <w:r>
        <w:rPr>
          <w:rFonts w:ascii="Arial" w:cs="Arial" w:eastAsia="Arial" w:hAnsi="Arial"/>
          <w:sz w:val="17"/>
          <w:szCs w:val="17"/>
          <w:b w:val="1"/>
          <w:bCs w:val="1"/>
          <w:color w:val="auto"/>
        </w:rPr>
        <w:t>This Shareholders’ Register is prepared as per the Articles of Association of Wuhan Jiayan Online Education Technology Co. and the Equity Interest Pledge Agreement (the “Pledge Agreement”) was made as of the fifth day of August, 2020 and entered into by and among Wuhan Jiayan Online Education Technology Co. and its shareholders and Wuhan Studyvip Online Education Co., Limited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w:t>
      </w:r>
    </w:p>
    <w:p>
      <w:pPr>
        <w:spacing w:after="0" w:line="22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This Shareholders’ Register is made in ONE (1) original and ONE (1) true and same photocopy of such original. Such ONE (1) original is placed at Tianjin Shangde Online</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Education Technology Co., Ltd.; and such ONE (1) photocopy being sealed by Wuhan Jiayan Online Education Technology Co. is handed over to Wuhan Studyvip Online Education Co., Limited for custody.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Jiayan Online Education Technology Co. (Seal)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(Signature):/s/ HAN Wei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10160</wp:posOffset>
            </wp:positionV>
            <wp:extent cx="1787525"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4">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50" w:name="page451"/>
    <w:bookmarkEnd w:id="450"/>
    <w:p>
      <w:pPr>
        <w:jc w:val="right"/>
        <w:spacing w:after="0"/>
        <w:rPr>
          <w:sz w:val="20"/>
          <w:szCs w:val="20"/>
          <w:color w:val="auto"/>
        </w:rPr>
      </w:pPr>
      <w:r>
        <w:rPr>
          <w:rFonts w:ascii="Arial" w:cs="Arial" w:eastAsia="Arial" w:hAnsi="Arial"/>
          <w:sz w:val="13"/>
          <w:szCs w:val="13"/>
          <w:b w:val="1"/>
          <w:bCs w:val="1"/>
          <w:color w:val="auto"/>
        </w:rPr>
        <w:t>Exhibit 4.55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Agreement</w:t>
      </w:r>
    </w:p>
    <w:p>
      <w:pPr>
        <w:spacing w:after="0" w:line="2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Option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the fifth day of August,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r>
        <w:rPr>
          <w:rFonts w:ascii="Arial" w:cs="Arial" w:eastAsia="Arial" w:hAnsi="Arial"/>
          <w:sz w:val="17"/>
          <w:szCs w:val="17"/>
          <w:color w:val="auto"/>
        </w:rPr>
        <w:t>: Wuhan Jiayan Online Education Technology Co.</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Wuhan East Lake New Technology Development Zone, Guanan Park, No. 1 Road 20, contemporary Huaxia Venture Center, Building 2, 3, Building 3, unit 3 floor, Room 02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HAN Wei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420" w:hanging="420"/>
        <w:spacing w:after="0"/>
        <w:tabs>
          <w:tab w:leader="none" w:pos="42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Party A is a wholly foreign-owned enterprise incorporated and existing under the laws of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Party C is a limited liability company incorporated and existing under the laws of the PRC.</w:t>
      </w:r>
    </w:p>
    <w:p>
      <w:pPr>
        <w:spacing w:after="0" w:line="199" w:lineRule="exact"/>
        <w:rPr>
          <w:rFonts w:ascii="Arial" w:cs="Arial" w:eastAsia="Arial" w:hAnsi="Arial"/>
          <w:sz w:val="17"/>
          <w:szCs w:val="17"/>
          <w:color w:val="auto"/>
        </w:rPr>
      </w:pPr>
    </w:p>
    <w:p>
      <w:pPr>
        <w:ind w:left="420" w:hanging="420"/>
        <w:spacing w:after="0"/>
        <w:tabs>
          <w:tab w:leader="none" w:pos="42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Party B (“</w:t>
      </w:r>
      <w:r>
        <w:rPr>
          <w:rFonts w:ascii="Arial" w:cs="Arial" w:eastAsia="Arial" w:hAnsi="Arial"/>
          <w:sz w:val="17"/>
          <w:szCs w:val="17"/>
          <w:b w:val="1"/>
          <w:bCs w:val="1"/>
          <w:color w:val="auto"/>
        </w:rPr>
        <w:t>Grantors</w:t>
      </w:r>
      <w:r>
        <w:rPr>
          <w:rFonts w:ascii="Arial" w:cs="Arial" w:eastAsia="Arial" w:hAnsi="Arial"/>
          <w:sz w:val="17"/>
          <w:szCs w:val="17"/>
          <w:color w:val="auto"/>
        </w:rPr>
        <w:t>”) directly hold their interests in Party C, and the shareholdings are shown in Annex II hereto.</w:t>
      </w:r>
    </w:p>
    <w:p>
      <w:pPr>
        <w:spacing w:after="0" w:line="207" w:lineRule="exact"/>
        <w:rPr>
          <w:rFonts w:ascii="Arial" w:cs="Arial" w:eastAsia="Arial" w:hAnsi="Arial"/>
          <w:sz w:val="17"/>
          <w:szCs w:val="17"/>
          <w:color w:val="auto"/>
        </w:rPr>
      </w:pPr>
    </w:p>
    <w:p>
      <w:pPr>
        <w:ind w:left="420" w:hanging="420"/>
        <w:spacing w:after="0"/>
        <w:tabs>
          <w:tab w:leader="none" w:pos="42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The Parties hereto signed the Equity Pledge Agreement on the fifth day of August, 2020.</w:t>
      </w:r>
    </w:p>
    <w:p>
      <w:pPr>
        <w:spacing w:after="0" w:line="203" w:lineRule="exact"/>
        <w:rPr>
          <w:rFonts w:ascii="Arial" w:cs="Arial" w:eastAsia="Arial" w:hAnsi="Arial"/>
          <w:sz w:val="17"/>
          <w:szCs w:val="17"/>
          <w:color w:val="auto"/>
        </w:rPr>
      </w:pPr>
    </w:p>
    <w:p>
      <w:pPr>
        <w:ind w:left="420" w:hanging="420"/>
        <w:spacing w:after="0" w:line="264" w:lineRule="auto"/>
        <w:tabs>
          <w:tab w:leader="none" w:pos="42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Party B intends to grant Party A or its designated qualified subject an exclusive option to purchase all or part of the shares/assets of Party C held by any or all of Grantors at any time subject to compliance with the requirements of Chinese laws.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Therefore, this Agreement is entered into by and among the Parties as follows:</w:t>
      </w:r>
    </w:p>
    <w:p>
      <w:pPr>
        <w:spacing w:after="0" w:line="199" w:lineRule="exact"/>
        <w:rPr>
          <w:sz w:val="20"/>
          <w:szCs w:val="20"/>
          <w:color w:val="auto"/>
        </w:rPr>
      </w:pPr>
    </w:p>
    <w:p>
      <w:pPr>
        <w:ind w:left="860" w:hanging="860"/>
        <w:spacing w:after="0"/>
        <w:tabs>
          <w:tab w:leader="none" w:pos="860" w:val="left"/>
        </w:tabs>
        <w:numPr>
          <w:ilvl w:val="0"/>
          <w:numId w:val="497"/>
        </w:numPr>
        <w:rPr>
          <w:rFonts w:ascii="Arial" w:cs="Arial" w:eastAsia="Arial" w:hAnsi="Arial"/>
          <w:sz w:val="17"/>
          <w:szCs w:val="17"/>
          <w:b w:val="1"/>
          <w:bCs w:val="1"/>
          <w:color w:val="auto"/>
        </w:rPr>
      </w:pPr>
      <w:r>
        <w:rPr>
          <w:rFonts w:ascii="Arial" w:cs="Arial" w:eastAsia="Arial" w:hAnsi="Arial"/>
          <w:sz w:val="17"/>
          <w:szCs w:val="17"/>
          <w:b w:val="1"/>
          <w:bCs w:val="1"/>
          <w:color w:val="auto"/>
        </w:rPr>
        <w:t>Granting of the Option</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5"/>
          <w:szCs w:val="15"/>
          <w:color w:val="auto"/>
        </w:rPr>
        <w:t>Granting</w:t>
      </w:r>
    </w:p>
    <w:p>
      <w:pPr>
        <w:spacing w:after="0" w:line="228" w:lineRule="exact"/>
        <w:rPr>
          <w:sz w:val="20"/>
          <w:szCs w:val="20"/>
          <w:color w:val="auto"/>
        </w:rPr>
      </w:pPr>
    </w:p>
    <w:p>
      <w:pPr>
        <w:jc w:val="both"/>
        <w:ind w:left="1520" w:firstLine="1"/>
        <w:spacing w:after="0" w:line="304" w:lineRule="auto"/>
        <w:rPr>
          <w:sz w:val="20"/>
          <w:szCs w:val="20"/>
          <w:color w:val="auto"/>
        </w:rPr>
      </w:pPr>
      <w:r>
        <w:rPr>
          <w:rFonts w:ascii="Arial" w:cs="Arial" w:eastAsia="Arial" w:hAnsi="Arial"/>
          <w:sz w:val="15"/>
          <w:szCs w:val="15"/>
          <w:color w:val="auto"/>
        </w:rPr>
        <w:t>Grantors agree that, on the date of signing this Agreement, they shall irrevocably grant Party A an option to purchase in installments or lump sum all their shares in Party C by Party A or its designated third party in such way of exercise as stipulated in Section 2.2 hereof. Such option shall be granted to Party A after this Agreement is signed by the Parties hereto and shall be irrevocable within the term of this Agreement once granted.</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3"/>
          <w:szCs w:val="13"/>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76835</wp:posOffset>
            </wp:positionV>
            <wp:extent cx="7184390" cy="412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1" w:name="page452"/>
    <w:bookmarkEnd w:id="451"/>
    <w:p>
      <w:pPr>
        <w:ind w:left="1520" w:firstLine="1"/>
        <w:spacing w:after="0" w:line="264" w:lineRule="auto"/>
        <w:rPr>
          <w:sz w:val="20"/>
          <w:szCs w:val="20"/>
          <w:color w:val="auto"/>
        </w:rPr>
      </w:pPr>
      <w:r>
        <w:rPr>
          <w:rFonts w:ascii="Arial" w:cs="Arial" w:eastAsia="Arial" w:hAnsi="Arial"/>
          <w:sz w:val="17"/>
          <w:szCs w:val="17"/>
          <w:color w:val="auto"/>
        </w:rPr>
        <w:t>This Agreement shall take effect after being signed and/or sealed by the parties hereto, and shall not be terminated until Party A acquires all shares of Party C held by Grantors subject to the applicable laws of the PRC.</w:t>
      </w:r>
    </w:p>
    <w:p>
      <w:pPr>
        <w:spacing w:after="0" w:line="164" w:lineRule="exact"/>
        <w:rPr>
          <w:sz w:val="20"/>
          <w:szCs w:val="20"/>
          <w:color w:val="auto"/>
        </w:rPr>
      </w:pPr>
    </w:p>
    <w:p>
      <w:pPr>
        <w:ind w:left="720" w:hanging="720"/>
        <w:spacing w:after="0"/>
        <w:tabs>
          <w:tab w:leader="none" w:pos="720" w:val="left"/>
        </w:tabs>
        <w:numPr>
          <w:ilvl w:val="0"/>
          <w:numId w:val="498"/>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Option and Delivery</w:t>
      </w:r>
    </w:p>
    <w:p>
      <w:pPr>
        <w:spacing w:after="0" w:line="203"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3"/>
          <w:szCs w:val="13"/>
          <w:b w:val="1"/>
          <w:bCs w:val="1"/>
          <w:color w:val="auto"/>
        </w:rPr>
        <w:t>Time of Exercise</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2.1.1 Grantors unanimously agree that Party A may exercise the option in whole or in part at any time within the term of this Agreement subject to the applicable laws of the PRC;</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3"/>
          <w:szCs w:val="13"/>
          <w:color w:val="auto"/>
        </w:rPr>
        <w:t>Grantors unanimously agree that there shall not be any restrictions on number of Party A’s exercise unless Party A has acquired all shares of Party C; and</w:t>
      </w:r>
    </w:p>
    <w:p>
      <w:pPr>
        <w:spacing w:after="0" w:line="20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2.1.3 Grantors unanimously agree that Party A may designate any third party to exercise the option, provided that Party A shall inform in writing Grantors of such designation in advance.</w:t>
      </w:r>
    </w:p>
    <w:p>
      <w:pPr>
        <w:spacing w:after="0" w:line="16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3"/>
          <w:szCs w:val="13"/>
          <w:color w:val="auto"/>
        </w:rPr>
        <w:t>Exercise Consideration</w:t>
      </w:r>
    </w:p>
    <w:p>
      <w:pPr>
        <w:spacing w:after="0" w:line="228" w:lineRule="exact"/>
        <w:rPr>
          <w:sz w:val="20"/>
          <w:szCs w:val="20"/>
          <w:color w:val="auto"/>
        </w:rPr>
      </w:pPr>
    </w:p>
    <w:p>
      <w:pPr>
        <w:ind w:left="1540" w:hanging="8"/>
        <w:spacing w:after="0" w:line="264" w:lineRule="auto"/>
        <w:rPr>
          <w:sz w:val="20"/>
          <w:szCs w:val="20"/>
          <w:color w:val="auto"/>
        </w:rPr>
      </w:pPr>
      <w:r>
        <w:rPr>
          <w:rFonts w:ascii="Arial" w:cs="Arial" w:eastAsia="Arial" w:hAnsi="Arial"/>
          <w:sz w:val="17"/>
          <w:szCs w:val="17"/>
          <w:color w:val="auto"/>
        </w:rPr>
        <w:t>Unless otherwise agreed by the Parties hereto, Grantors unanimously agree that, when Party A or its designated third party exercises the option, all exercise</w:t>
      </w:r>
    </w:p>
    <w:p>
      <w:pPr>
        <w:spacing w:after="0" w:line="200" w:lineRule="exact"/>
        <w:rPr>
          <w:sz w:val="20"/>
          <w:szCs w:val="20"/>
          <w:color w:val="auto"/>
        </w:rPr>
      </w:pPr>
    </w:p>
    <w:p>
      <w:pPr>
        <w:spacing w:after="0" w:line="36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considerations obtained by Grantors therefor shall be immediately given to Party A or its designated third party free of charge.</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440" w:type="dxa"/>
            <w:vAlign w:val="bottom"/>
          </w:tcPr>
          <w:p>
            <w:pPr>
              <w:jc w:val="right"/>
              <w:ind w:right="157"/>
              <w:spacing w:after="0"/>
              <w:rPr>
                <w:sz w:val="20"/>
                <w:szCs w:val="20"/>
                <w:color w:val="auto"/>
              </w:rPr>
            </w:pPr>
            <w:r>
              <w:rPr>
                <w:rFonts w:ascii="Arial" w:cs="Arial" w:eastAsia="Arial" w:hAnsi="Arial"/>
                <w:sz w:val="17"/>
                <w:szCs w:val="17"/>
                <w:color w:val="auto"/>
                <w:w w:val="75"/>
              </w:rPr>
              <w:t>2.3</w:t>
            </w:r>
          </w:p>
        </w:tc>
        <w:tc>
          <w:tcPr>
            <w:tcW w:w="1180" w:type="dxa"/>
            <w:vAlign w:val="bottom"/>
          </w:tcPr>
          <w:p>
            <w:pPr>
              <w:ind w:left="420"/>
              <w:spacing w:after="0"/>
              <w:rPr>
                <w:sz w:val="20"/>
                <w:szCs w:val="20"/>
                <w:color w:val="auto"/>
              </w:rPr>
            </w:pPr>
            <w:r>
              <w:rPr>
                <w:rFonts w:ascii="Arial" w:cs="Arial" w:eastAsia="Arial" w:hAnsi="Arial"/>
                <w:sz w:val="17"/>
                <w:szCs w:val="17"/>
                <w:color w:val="auto"/>
              </w:rPr>
              <w:t>Transfer</w:t>
            </w:r>
          </w:p>
        </w:tc>
        <w:tc>
          <w:tcPr>
            <w:tcW w:w="8760" w:type="dxa"/>
            <w:vAlign w:val="bottom"/>
          </w:tcPr>
          <w:p>
            <w:pPr>
              <w:spacing w:after="0"/>
              <w:rPr>
                <w:sz w:val="18"/>
                <w:szCs w:val="18"/>
                <w:color w:val="auto"/>
              </w:rPr>
            </w:pPr>
          </w:p>
        </w:tc>
      </w:tr>
      <w:tr>
        <w:trPr>
          <w:trHeight w:val="411"/>
        </w:trPr>
        <w:tc>
          <w:tcPr>
            <w:tcW w:w="440" w:type="dxa"/>
            <w:vAlign w:val="bottom"/>
          </w:tcPr>
          <w:p>
            <w:pPr>
              <w:spacing w:after="0"/>
              <w:rPr>
                <w:sz w:val="24"/>
                <w:szCs w:val="24"/>
                <w:color w:val="auto"/>
              </w:rPr>
            </w:pPr>
          </w:p>
        </w:tc>
        <w:tc>
          <w:tcPr>
            <w:tcW w:w="9940" w:type="dxa"/>
            <w:vAlign w:val="bottom"/>
            <w:gridSpan w:val="2"/>
          </w:tcPr>
          <w:p>
            <w:pPr>
              <w:ind w:left="220"/>
              <w:spacing w:after="0"/>
              <w:rPr>
                <w:sz w:val="20"/>
                <w:szCs w:val="20"/>
                <w:color w:val="auto"/>
              </w:rPr>
            </w:pPr>
            <w:r>
              <w:rPr>
                <w:rFonts w:ascii="Arial" w:cs="Arial" w:eastAsia="Arial" w:hAnsi="Arial"/>
                <w:sz w:val="17"/>
                <w:szCs w:val="17"/>
                <w:color w:val="auto"/>
                <w:w w:val="92"/>
              </w:rPr>
              <w:t>Grantors unanimously agree that Party A may transfer its option under this Agreement to any third party in whole or in part without separate</w:t>
            </w:r>
          </w:p>
        </w:tc>
      </w:tr>
      <w:tr>
        <w:trPr>
          <w:trHeight w:val="199"/>
        </w:trPr>
        <w:tc>
          <w:tcPr>
            <w:tcW w:w="440" w:type="dxa"/>
            <w:vAlign w:val="bottom"/>
          </w:tcPr>
          <w:p>
            <w:pPr>
              <w:spacing w:after="0"/>
              <w:rPr>
                <w:sz w:val="17"/>
                <w:szCs w:val="17"/>
                <w:color w:val="auto"/>
              </w:rPr>
            </w:pPr>
          </w:p>
        </w:tc>
        <w:tc>
          <w:tcPr>
            <w:tcW w:w="9940" w:type="dxa"/>
            <w:vAlign w:val="bottom"/>
            <w:gridSpan w:val="2"/>
          </w:tcPr>
          <w:p>
            <w:pPr>
              <w:ind w:left="220"/>
              <w:spacing w:after="0"/>
              <w:rPr>
                <w:sz w:val="20"/>
                <w:szCs w:val="20"/>
                <w:color w:val="auto"/>
              </w:rPr>
            </w:pPr>
            <w:r>
              <w:rPr>
                <w:rFonts w:ascii="Arial" w:cs="Arial" w:eastAsia="Arial" w:hAnsi="Arial"/>
                <w:sz w:val="17"/>
                <w:szCs w:val="17"/>
                <w:color w:val="auto"/>
                <w:w w:val="93"/>
              </w:rPr>
              <w:t>approval of Grantors, and such transferees shall be deemed to be a party to this Agreement and may exercise the option according to this</w:t>
            </w:r>
          </w:p>
        </w:tc>
      </w:tr>
      <w:tr>
        <w:trPr>
          <w:trHeight w:val="199"/>
        </w:trPr>
        <w:tc>
          <w:tcPr>
            <w:tcW w:w="440" w:type="dxa"/>
            <w:vAlign w:val="bottom"/>
          </w:tcPr>
          <w:p>
            <w:pPr>
              <w:spacing w:after="0"/>
              <w:rPr>
                <w:sz w:val="17"/>
                <w:szCs w:val="17"/>
                <w:color w:val="auto"/>
              </w:rPr>
            </w:pPr>
          </w:p>
        </w:tc>
        <w:tc>
          <w:tcPr>
            <w:tcW w:w="9940" w:type="dxa"/>
            <w:vAlign w:val="bottom"/>
            <w:gridSpan w:val="2"/>
          </w:tcPr>
          <w:p>
            <w:pPr>
              <w:ind w:left="220"/>
              <w:spacing w:after="0"/>
              <w:rPr>
                <w:sz w:val="20"/>
                <w:szCs w:val="20"/>
                <w:color w:val="auto"/>
              </w:rPr>
            </w:pPr>
            <w:r>
              <w:rPr>
                <w:rFonts w:ascii="Arial" w:cs="Arial" w:eastAsia="Arial" w:hAnsi="Arial"/>
                <w:sz w:val="17"/>
                <w:szCs w:val="17"/>
                <w:color w:val="auto"/>
                <w:w w:val="96"/>
              </w:rPr>
              <w:t>Agreement in respect of the share of the option acquired by it and shall enjoy and bear all of Party A’s rights and obligations under this</w:t>
            </w:r>
          </w:p>
        </w:tc>
      </w:tr>
      <w:tr>
        <w:trPr>
          <w:trHeight w:val="212"/>
        </w:trPr>
        <w:tc>
          <w:tcPr>
            <w:tcW w:w="440" w:type="dxa"/>
            <w:vAlign w:val="bottom"/>
          </w:tcPr>
          <w:p>
            <w:pPr>
              <w:spacing w:after="0"/>
              <w:rPr>
                <w:sz w:val="18"/>
                <w:szCs w:val="18"/>
                <w:color w:val="auto"/>
              </w:rPr>
            </w:pPr>
          </w:p>
        </w:tc>
        <w:tc>
          <w:tcPr>
            <w:tcW w:w="1180" w:type="dxa"/>
            <w:vAlign w:val="bottom"/>
          </w:tcPr>
          <w:p>
            <w:pPr>
              <w:ind w:left="220"/>
              <w:spacing w:after="0"/>
              <w:rPr>
                <w:sz w:val="20"/>
                <w:szCs w:val="20"/>
                <w:color w:val="auto"/>
              </w:rPr>
            </w:pPr>
            <w:r>
              <w:rPr>
                <w:rFonts w:ascii="Arial" w:cs="Arial" w:eastAsia="Arial" w:hAnsi="Arial"/>
                <w:sz w:val="17"/>
                <w:szCs w:val="17"/>
                <w:color w:val="auto"/>
              </w:rPr>
              <w:t>Agreement.</w:t>
            </w:r>
          </w:p>
        </w:tc>
        <w:tc>
          <w:tcPr>
            <w:tcW w:w="8760" w:type="dxa"/>
            <w:vAlign w:val="bottom"/>
          </w:tcPr>
          <w:p>
            <w:pPr>
              <w:spacing w:after="0"/>
              <w:rPr>
                <w:sz w:val="18"/>
                <w:szCs w:val="18"/>
                <w:color w:val="auto"/>
              </w:rPr>
            </w:pPr>
          </w:p>
        </w:tc>
      </w:tr>
      <w:tr>
        <w:trPr>
          <w:trHeight w:val="399"/>
        </w:trPr>
        <w:tc>
          <w:tcPr>
            <w:tcW w:w="440" w:type="dxa"/>
            <w:vAlign w:val="bottom"/>
          </w:tcPr>
          <w:p>
            <w:pPr>
              <w:jc w:val="right"/>
              <w:ind w:right="137"/>
              <w:spacing w:after="0"/>
              <w:rPr>
                <w:sz w:val="20"/>
                <w:szCs w:val="20"/>
                <w:color w:val="auto"/>
              </w:rPr>
            </w:pPr>
            <w:r>
              <w:rPr>
                <w:rFonts w:ascii="Arial" w:cs="Arial" w:eastAsia="Arial" w:hAnsi="Arial"/>
                <w:sz w:val="17"/>
                <w:szCs w:val="17"/>
                <w:color w:val="auto"/>
                <w:w w:val="84"/>
              </w:rPr>
              <w:t>2.4</w:t>
            </w:r>
          </w:p>
        </w:tc>
        <w:tc>
          <w:tcPr>
            <w:tcW w:w="9940" w:type="dxa"/>
            <w:vAlign w:val="bottom"/>
            <w:gridSpan w:val="2"/>
          </w:tcPr>
          <w:p>
            <w:pPr>
              <w:ind w:left="380"/>
              <w:spacing w:after="0"/>
              <w:rPr>
                <w:sz w:val="20"/>
                <w:szCs w:val="20"/>
                <w:color w:val="auto"/>
              </w:rPr>
            </w:pPr>
            <w:r>
              <w:rPr>
                <w:rFonts w:ascii="Arial" w:cs="Arial" w:eastAsia="Arial" w:hAnsi="Arial"/>
                <w:sz w:val="17"/>
                <w:szCs w:val="17"/>
                <w:color w:val="auto"/>
              </w:rPr>
              <w:t>Notice on Exercise</w:t>
            </w:r>
          </w:p>
        </w:tc>
      </w:tr>
      <w:tr>
        <w:trPr>
          <w:trHeight w:val="399"/>
        </w:trPr>
        <w:tc>
          <w:tcPr>
            <w:tcW w:w="440" w:type="dxa"/>
            <w:vAlign w:val="bottom"/>
          </w:tcPr>
          <w:p>
            <w:pPr>
              <w:spacing w:after="0"/>
              <w:rPr>
                <w:sz w:val="24"/>
                <w:szCs w:val="24"/>
                <w:color w:val="auto"/>
              </w:rPr>
            </w:pPr>
          </w:p>
        </w:tc>
        <w:tc>
          <w:tcPr>
            <w:tcW w:w="1180" w:type="dxa"/>
            <w:vAlign w:val="bottom"/>
          </w:tcPr>
          <w:p>
            <w:pPr>
              <w:ind w:left="420"/>
              <w:spacing w:after="0"/>
              <w:rPr>
                <w:sz w:val="20"/>
                <w:szCs w:val="20"/>
                <w:color w:val="auto"/>
              </w:rPr>
            </w:pPr>
            <w:r>
              <w:rPr>
                <w:rFonts w:ascii="Arial" w:cs="Arial" w:eastAsia="Arial" w:hAnsi="Arial"/>
                <w:sz w:val="17"/>
                <w:szCs w:val="17"/>
                <w:color w:val="auto"/>
              </w:rPr>
              <w:t>2.4.1</w:t>
            </w:r>
          </w:p>
        </w:tc>
        <w:tc>
          <w:tcPr>
            <w:tcW w:w="8760" w:type="dxa"/>
            <w:vAlign w:val="bottom"/>
          </w:tcPr>
          <w:p>
            <w:pPr>
              <w:ind w:left="180"/>
              <w:spacing w:after="0"/>
              <w:rPr>
                <w:sz w:val="20"/>
                <w:szCs w:val="20"/>
                <w:color w:val="auto"/>
              </w:rPr>
            </w:pPr>
            <w:r>
              <w:rPr>
                <w:rFonts w:ascii="Arial" w:cs="Arial" w:eastAsia="Arial" w:hAnsi="Arial"/>
                <w:sz w:val="17"/>
                <w:szCs w:val="17"/>
                <w:color w:val="auto"/>
                <w:w w:val="91"/>
              </w:rPr>
              <w:t>If Party A exercises the option hereunder, it shall notify in writing Grantors of such exercise Ten (10) working days prior to the</w:t>
            </w:r>
          </w:p>
        </w:tc>
      </w:tr>
    </w:tbl>
    <w:p>
      <w:pPr>
        <w:ind w:left="1720"/>
        <w:spacing w:after="0"/>
        <w:rPr>
          <w:sz w:val="20"/>
          <w:szCs w:val="20"/>
          <w:color w:val="auto"/>
        </w:rPr>
      </w:pPr>
      <w:r>
        <w:rPr>
          <w:rFonts w:ascii="Arial" w:cs="Arial" w:eastAsia="Arial" w:hAnsi="Arial"/>
          <w:sz w:val="17"/>
          <w:szCs w:val="17"/>
          <w:color w:val="auto"/>
        </w:rPr>
        <w:t>delivery date (as defined below), and such notice shall specify the following terms:</w:t>
      </w:r>
    </w:p>
    <w:p>
      <w:pPr>
        <w:spacing w:after="0" w:line="187" w:lineRule="exact"/>
        <w:rPr>
          <w:sz w:val="20"/>
          <w:szCs w:val="20"/>
          <w:color w:val="auto"/>
        </w:rPr>
      </w:pPr>
    </w:p>
    <w:p>
      <w:pPr>
        <w:jc w:val="both"/>
        <w:ind w:left="3460" w:hanging="869"/>
        <w:spacing w:after="0" w:line="257" w:lineRule="auto"/>
        <w:tabs>
          <w:tab w:leader="none" w:pos="346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Effective delivery date (“</w:t>
      </w:r>
      <w:r>
        <w:rPr>
          <w:rFonts w:ascii="Arial" w:cs="Arial" w:eastAsia="Arial" w:hAnsi="Arial"/>
          <w:sz w:val="17"/>
          <w:szCs w:val="17"/>
          <w:b w:val="1"/>
          <w:bCs w:val="1"/>
          <w:color w:val="auto"/>
        </w:rPr>
        <w:t>Delivery Date</w:t>
      </w:r>
      <w:r>
        <w:rPr>
          <w:rFonts w:ascii="Arial" w:cs="Arial" w:eastAsia="Arial" w:hAnsi="Arial"/>
          <w:sz w:val="17"/>
          <w:szCs w:val="17"/>
          <w:color w:val="auto"/>
        </w:rPr>
        <w:t>”) of the shares after the option is exercised, namely the date on which a formal application for share change registration is filed to the relevant administrative department of industry and commerce;</w:t>
      </w:r>
    </w:p>
    <w:p>
      <w:pPr>
        <w:spacing w:after="0" w:line="173" w:lineRule="exact"/>
        <w:rPr>
          <w:rFonts w:ascii="Arial" w:cs="Arial" w:eastAsia="Arial" w:hAnsi="Arial"/>
          <w:sz w:val="17"/>
          <w:szCs w:val="17"/>
          <w:color w:val="auto"/>
        </w:rPr>
      </w:pPr>
    </w:p>
    <w:p>
      <w:pPr>
        <w:ind w:left="3460" w:hanging="869"/>
        <w:spacing w:after="0"/>
        <w:tabs>
          <w:tab w:leader="none" w:pos="346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Name of the registered holder of the shares after the option is exercised;</w:t>
      </w:r>
    </w:p>
    <w:p>
      <w:pPr>
        <w:spacing w:after="0" w:line="228" w:lineRule="exact"/>
        <w:rPr>
          <w:rFonts w:ascii="Arial" w:cs="Arial" w:eastAsia="Arial" w:hAnsi="Arial"/>
          <w:sz w:val="17"/>
          <w:szCs w:val="17"/>
          <w:color w:val="auto"/>
        </w:rPr>
      </w:pPr>
    </w:p>
    <w:p>
      <w:pPr>
        <w:ind w:left="3460" w:hanging="869"/>
        <w:spacing w:after="0"/>
        <w:tabs>
          <w:tab w:leader="none" w:pos="346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Number of the shares purchased from Grantors;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203200</wp:posOffset>
            </wp:positionV>
            <wp:extent cx="7184390" cy="412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52" w:name="page453"/>
    <w:bookmarkEnd w:id="452"/>
    <w:tbl>
      <w:tblPr>
        <w:tblLayout w:type="fixed"/>
        <w:tblInd w:w="860" w:type="dxa"/>
        <w:tblCellMar>
          <w:top w:w="0" w:type="dxa"/>
          <w:left w:w="0" w:type="dxa"/>
          <w:bottom w:w="0" w:type="dxa"/>
          <w:right w:w="0" w:type="dxa"/>
        </w:tblCellMar>
      </w:tblPr>
      <w:tr>
        <w:trPr>
          <w:trHeight w:val="212"/>
        </w:trPr>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(d)</w:t>
            </w:r>
          </w:p>
        </w:tc>
        <w:tc>
          <w:tcPr>
            <w:tcW w:w="8120" w:type="dxa"/>
            <w:vAlign w:val="bottom"/>
          </w:tcPr>
          <w:p>
            <w:pPr>
              <w:ind w:left="340"/>
              <w:spacing w:after="0"/>
              <w:rPr>
                <w:sz w:val="20"/>
                <w:szCs w:val="20"/>
                <w:color w:val="auto"/>
              </w:rPr>
            </w:pPr>
            <w:r>
              <w:rPr>
                <w:rFonts w:ascii="Arial" w:cs="Arial" w:eastAsia="Arial" w:hAnsi="Arial"/>
                <w:sz w:val="17"/>
                <w:szCs w:val="17"/>
                <w:color w:val="auto"/>
              </w:rPr>
              <w:t>Exercise consideration and its payment method; and</w:t>
            </w:r>
          </w:p>
        </w:tc>
      </w:tr>
      <w:tr>
        <w:trPr>
          <w:trHeight w:val="42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7"/>
                <w:szCs w:val="17"/>
                <w:color w:val="auto"/>
              </w:rPr>
              <w:t>(e)</w:t>
            </w:r>
          </w:p>
        </w:tc>
        <w:tc>
          <w:tcPr>
            <w:tcW w:w="8120" w:type="dxa"/>
            <w:vAlign w:val="bottom"/>
          </w:tcPr>
          <w:p>
            <w:pPr>
              <w:ind w:left="340"/>
              <w:spacing w:after="0"/>
              <w:rPr>
                <w:sz w:val="20"/>
                <w:szCs w:val="20"/>
                <w:color w:val="auto"/>
              </w:rPr>
            </w:pPr>
            <w:r>
              <w:rPr>
                <w:rFonts w:ascii="Arial" w:cs="Arial" w:eastAsia="Arial" w:hAnsi="Arial"/>
                <w:sz w:val="17"/>
                <w:szCs w:val="17"/>
                <w:color w:val="auto"/>
              </w:rPr>
              <w:t>Power of attorney (if exercised by any third party on its behalf).</w:t>
            </w:r>
          </w:p>
        </w:tc>
      </w:tr>
      <w:tr>
        <w:trPr>
          <w:trHeight w:val="411"/>
        </w:trPr>
        <w:tc>
          <w:tcPr>
            <w:tcW w:w="52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7"/>
                <w:szCs w:val="17"/>
                <w:color w:val="auto"/>
              </w:rPr>
              <w:t>2.4.2</w:t>
            </w:r>
          </w:p>
        </w:tc>
        <w:tc>
          <w:tcPr>
            <w:tcW w:w="8920" w:type="dxa"/>
            <w:vAlign w:val="bottom"/>
            <w:gridSpan w:val="2"/>
          </w:tcPr>
          <w:p>
            <w:pPr>
              <w:ind w:left="340"/>
              <w:spacing w:after="0"/>
              <w:rPr>
                <w:sz w:val="20"/>
                <w:szCs w:val="20"/>
                <w:color w:val="auto"/>
              </w:rPr>
            </w:pPr>
            <w:r>
              <w:rPr>
                <w:rFonts w:ascii="Arial" w:cs="Arial" w:eastAsia="Arial" w:hAnsi="Arial"/>
                <w:sz w:val="17"/>
                <w:szCs w:val="17"/>
                <w:color w:val="auto"/>
                <w:w w:val="87"/>
              </w:rPr>
              <w:t>The Parties hereto agree that Party A may designate at any time any third party to exercise the option and acquire and register the</w:t>
            </w:r>
          </w:p>
        </w:tc>
      </w:tr>
      <w:tr>
        <w:trPr>
          <w:trHeight w:val="199"/>
        </w:trPr>
        <w:tc>
          <w:tcPr>
            <w:tcW w:w="520" w:type="dxa"/>
            <w:vAlign w:val="bottom"/>
          </w:tcPr>
          <w:p>
            <w:pPr>
              <w:spacing w:after="0"/>
              <w:rPr>
                <w:sz w:val="17"/>
                <w:szCs w:val="17"/>
                <w:color w:val="auto"/>
              </w:rPr>
            </w:pPr>
          </w:p>
        </w:tc>
        <w:tc>
          <w:tcPr>
            <w:tcW w:w="9860" w:type="dxa"/>
            <w:vAlign w:val="bottom"/>
            <w:gridSpan w:val="3"/>
          </w:tcPr>
          <w:p>
            <w:pPr>
              <w:ind w:left="340"/>
              <w:spacing w:after="0"/>
              <w:rPr>
                <w:sz w:val="20"/>
                <w:szCs w:val="20"/>
                <w:color w:val="auto"/>
              </w:rPr>
            </w:pPr>
            <w:r>
              <w:rPr>
                <w:rFonts w:ascii="Arial" w:cs="Arial" w:eastAsia="Arial" w:hAnsi="Arial"/>
                <w:sz w:val="17"/>
                <w:szCs w:val="17"/>
                <w:color w:val="auto"/>
                <w:w w:val="91"/>
              </w:rPr>
              <w:t>shares in the name of such third party. Grantors agree that, as long as Party A or its designated third party requests to exercise the option,</w:t>
            </w:r>
          </w:p>
        </w:tc>
      </w:tr>
      <w:tr>
        <w:trPr>
          <w:trHeight w:val="199"/>
        </w:trPr>
        <w:tc>
          <w:tcPr>
            <w:tcW w:w="520" w:type="dxa"/>
            <w:vAlign w:val="bottom"/>
          </w:tcPr>
          <w:p>
            <w:pPr>
              <w:spacing w:after="0"/>
              <w:rPr>
                <w:sz w:val="17"/>
                <w:szCs w:val="17"/>
                <w:color w:val="auto"/>
              </w:rPr>
            </w:pPr>
          </w:p>
        </w:tc>
        <w:tc>
          <w:tcPr>
            <w:tcW w:w="9860" w:type="dxa"/>
            <w:vAlign w:val="bottom"/>
            <w:gridSpan w:val="3"/>
          </w:tcPr>
          <w:p>
            <w:pPr>
              <w:ind w:left="340"/>
              <w:spacing w:after="0"/>
              <w:rPr>
                <w:sz w:val="20"/>
                <w:szCs w:val="20"/>
                <w:color w:val="auto"/>
              </w:rPr>
            </w:pPr>
            <w:r>
              <w:rPr>
                <w:rFonts w:ascii="Arial" w:cs="Arial" w:eastAsia="Arial" w:hAnsi="Arial"/>
                <w:sz w:val="17"/>
                <w:szCs w:val="17"/>
                <w:color w:val="auto"/>
                <w:w w:val="87"/>
              </w:rPr>
              <w:t>Grantors shall, within Ten (10) working days after receipt of a notice on exercise, sign a share transfer agreement and other relevant documents</w:t>
            </w:r>
          </w:p>
        </w:tc>
      </w:tr>
      <w:tr>
        <w:trPr>
          <w:trHeight w:val="212"/>
        </w:trPr>
        <w:tc>
          <w:tcPr>
            <w:tcW w:w="520" w:type="dxa"/>
            <w:vAlign w:val="bottom"/>
          </w:tcPr>
          <w:p>
            <w:pPr>
              <w:spacing w:after="0"/>
              <w:rPr>
                <w:sz w:val="18"/>
                <w:szCs w:val="18"/>
                <w:color w:val="auto"/>
              </w:rPr>
            </w:pPr>
          </w:p>
        </w:tc>
        <w:tc>
          <w:tcPr>
            <w:tcW w:w="9860" w:type="dxa"/>
            <w:vAlign w:val="bottom"/>
            <w:gridSpan w:val="3"/>
          </w:tcPr>
          <w:p>
            <w:pPr>
              <w:ind w:left="340"/>
              <w:spacing w:after="0"/>
              <w:rPr>
                <w:sz w:val="20"/>
                <w:szCs w:val="20"/>
                <w:color w:val="auto"/>
              </w:rPr>
            </w:pPr>
            <w:r>
              <w:rPr>
                <w:rFonts w:ascii="Arial" w:cs="Arial" w:eastAsia="Arial" w:hAnsi="Arial"/>
                <w:sz w:val="17"/>
                <w:szCs w:val="17"/>
                <w:color w:val="auto"/>
              </w:rPr>
              <w:t>according to the notice on exercise and this Agreement.</w:t>
            </w:r>
          </w:p>
        </w:tc>
      </w:tr>
      <w:tr>
        <w:trPr>
          <w:trHeight w:val="598"/>
        </w:trPr>
        <w:tc>
          <w:tcPr>
            <w:tcW w:w="520" w:type="dxa"/>
            <w:vAlign w:val="bottom"/>
          </w:tcPr>
          <w:p>
            <w:pPr>
              <w:jc w:val="right"/>
              <w:ind w:right="217"/>
              <w:spacing w:after="0"/>
              <w:rPr>
                <w:sz w:val="20"/>
                <w:szCs w:val="20"/>
                <w:color w:val="auto"/>
              </w:rPr>
            </w:pPr>
            <w:r>
              <w:rPr>
                <w:rFonts w:ascii="Arial" w:cs="Arial" w:eastAsia="Arial" w:hAnsi="Arial"/>
                <w:sz w:val="17"/>
                <w:szCs w:val="17"/>
                <w:color w:val="auto"/>
                <w:w w:val="84"/>
              </w:rPr>
              <w:t>2.5</w:t>
            </w:r>
          </w:p>
        </w:tc>
        <w:tc>
          <w:tcPr>
            <w:tcW w:w="9860" w:type="dxa"/>
            <w:vAlign w:val="bottom"/>
            <w:gridSpan w:val="3"/>
          </w:tcPr>
          <w:p>
            <w:pPr>
              <w:ind w:left="300"/>
              <w:spacing w:after="0"/>
              <w:rPr>
                <w:sz w:val="20"/>
                <w:szCs w:val="20"/>
                <w:color w:val="auto"/>
              </w:rPr>
            </w:pPr>
            <w:r>
              <w:rPr>
                <w:rFonts w:ascii="Arial" w:cs="Arial" w:eastAsia="Arial" w:hAnsi="Arial"/>
                <w:sz w:val="17"/>
                <w:szCs w:val="17"/>
                <w:color w:val="auto"/>
              </w:rPr>
              <w:t>Transfer of Shares and Delivery</w:t>
            </w:r>
          </w:p>
        </w:tc>
      </w:tr>
      <w:tr>
        <w:trPr>
          <w:trHeight w:val="386"/>
        </w:trPr>
        <w:tc>
          <w:tcPr>
            <w:tcW w:w="52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7"/>
                <w:szCs w:val="17"/>
                <w:color w:val="auto"/>
              </w:rPr>
              <w:t>2.5.1</w:t>
            </w:r>
          </w:p>
        </w:tc>
        <w:tc>
          <w:tcPr>
            <w:tcW w:w="8920" w:type="dxa"/>
            <w:vAlign w:val="bottom"/>
            <w:gridSpan w:val="2"/>
          </w:tcPr>
          <w:p>
            <w:pPr>
              <w:ind w:left="260"/>
              <w:spacing w:after="0"/>
              <w:rPr>
                <w:sz w:val="20"/>
                <w:szCs w:val="20"/>
                <w:color w:val="auto"/>
              </w:rPr>
            </w:pPr>
            <w:r>
              <w:rPr>
                <w:rFonts w:ascii="Arial" w:cs="Arial" w:eastAsia="Arial" w:hAnsi="Arial"/>
                <w:sz w:val="17"/>
                <w:szCs w:val="17"/>
                <w:color w:val="auto"/>
                <w:w w:val="92"/>
              </w:rPr>
              <w:t>Whenever Party A exercises the option, within Ten (10) working days from the date of receipt of a notice on exercise sent by</w:t>
            </w:r>
          </w:p>
        </w:tc>
      </w:tr>
      <w:tr>
        <w:trPr>
          <w:trHeight w:val="212"/>
        </w:trPr>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920" w:type="dxa"/>
            <w:vAlign w:val="bottom"/>
            <w:gridSpan w:val="2"/>
          </w:tcPr>
          <w:p>
            <w:pPr>
              <w:ind w:left="260"/>
              <w:spacing w:after="0"/>
              <w:rPr>
                <w:sz w:val="20"/>
                <w:szCs w:val="20"/>
                <w:color w:val="auto"/>
              </w:rPr>
            </w:pPr>
            <w:r>
              <w:rPr>
                <w:rFonts w:ascii="Arial" w:cs="Arial" w:eastAsia="Arial" w:hAnsi="Arial"/>
                <w:sz w:val="17"/>
                <w:szCs w:val="17"/>
                <w:color w:val="auto"/>
              </w:rPr>
              <w:t>Party A according to the Section 2.4 hereof;</w:t>
            </w:r>
          </w:p>
        </w:tc>
      </w:tr>
    </w:tbl>
    <w:p>
      <w:pPr>
        <w:spacing w:after="0" w:line="187" w:lineRule="exact"/>
        <w:rPr>
          <w:sz w:val="20"/>
          <w:szCs w:val="20"/>
          <w:color w:val="auto"/>
        </w:rPr>
      </w:pPr>
    </w:p>
    <w:p>
      <w:pPr>
        <w:ind w:left="2600" w:hanging="4"/>
        <w:spacing w:after="0" w:line="296" w:lineRule="auto"/>
        <w:tabs>
          <w:tab w:leader="none" w:pos="3382" w:val="left"/>
        </w:tabs>
        <w:numPr>
          <w:ilvl w:val="1"/>
          <w:numId w:val="500"/>
        </w:numPr>
        <w:rPr>
          <w:rFonts w:ascii="Arial" w:cs="Arial" w:eastAsia="Arial" w:hAnsi="Arial"/>
          <w:sz w:val="16"/>
          <w:szCs w:val="16"/>
          <w:color w:val="auto"/>
        </w:rPr>
      </w:pPr>
      <w:r>
        <w:rPr>
          <w:rFonts w:ascii="Arial" w:cs="Arial" w:eastAsia="Arial" w:hAnsi="Arial"/>
          <w:sz w:val="16"/>
          <w:szCs w:val="16"/>
          <w:color w:val="auto"/>
        </w:rPr>
        <w:t>Grantors shall cause Party C to promptly hold a shareholders’ meeting at which a shareholder resolution on the approval of the transfer of shares by Grantors to Party A and/or its designated third party shall be adopted; and</w:t>
      </w:r>
    </w:p>
    <w:p>
      <w:pPr>
        <w:spacing w:after="0" w:line="144" w:lineRule="exact"/>
        <w:rPr>
          <w:rFonts w:ascii="Arial" w:cs="Arial" w:eastAsia="Arial" w:hAnsi="Arial"/>
          <w:sz w:val="16"/>
          <w:szCs w:val="16"/>
          <w:color w:val="auto"/>
        </w:rPr>
      </w:pPr>
    </w:p>
    <w:p>
      <w:pPr>
        <w:jc w:val="both"/>
        <w:ind w:left="2600" w:hanging="4"/>
        <w:spacing w:after="0" w:line="286" w:lineRule="auto"/>
        <w:tabs>
          <w:tab w:leader="none" w:pos="3392" w:val="left"/>
        </w:tabs>
        <w:numPr>
          <w:ilvl w:val="1"/>
          <w:numId w:val="500"/>
        </w:numPr>
        <w:rPr>
          <w:rFonts w:ascii="Arial" w:cs="Arial" w:eastAsia="Arial" w:hAnsi="Arial"/>
          <w:sz w:val="15"/>
          <w:szCs w:val="15"/>
          <w:color w:val="auto"/>
        </w:rPr>
      </w:pPr>
      <w:r>
        <w:rPr>
          <w:rFonts w:ascii="Arial" w:cs="Arial" w:eastAsia="Arial" w:hAnsi="Arial"/>
          <w:sz w:val="15"/>
          <w:szCs w:val="15"/>
          <w:color w:val="auto"/>
        </w:rPr>
        <w:t>Grantors shall sign all necessary contracts, agreements or documents, obtain all necessary government approvals and consents and take all necessary actions to transfer to Party A and/or its designated third party the ownership and all ancillary rights of the shares designated by Party A to be purchased without any security interests (other than the pledge under the Equity Pledge Agreement) and shall cause Party A and/or its designated third party to become the registered owner of the purchased shares and deliver to Party A and/or its designated third party the latest business license, articles of association, approval certificates (if applicable) and other relevant documents that are issued or registered by the relevant Chinese authorities, and such documents shall reflect any changes of Party C’s shares, directors and legal representative and other matters (if applicable).</w:t>
      </w:r>
    </w:p>
    <w:p>
      <w:pPr>
        <w:spacing w:after="0" w:line="151" w:lineRule="exact"/>
        <w:rPr>
          <w:rFonts w:ascii="Arial" w:cs="Arial" w:eastAsia="Arial" w:hAnsi="Arial"/>
          <w:sz w:val="15"/>
          <w:szCs w:val="15"/>
          <w:color w:val="auto"/>
        </w:rPr>
      </w:pPr>
    </w:p>
    <w:p>
      <w:pPr>
        <w:ind w:left="420" w:hanging="420"/>
        <w:spacing w:after="0"/>
        <w:tabs>
          <w:tab w:leader="none" w:pos="420" w:val="left"/>
        </w:tabs>
        <w:numPr>
          <w:ilvl w:val="0"/>
          <w:numId w:val="501"/>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and Undertakings</w:t>
      </w:r>
    </w:p>
    <w:p>
      <w:pPr>
        <w:spacing w:after="0" w:line="20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Grantors jointly and severally make the following representations and warranties:</w:t>
      </w:r>
    </w:p>
    <w:p>
      <w:pPr>
        <w:spacing w:after="0" w:line="228" w:lineRule="exact"/>
        <w:rPr>
          <w:sz w:val="20"/>
          <w:szCs w:val="20"/>
          <w:color w:val="auto"/>
        </w:rPr>
      </w:pPr>
    </w:p>
    <w:p>
      <w:pPr>
        <w:jc w:val="both"/>
        <w:ind w:left="2580" w:hanging="858"/>
        <w:spacing w:after="0" w:line="254" w:lineRule="auto"/>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On the date of signing this Agreement and each Delivery Date, Grantors have the powers, rights, authority and ability to sign and deliver this Agreement and any share transfer agreement (hereinafter referred to as “</w:t>
      </w:r>
      <w:r>
        <w:rPr>
          <w:rFonts w:ascii="Arial" w:cs="Arial" w:eastAsia="Arial" w:hAnsi="Arial"/>
          <w:sz w:val="17"/>
          <w:szCs w:val="17"/>
          <w:b w:val="1"/>
          <w:bCs w:val="1"/>
          <w:color w:val="auto"/>
        </w:rPr>
        <w:t>Transfer Agreement</w:t>
      </w:r>
      <w:r>
        <w:rPr>
          <w:rFonts w:ascii="Arial" w:cs="Arial" w:eastAsia="Arial" w:hAnsi="Arial"/>
          <w:sz w:val="17"/>
          <w:szCs w:val="17"/>
          <w:color w:val="auto"/>
        </w:rPr>
        <w:t>”) signed by them as a party</w:t>
      </w:r>
    </w:p>
    <w:p>
      <w:pPr>
        <w:spacing w:after="0" w:line="376" w:lineRule="exact"/>
        <w:rPr>
          <w:sz w:val="20"/>
          <w:szCs w:val="20"/>
          <w:color w:val="auto"/>
        </w:rPr>
      </w:pPr>
    </w:p>
    <w:p>
      <w:pPr>
        <w:jc w:val="both"/>
        <w:ind w:left="2600"/>
        <w:spacing w:after="0" w:line="278" w:lineRule="auto"/>
        <w:rPr>
          <w:sz w:val="20"/>
          <w:szCs w:val="20"/>
          <w:color w:val="auto"/>
        </w:rPr>
      </w:pPr>
      <w:r>
        <w:rPr>
          <w:rFonts w:ascii="Arial" w:cs="Arial" w:eastAsia="Arial" w:hAnsi="Arial"/>
          <w:sz w:val="16"/>
          <w:szCs w:val="16"/>
          <w:color w:val="auto"/>
        </w:rPr>
        <w:t>thereto for each share transfer according to this Agreement and to perform their obligations under this Agreement and any Transfer Agreement. This Agreement and any Transfer Agreement to which they are a party shall constitute their legal, effective and binding obligations that are enforceable on them according to the provisions thereof once signed.</w:t>
      </w:r>
    </w:p>
    <w:p>
      <w:pPr>
        <w:spacing w:after="0" w:line="158" w:lineRule="exact"/>
        <w:rPr>
          <w:sz w:val="20"/>
          <w:szCs w:val="20"/>
          <w:color w:val="auto"/>
        </w:rPr>
      </w:pPr>
    </w:p>
    <w:p>
      <w:pPr>
        <w:jc w:val="both"/>
        <w:ind w:left="2580" w:hanging="858"/>
        <w:spacing w:after="0" w:line="249"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No signing and delivery of this Agreement or any Transfer Agreement and no performance by Grantors of their obligations under this Agreement or any Transfer Agreement shall (i) result in any violation of any relevant laws and regulations of the PRC; (ii) conflict with the articles of association or other organizational documents; (iii) result in any breach of any binding agreements or instruments to which they are a party or constitute any breach of contract under any binding agreements or instruments to which they are a party;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84390" cy="412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3" w:name="page454"/>
    <w:bookmarkEnd w:id="453"/>
    <w:p>
      <w:pPr>
        <w:jc w:val="both"/>
        <w:ind w:left="2160"/>
        <w:spacing w:after="0" w:line="254" w:lineRule="auto"/>
        <w:rPr>
          <w:sz w:val="20"/>
          <w:szCs w:val="20"/>
          <w:color w:val="auto"/>
        </w:rPr>
      </w:pPr>
      <w:r>
        <w:rPr>
          <w:rFonts w:ascii="Arial" w:cs="Arial" w:eastAsia="Arial" w:hAnsi="Arial"/>
          <w:sz w:val="17"/>
          <w:szCs w:val="17"/>
          <w:color w:val="auto"/>
        </w:rPr>
        <w:t>result in any breach of any licenses or approvals issued by the relevant competent government departments to them; or (v) cause any licenses or approvals issued by the relevant competent government departments to them to be suspended or revoked or attached with any conditions;</w:t>
      </w:r>
    </w:p>
    <w:p>
      <w:pPr>
        <w:spacing w:after="0" w:line="177" w:lineRule="exact"/>
        <w:rPr>
          <w:sz w:val="20"/>
          <w:szCs w:val="20"/>
          <w:color w:val="auto"/>
        </w:rPr>
      </w:pPr>
    </w:p>
    <w:p>
      <w:pPr>
        <w:jc w:val="both"/>
        <w:ind w:left="2160" w:hanging="858"/>
        <w:spacing w:after="0" w:line="264" w:lineRule="auto"/>
        <w:tabs>
          <w:tab w:leader="none" w:pos="214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There is no suit, arbitration or other judicial or administrative proceedings that are pending or may have a substantial impact on the performance of this Agreement or any Transfer Agreement.</w:t>
      </w:r>
    </w:p>
    <w:p>
      <w:pPr>
        <w:spacing w:after="0" w:line="168" w:lineRule="exact"/>
        <w:rPr>
          <w:sz w:val="20"/>
          <w:szCs w:val="20"/>
          <w:color w:val="auto"/>
        </w:rPr>
      </w:pPr>
    </w:p>
    <w:p>
      <w:pPr>
        <w:jc w:val="both"/>
        <w:ind w:left="2160" w:hanging="858"/>
        <w:spacing w:after="0" w:line="296" w:lineRule="auto"/>
        <w:tabs>
          <w:tab w:leader="none" w:pos="214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6"/>
          <w:szCs w:val="16"/>
          <w:color w:val="auto"/>
        </w:rPr>
        <w:t>Grantors have good and marketable ownership of all shares of Party C. There are no pledges, liabilities and other third party encumbrances on Party C’s shares held by Grantors other than the pledge under the Equity Pledge Agreement.</w:t>
      </w:r>
    </w:p>
    <w:p>
      <w:pPr>
        <w:spacing w:after="0" w:line="144" w:lineRule="exact"/>
        <w:rPr>
          <w:sz w:val="20"/>
          <w:szCs w:val="20"/>
          <w:color w:val="auto"/>
        </w:rPr>
      </w:pPr>
    </w:p>
    <w:p>
      <w:pPr>
        <w:jc w:val="both"/>
        <w:ind w:left="2160" w:hanging="858"/>
        <w:spacing w:after="0" w:line="264" w:lineRule="auto"/>
        <w:tabs>
          <w:tab w:leader="none" w:pos="214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color w:val="auto"/>
        </w:rPr>
        <w:t>Grantors have disclosed to Party A all circumstances that may have a material adverse effect on the performance of this Agreement.</w:t>
      </w:r>
    </w:p>
    <w:p>
      <w:pPr>
        <w:spacing w:after="0" w:line="168" w:lineRule="exact"/>
        <w:rPr>
          <w:sz w:val="20"/>
          <w:szCs w:val="20"/>
          <w:color w:val="auto"/>
        </w:rPr>
      </w:pPr>
    </w:p>
    <w:p>
      <w:pPr>
        <w:jc w:val="both"/>
        <w:ind w:left="2160" w:hanging="858"/>
        <w:spacing w:after="0" w:line="264" w:lineRule="auto"/>
        <w:tabs>
          <w:tab w:leader="none" w:pos="214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The option granted by Grantors to Party A is exclusive, and Grantors have not otherwise granted any third party any other options or similar rights before or when granting the option to Party A.</w:t>
      </w:r>
    </w:p>
    <w:p>
      <w:pPr>
        <w:spacing w:after="0" w:line="36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Grantors jointly and severally make the following undertakings:</w:t>
      </w:r>
    </w:p>
    <w:p>
      <w:pPr>
        <w:spacing w:after="0" w:line="228" w:lineRule="exact"/>
        <w:rPr>
          <w:sz w:val="20"/>
          <w:szCs w:val="20"/>
          <w:color w:val="auto"/>
        </w:rPr>
      </w:pPr>
    </w:p>
    <w:p>
      <w:pPr>
        <w:jc w:val="both"/>
        <w:ind w:left="2160" w:hanging="858"/>
        <w:spacing w:after="0" w:line="304" w:lineRule="auto"/>
        <w:tabs>
          <w:tab w:leader="none" w:pos="214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Within the term of this Agreement, Grantors will not create any pledges, liabilities and any other third party encumbrances on Party C’s shares held by them other than those under the Equity Pledge Agreement separately signed by Grantors and Party A nor transfer, donate or otherwise dispose of any shares held by them to any third party other than the Parties to this Agreement.</w:t>
      </w:r>
    </w:p>
    <w:p>
      <w:pPr>
        <w:spacing w:after="0" w:line="142"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Within the term of this Agreement, Grantors will not otherwise grant any other options or similar rights to any third party.</w:t>
      </w:r>
    </w:p>
    <w:p>
      <w:pPr>
        <w:spacing w:after="0" w:line="228" w:lineRule="exact"/>
        <w:rPr>
          <w:sz w:val="20"/>
          <w:szCs w:val="20"/>
          <w:color w:val="auto"/>
        </w:rPr>
      </w:pPr>
    </w:p>
    <w:p>
      <w:pPr>
        <w:jc w:val="both"/>
        <w:ind w:left="2160" w:hanging="858"/>
        <w:spacing w:after="0" w:line="251" w:lineRule="auto"/>
        <w:tabs>
          <w:tab w:leader="none" w:pos="214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Within the term of this Agreement, Grantors will cause and ensure that the business carried out by Party C conforms to the applicable laws, regulations, rules and other management regulations and documents issued by the competent government departments and that there are no breach of the above provisions that results in a major adverse impact on the business or assets of the company.</w:t>
      </w:r>
    </w:p>
    <w:p>
      <w:pPr>
        <w:spacing w:after="0" w:line="179" w:lineRule="exact"/>
        <w:rPr>
          <w:sz w:val="20"/>
          <w:szCs w:val="20"/>
          <w:color w:val="auto"/>
        </w:rPr>
      </w:pPr>
    </w:p>
    <w:p>
      <w:pPr>
        <w:jc w:val="both"/>
        <w:ind w:left="2160" w:hanging="858"/>
        <w:spacing w:after="0" w:line="251" w:lineRule="auto"/>
        <w:tabs>
          <w:tab w:leader="none" w:pos="214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Grantors will maintain the valid existence of Party C in accordance with good financial and commercial standards and practices, operate their business and deal with affairs in a prudent and efficient manner, use their best efforts to obtain and maintain any permits, licenses and approvals necessary for Party C’s continuous operation and ensure that any such permits, licenses and approvals will not be canceled, withdrawn or declared null and void.</w:t>
      </w:r>
    </w:p>
    <w:p>
      <w:pPr>
        <w:spacing w:after="0" w:line="179"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5"/>
          <w:szCs w:val="15"/>
          <w:color w:val="auto"/>
        </w:rPr>
        <w:t>Grantors will provide Party A with all Party C’s operation and financial information at Party A’s request.</w:t>
      </w:r>
    </w:p>
    <w:p>
      <w:pPr>
        <w:spacing w:after="0" w:line="228"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5"/>
          <w:szCs w:val="15"/>
          <w:color w:val="auto"/>
        </w:rPr>
        <w:t>Except as expressly agreed by Party A (or its designated third party) in writing, before Party A (or its designated third party)</w:t>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exercises its option and obtains all of Party C’s shares or assets, Grantors shall not jointly or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179705</wp:posOffset>
            </wp:positionV>
            <wp:extent cx="7184390" cy="412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820"/>
          </w:cols>
          <w:pgMar w:left="740" w:top="126" w:right="339" w:bottom="1440" w:gutter="0" w:footer="0" w:header="0"/>
        </w:sectPr>
      </w:pPr>
    </w:p>
    <w:bookmarkStart w:id="454" w:name="page455"/>
    <w:bookmarkEnd w:id="454"/>
    <w:p>
      <w:pPr>
        <w:ind w:left="2340" w:hanging="869"/>
        <w:spacing w:after="0" w:line="264" w:lineRule="auto"/>
        <w:tabs>
          <w:tab w:leader="none" w:pos="234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Supplement or modify Party C’s constitutional documents in any form, and such supplements, alterations or modifications will</w:t>
      </w:r>
    </w:p>
    <w:p>
      <w:pPr>
        <w:spacing w:after="0" w:line="367" w:lineRule="exact"/>
        <w:rPr>
          <w:rFonts w:ascii="Arial" w:cs="Arial" w:eastAsia="Arial" w:hAnsi="Arial"/>
          <w:sz w:val="17"/>
          <w:szCs w:val="17"/>
          <w:color w:val="auto"/>
        </w:rPr>
      </w:pPr>
    </w:p>
    <w:p>
      <w:pPr>
        <w:jc w:val="both"/>
        <w:ind w:left="2340"/>
        <w:spacing w:after="0" w:line="304" w:lineRule="auto"/>
        <w:rPr>
          <w:rFonts w:ascii="Arial" w:cs="Arial" w:eastAsia="Arial" w:hAnsi="Arial"/>
          <w:sz w:val="17"/>
          <w:szCs w:val="17"/>
          <w:color w:val="auto"/>
        </w:rPr>
      </w:pPr>
      <w:r>
        <w:rPr>
          <w:rFonts w:ascii="Arial" w:cs="Arial" w:eastAsia="Arial" w:hAnsi="Arial"/>
          <w:sz w:val="15"/>
          <w:szCs w:val="15"/>
          <w:color w:val="auto"/>
        </w:rPr>
        <w:t>have substantial adverse effects on any assets, responsibilities, operation, shares and other legal rights of Party C (excluding the same proportion of capital increase for the purpose of meeting the legal requirements) or may affect the effective performance of this Agreement and other agreements signed by Party A, Grantors and Party C.</w:t>
      </w:r>
    </w:p>
    <w:p>
      <w:pPr>
        <w:spacing w:after="0" w:line="141" w:lineRule="exact"/>
        <w:rPr>
          <w:rFonts w:ascii="Arial" w:cs="Arial" w:eastAsia="Arial" w:hAnsi="Arial"/>
          <w:sz w:val="17"/>
          <w:szCs w:val="17"/>
          <w:color w:val="auto"/>
        </w:rPr>
      </w:pPr>
    </w:p>
    <w:p>
      <w:pPr>
        <w:jc w:val="both"/>
        <w:ind w:left="2340" w:hanging="869"/>
        <w:spacing w:after="0" w:line="278" w:lineRule="auto"/>
        <w:tabs>
          <w:tab w:leader="none" w:pos="234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Cause Party C to enter into or do any transactions or acts (excluding those that arise in the ordinary or daily business course or have been disclosed to and agreed by Party A expressly in writing in advance) that will have materially adverse effects on its assets, liabilities, operation, shares and other legitimate rights.</w:t>
      </w:r>
    </w:p>
    <w:p>
      <w:pPr>
        <w:spacing w:after="0" w:line="157" w:lineRule="exact"/>
        <w:rPr>
          <w:rFonts w:ascii="Arial" w:cs="Arial" w:eastAsia="Arial" w:hAnsi="Arial"/>
          <w:sz w:val="16"/>
          <w:szCs w:val="16"/>
          <w:color w:val="auto"/>
        </w:rPr>
      </w:pPr>
    </w:p>
    <w:p>
      <w:pPr>
        <w:ind w:left="2340" w:hanging="869"/>
        <w:spacing w:after="0" w:line="264" w:lineRule="auto"/>
        <w:tabs>
          <w:tab w:leader="none" w:pos="234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Cause any resolutions on the distribution of dividends or bonuses to be adopted at the shareholders’ meeting of Party C.</w:t>
      </w:r>
    </w:p>
    <w:p>
      <w:pPr>
        <w:spacing w:after="0" w:line="167" w:lineRule="exact"/>
        <w:rPr>
          <w:rFonts w:ascii="Arial" w:cs="Arial" w:eastAsia="Arial" w:hAnsi="Arial"/>
          <w:sz w:val="17"/>
          <w:szCs w:val="17"/>
          <w:color w:val="auto"/>
        </w:rPr>
      </w:pPr>
    </w:p>
    <w:p>
      <w:pPr>
        <w:ind w:left="2340" w:hanging="869"/>
        <w:spacing w:after="0" w:line="296" w:lineRule="auto"/>
        <w:tabs>
          <w:tab w:leader="none" w:pos="234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Sell, assign, mortgage or otherwise dispose of any legal or beneficial interests on Party C’s shares or allow to create any other security interests thereon at any time from the effective date of this Agreement.</w:t>
      </w:r>
    </w:p>
    <w:p>
      <w:pPr>
        <w:spacing w:after="0" w:line="144" w:lineRule="exact"/>
        <w:rPr>
          <w:rFonts w:ascii="Arial" w:cs="Arial" w:eastAsia="Arial" w:hAnsi="Arial"/>
          <w:sz w:val="16"/>
          <w:szCs w:val="16"/>
          <w:color w:val="auto"/>
        </w:rPr>
      </w:pPr>
    </w:p>
    <w:p>
      <w:pPr>
        <w:jc w:val="both"/>
        <w:ind w:left="2340" w:hanging="869"/>
        <w:spacing w:after="0" w:line="251" w:lineRule="auto"/>
        <w:tabs>
          <w:tab w:leader="none" w:pos="234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Cause any sales, transfer, mortgage or otherwise disposal of any legal or beneficial interests on shares to be approved at the shareholders’ meeting of Party C, or allow to create any other security interests thereon, or adopt a shareholder resolution on the increase or decrease of Party C’s registered capital or otherwise modify the structure of the registered capital.</w:t>
      </w:r>
    </w:p>
    <w:p>
      <w:pPr>
        <w:spacing w:after="0" w:line="178" w:lineRule="exact"/>
        <w:rPr>
          <w:rFonts w:ascii="Arial" w:cs="Arial" w:eastAsia="Arial" w:hAnsi="Arial"/>
          <w:sz w:val="17"/>
          <w:szCs w:val="17"/>
          <w:color w:val="auto"/>
        </w:rPr>
      </w:pPr>
    </w:p>
    <w:p>
      <w:pPr>
        <w:jc w:val="both"/>
        <w:ind w:left="2340" w:hanging="869"/>
        <w:spacing w:after="0" w:line="254" w:lineRule="auto"/>
        <w:tabs>
          <w:tab w:leader="none" w:pos="234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Cause any merger or association of Party C with any persons to be approved at the shareholders’ meeting of Party C, or acquire investments from any persons or make an investment to any persons, or carry out reorganization in any other form.</w:t>
      </w:r>
    </w:p>
    <w:p>
      <w:pPr>
        <w:spacing w:after="0" w:line="176" w:lineRule="exact"/>
        <w:rPr>
          <w:rFonts w:ascii="Arial" w:cs="Arial" w:eastAsia="Arial" w:hAnsi="Arial"/>
          <w:sz w:val="17"/>
          <w:szCs w:val="17"/>
          <w:color w:val="auto"/>
        </w:rPr>
      </w:pPr>
    </w:p>
    <w:p>
      <w:pPr>
        <w:ind w:left="2340" w:hanging="869"/>
        <w:spacing w:after="0" w:line="264" w:lineRule="auto"/>
        <w:tabs>
          <w:tab w:leader="none" w:pos="234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Cause any winding-up, liquidation or dissolution and other matters of Party C to be approved at the shareholders’ meeting of Party C.</w:t>
      </w:r>
    </w:p>
    <w:p>
      <w:pPr>
        <w:sectPr>
          <w:pgSz w:w="11900" w:h="16838" w:orient="portrait"/>
          <w:cols w:equalWidth="0" w:num="1">
            <w:col w:w="10120"/>
          </w:cols>
          <w:pgMar w:left="1440" w:top="126" w:right="339" w:bottom="1440" w:gutter="0" w:footer="0" w:header="0"/>
        </w:sectPr>
      </w:pPr>
    </w:p>
    <w:p>
      <w:pPr>
        <w:spacing w:after="0" w:line="3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3.2.7</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that:</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auto"/>
        </w:rPr>
        <w:t>Before Party A (or its designated third party) exercises its option and obtains all of Party C’s shares or assets, Grantors undertake</w:t>
      </w:r>
    </w:p>
    <w:p>
      <w:pPr>
        <w:spacing w:after="0" w:line="448" w:lineRule="exact"/>
        <w:rPr>
          <w:sz w:val="20"/>
          <w:szCs w:val="20"/>
          <w:color w:val="auto"/>
        </w:rPr>
      </w:pPr>
    </w:p>
    <w:p>
      <w:pPr>
        <w:sectPr>
          <w:pgSz w:w="11900" w:h="16838" w:orient="portrait"/>
          <w:cols w:equalWidth="0" w:num="2">
            <w:col w:w="940" w:space="600"/>
            <w:col w:w="8580"/>
          </w:cols>
          <w:pgMar w:left="1440" w:top="126" w:right="339" w:bottom="1440" w:gutter="0" w:footer="0" w:header="0"/>
          <w:type w:val="continuous"/>
        </w:sectPr>
      </w:pPr>
    </w:p>
    <w:p>
      <w:pPr>
        <w:jc w:val="both"/>
        <w:ind w:left="2340" w:hanging="869"/>
        <w:spacing w:after="0" w:line="254" w:lineRule="auto"/>
        <w:tabs>
          <w:tab w:leader="none" w:pos="234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They will forthwith notify Party A in writing of any suits, arbitration or administrative proceedings that have arisen or may arise in relation to the shares owned by them or of any circumstances that may have any adverse effect on such shares.</w:t>
      </w:r>
    </w:p>
    <w:p>
      <w:pPr>
        <w:spacing w:after="0" w:line="176" w:lineRule="exact"/>
        <w:rPr>
          <w:rFonts w:ascii="Arial" w:cs="Arial" w:eastAsia="Arial" w:hAnsi="Arial"/>
          <w:sz w:val="17"/>
          <w:szCs w:val="17"/>
          <w:color w:val="auto"/>
        </w:rPr>
      </w:pPr>
    </w:p>
    <w:p>
      <w:pPr>
        <w:jc w:val="both"/>
        <w:ind w:left="2340" w:hanging="869"/>
        <w:spacing w:after="0" w:line="291" w:lineRule="auto"/>
        <w:tabs>
          <w:tab w:leader="none" w:pos="2340" w:val="left"/>
        </w:tabs>
        <w:numPr>
          <w:ilvl w:val="0"/>
          <w:numId w:val="503"/>
        </w:numPr>
        <w:rPr>
          <w:rFonts w:ascii="Arial" w:cs="Arial" w:eastAsia="Arial" w:hAnsi="Arial"/>
          <w:sz w:val="15"/>
          <w:szCs w:val="15"/>
          <w:color w:val="auto"/>
        </w:rPr>
      </w:pPr>
      <w:r>
        <w:rPr>
          <w:rFonts w:ascii="Arial" w:cs="Arial" w:eastAsia="Arial" w:hAnsi="Arial"/>
          <w:sz w:val="15"/>
          <w:szCs w:val="15"/>
          <w:color w:val="auto"/>
        </w:rPr>
        <w:t>They will cause the shareholders’ meeting of Party C to examine and approve the transfer of the purchased shares as specified in this Agreement, cause Party C to amend its articles of association so as to reflect any changes of Party C’s shares after Party A and/or its designated third party exercises the option according to this Agreement and other changes as set forth herein and immediately apply to the authorities of the PRC for approval (if required by law) and change of registration, and cause the shareholders’ meeting of Party C to approve and appoint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27305</wp:posOffset>
            </wp:positionV>
            <wp:extent cx="7184390" cy="412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type w:val="continuous"/>
        </w:sectPr>
      </w:pPr>
    </w:p>
    <w:bookmarkStart w:id="455" w:name="page456"/>
    <w:bookmarkEnd w:id="455"/>
    <w:p>
      <w:pPr>
        <w:ind w:left="2340"/>
        <w:spacing w:after="0" w:line="264" w:lineRule="auto"/>
        <w:rPr>
          <w:sz w:val="20"/>
          <w:szCs w:val="20"/>
          <w:color w:val="auto"/>
        </w:rPr>
      </w:pPr>
      <w:r>
        <w:rPr>
          <w:rFonts w:ascii="Arial" w:cs="Arial" w:eastAsia="Arial" w:hAnsi="Arial"/>
          <w:sz w:val="17"/>
          <w:szCs w:val="17"/>
          <w:color w:val="auto"/>
        </w:rPr>
        <w:t>persons as designated by Party A and/or its designated third party as Party C’s director and legal representative (if necessary).</w:t>
      </w:r>
    </w:p>
    <w:p>
      <w:pPr>
        <w:spacing w:after="0" w:line="168" w:lineRule="exact"/>
        <w:rPr>
          <w:sz w:val="20"/>
          <w:szCs w:val="20"/>
          <w:color w:val="auto"/>
        </w:rPr>
      </w:pPr>
    </w:p>
    <w:p>
      <w:pPr>
        <w:jc w:val="both"/>
        <w:ind w:left="2340" w:hanging="869"/>
        <w:spacing w:after="0" w:line="251" w:lineRule="auto"/>
        <w:tabs>
          <w:tab w:leader="none" w:pos="234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Before Party A and/or its designated third party exercises the option, they will enter into all necessary or appropriate documents, take all necessary or appropriate actions and make all necessary or appropriate accusations or make all necessary and appropriate defenses for all claims in order to maintain their lawful and effective ownership over the appropriate shares.</w:t>
      </w:r>
    </w:p>
    <w:p>
      <w:pPr>
        <w:spacing w:after="0" w:line="178" w:lineRule="exact"/>
        <w:rPr>
          <w:rFonts w:ascii="Arial" w:cs="Arial" w:eastAsia="Arial" w:hAnsi="Arial"/>
          <w:sz w:val="17"/>
          <w:szCs w:val="17"/>
          <w:color w:val="auto"/>
        </w:rPr>
      </w:pPr>
    </w:p>
    <w:p>
      <w:pPr>
        <w:jc w:val="both"/>
        <w:ind w:left="2340" w:hanging="869"/>
        <w:spacing w:after="0" w:line="278" w:lineRule="auto"/>
        <w:tabs>
          <w:tab w:leader="none" w:pos="234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Upon Party A’s request at any time, they will unconditionally transfer their shares to Party A and/or its designated third party at the time specified by Party A and waive their right of first refusal against any other shareholders of Party C in respect of the above transfer of shares by them according to Party A’s instructions.</w:t>
      </w:r>
    </w:p>
    <w:p>
      <w:pPr>
        <w:spacing w:after="0" w:line="157" w:lineRule="exact"/>
        <w:rPr>
          <w:rFonts w:ascii="Arial" w:cs="Arial" w:eastAsia="Arial" w:hAnsi="Arial"/>
          <w:sz w:val="16"/>
          <w:szCs w:val="16"/>
          <w:color w:val="auto"/>
        </w:rPr>
      </w:pPr>
    </w:p>
    <w:p>
      <w:pPr>
        <w:ind w:left="2340" w:hanging="869"/>
        <w:spacing w:after="0" w:line="264" w:lineRule="auto"/>
        <w:tabs>
          <w:tab w:leader="none" w:pos="234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They will strictly abide by this Agreement and other agreements jointly or severally entered into by and between Grantors and</w:t>
      </w:r>
    </w:p>
    <w:p>
      <w:pPr>
        <w:spacing w:after="0" w:line="367" w:lineRule="exact"/>
        <w:rPr>
          <w:sz w:val="20"/>
          <w:szCs w:val="20"/>
          <w:color w:val="auto"/>
        </w:rPr>
      </w:pPr>
    </w:p>
    <w:tbl>
      <w:tblPr>
        <w:tblLayout w:type="fixed"/>
        <w:tblInd w:w="600" w:type="dxa"/>
        <w:tblCellMar>
          <w:top w:w="0" w:type="dxa"/>
          <w:left w:w="0" w:type="dxa"/>
          <w:bottom w:w="0" w:type="dxa"/>
          <w:right w:w="0" w:type="dxa"/>
        </w:tblCellMar>
      </w:tblPr>
      <w:tr>
        <w:trPr>
          <w:trHeight w:val="199"/>
        </w:trPr>
        <w:tc>
          <w:tcPr>
            <w:tcW w:w="580" w:type="dxa"/>
            <w:vAlign w:val="bottom"/>
          </w:tcPr>
          <w:p>
            <w:pPr>
              <w:spacing w:after="0"/>
              <w:rPr>
                <w:sz w:val="17"/>
                <w:szCs w:val="17"/>
                <w:color w:val="auto"/>
              </w:rPr>
            </w:pPr>
          </w:p>
        </w:tc>
        <w:tc>
          <w:tcPr>
            <w:tcW w:w="8940" w:type="dxa"/>
            <w:vAlign w:val="bottom"/>
          </w:tcPr>
          <w:p>
            <w:pPr>
              <w:ind w:left="1160"/>
              <w:spacing w:after="0"/>
              <w:rPr>
                <w:sz w:val="20"/>
                <w:szCs w:val="20"/>
                <w:color w:val="auto"/>
              </w:rPr>
            </w:pPr>
            <w:r>
              <w:rPr>
                <w:rFonts w:ascii="Arial" w:cs="Arial" w:eastAsia="Arial" w:hAnsi="Arial"/>
                <w:sz w:val="17"/>
                <w:szCs w:val="17"/>
                <w:color w:val="auto"/>
                <w:w w:val="88"/>
              </w:rPr>
              <w:t>Party A, conscientiously perform their obligations under such agreements and will not do any acts/omissions that are</w:t>
            </w:r>
          </w:p>
        </w:tc>
      </w:tr>
      <w:tr>
        <w:trPr>
          <w:trHeight w:val="212"/>
        </w:trPr>
        <w:tc>
          <w:tcPr>
            <w:tcW w:w="580" w:type="dxa"/>
            <w:vAlign w:val="bottom"/>
          </w:tcPr>
          <w:p>
            <w:pPr>
              <w:spacing w:after="0"/>
              <w:rPr>
                <w:sz w:val="18"/>
                <w:szCs w:val="18"/>
                <w:color w:val="auto"/>
              </w:rPr>
            </w:pPr>
          </w:p>
        </w:tc>
        <w:tc>
          <w:tcPr>
            <w:tcW w:w="8940" w:type="dxa"/>
            <w:vAlign w:val="bottom"/>
          </w:tcPr>
          <w:p>
            <w:pPr>
              <w:ind w:left="1160"/>
              <w:spacing w:after="0"/>
              <w:rPr>
                <w:sz w:val="20"/>
                <w:szCs w:val="20"/>
                <w:color w:val="auto"/>
              </w:rPr>
            </w:pPr>
            <w:r>
              <w:rPr>
                <w:rFonts w:ascii="Arial" w:cs="Arial" w:eastAsia="Arial" w:hAnsi="Arial"/>
                <w:sz w:val="17"/>
                <w:szCs w:val="17"/>
                <w:color w:val="auto"/>
              </w:rPr>
              <w:t>likely to affect the validity and enforceability of such agreements.</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3.3</w:t>
            </w:r>
          </w:p>
        </w:tc>
        <w:tc>
          <w:tcPr>
            <w:tcW w:w="8940" w:type="dxa"/>
            <w:vAlign w:val="bottom"/>
          </w:tcPr>
          <w:p>
            <w:pPr>
              <w:ind w:left="240"/>
              <w:spacing w:after="0"/>
              <w:rPr>
                <w:sz w:val="20"/>
                <w:szCs w:val="20"/>
                <w:color w:val="auto"/>
              </w:rPr>
            </w:pPr>
            <w:r>
              <w:rPr>
                <w:rFonts w:ascii="Arial" w:cs="Arial" w:eastAsia="Arial" w:hAnsi="Arial"/>
                <w:sz w:val="17"/>
                <w:szCs w:val="17"/>
                <w:color w:val="auto"/>
                <w:w w:val="91"/>
              </w:rPr>
              <w:t>Party C and Grantors hereby jointly and severally make the following representations, warranties and undertakings to Party A:</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3.3.1</w:t>
            </w:r>
          </w:p>
        </w:tc>
        <w:tc>
          <w:tcPr>
            <w:tcW w:w="8940" w:type="dxa"/>
            <w:vAlign w:val="bottom"/>
          </w:tcPr>
          <w:p>
            <w:pPr>
              <w:ind w:left="360"/>
              <w:spacing w:after="0"/>
              <w:rPr>
                <w:sz w:val="20"/>
                <w:szCs w:val="20"/>
                <w:color w:val="auto"/>
              </w:rPr>
            </w:pPr>
            <w:r>
              <w:rPr>
                <w:rFonts w:ascii="Arial" w:cs="Arial" w:eastAsia="Arial" w:hAnsi="Arial"/>
                <w:sz w:val="17"/>
                <w:szCs w:val="17"/>
                <w:color w:val="auto"/>
                <w:w w:val="90"/>
              </w:rPr>
              <w:t>Except as agreed by Party A (or its designated third party) in writing, before Party A (or its designated third party) exercises its</w:t>
            </w:r>
          </w:p>
        </w:tc>
      </w:tr>
    </w:tbl>
    <w:p>
      <w:pPr>
        <w:ind w:left="600"/>
        <w:spacing w:after="0"/>
        <w:rPr>
          <w:sz w:val="20"/>
          <w:szCs w:val="20"/>
          <w:color w:val="auto"/>
        </w:rPr>
      </w:pPr>
      <w:r>
        <w:rPr>
          <w:rFonts w:ascii="Arial" w:cs="Arial" w:eastAsia="Arial" w:hAnsi="Arial"/>
          <w:sz w:val="17"/>
          <w:szCs w:val="17"/>
          <w:color w:val="auto"/>
        </w:rPr>
        <w:t>option and obtains all of Party C’s shares or interests, Party C shall not:</w:t>
      </w:r>
    </w:p>
    <w:p>
      <w:pPr>
        <w:spacing w:after="0" w:line="191" w:lineRule="exact"/>
        <w:rPr>
          <w:sz w:val="20"/>
          <w:szCs w:val="20"/>
          <w:color w:val="auto"/>
        </w:rPr>
      </w:pPr>
    </w:p>
    <w:p>
      <w:pPr>
        <w:jc w:val="both"/>
        <w:ind w:left="2340" w:hanging="869"/>
        <w:spacing w:after="0" w:line="254" w:lineRule="auto"/>
        <w:tabs>
          <w:tab w:leader="none" w:pos="234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Sell, assign, mortgage or otherwise dispose of any assets, business or incomes or allow to create any other security interests thereon (excluding those that arise in the ordinary or daily business course or have been disclosed to and agreed by Party A expressly in writing in advance);</w:t>
      </w:r>
    </w:p>
    <w:p>
      <w:pPr>
        <w:spacing w:after="0" w:line="176" w:lineRule="exact"/>
        <w:rPr>
          <w:rFonts w:ascii="Arial" w:cs="Arial" w:eastAsia="Arial" w:hAnsi="Arial"/>
          <w:sz w:val="17"/>
          <w:szCs w:val="17"/>
          <w:color w:val="auto"/>
        </w:rPr>
      </w:pPr>
    </w:p>
    <w:p>
      <w:pPr>
        <w:jc w:val="both"/>
        <w:ind w:left="2340" w:hanging="869"/>
        <w:spacing w:after="0" w:line="254" w:lineRule="auto"/>
        <w:tabs>
          <w:tab w:leader="none" w:pos="234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Enter into any transactions (excluding those that arise in the ordinary or daily business course or have been disclosed to and agreed by Party A expressly in writing in advance) that will or may have materially adverse effects on its assets, liabilities, operation, shares and other legitimate rights;</w:t>
      </w:r>
    </w:p>
    <w:p>
      <w:pPr>
        <w:spacing w:after="0" w:line="176" w:lineRule="exact"/>
        <w:rPr>
          <w:rFonts w:ascii="Arial" w:cs="Arial" w:eastAsia="Arial" w:hAnsi="Arial"/>
          <w:sz w:val="17"/>
          <w:szCs w:val="17"/>
          <w:color w:val="auto"/>
        </w:rPr>
      </w:pPr>
    </w:p>
    <w:p>
      <w:pPr>
        <w:ind w:left="2340" w:hanging="869"/>
        <w:spacing w:after="0"/>
        <w:tabs>
          <w:tab w:leader="none" w:pos="234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Distribute any dividends or bonuses to each shareholder in any form;</w:t>
      </w:r>
    </w:p>
    <w:p>
      <w:pPr>
        <w:spacing w:after="0" w:line="203" w:lineRule="exact"/>
        <w:rPr>
          <w:rFonts w:ascii="Arial" w:cs="Arial" w:eastAsia="Arial" w:hAnsi="Arial"/>
          <w:sz w:val="17"/>
          <w:szCs w:val="17"/>
          <w:color w:val="auto"/>
        </w:rPr>
      </w:pPr>
    </w:p>
    <w:p>
      <w:pPr>
        <w:jc w:val="both"/>
        <w:ind w:left="2340" w:hanging="869"/>
        <w:spacing w:after="0" w:line="254" w:lineRule="auto"/>
        <w:tabs>
          <w:tab w:leader="none" w:pos="234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Incur, inherit, guarantee or allow the existence of any debts other than (i) any debts that arise in the ordinary or daily business course rather than by borrowing, and (ii) any debts that have been disclosed to and agreed by Party A expressly in writing in advance;</w:t>
      </w:r>
    </w:p>
    <w:p>
      <w:pPr>
        <w:spacing w:after="0" w:line="176" w:lineRule="exact"/>
        <w:rPr>
          <w:rFonts w:ascii="Arial" w:cs="Arial" w:eastAsia="Arial" w:hAnsi="Arial"/>
          <w:sz w:val="17"/>
          <w:szCs w:val="17"/>
          <w:color w:val="auto"/>
        </w:rPr>
      </w:pPr>
    </w:p>
    <w:p>
      <w:pPr>
        <w:ind w:left="2340" w:hanging="869"/>
        <w:spacing w:after="0" w:line="332" w:lineRule="auto"/>
        <w:tabs>
          <w:tab w:leader="none" w:pos="2340" w:val="left"/>
        </w:tabs>
        <w:numPr>
          <w:ilvl w:val="0"/>
          <w:numId w:val="505"/>
        </w:numPr>
        <w:rPr>
          <w:rFonts w:ascii="Arial" w:cs="Arial" w:eastAsia="Arial" w:hAnsi="Arial"/>
          <w:sz w:val="15"/>
          <w:szCs w:val="15"/>
          <w:color w:val="auto"/>
        </w:rPr>
      </w:pPr>
      <w:r>
        <w:rPr>
          <w:rFonts w:ascii="Arial" w:cs="Arial" w:eastAsia="Arial" w:hAnsi="Arial"/>
          <w:sz w:val="15"/>
          <w:szCs w:val="15"/>
          <w:color w:val="auto"/>
        </w:rPr>
        <w:t>Sign any significant contracts other than those signed in the ordinary business course (for the purpose of this Article, if the amount under a contract is more than RMB50,000, such contract shall be deemed to be a significant contract);</w:t>
      </w:r>
    </w:p>
    <w:p>
      <w:pPr>
        <w:spacing w:after="0" w:line="120" w:lineRule="exact"/>
        <w:rPr>
          <w:rFonts w:ascii="Arial" w:cs="Arial" w:eastAsia="Arial" w:hAnsi="Arial"/>
          <w:sz w:val="15"/>
          <w:szCs w:val="15"/>
          <w:color w:val="auto"/>
        </w:rPr>
      </w:pPr>
    </w:p>
    <w:p>
      <w:pPr>
        <w:ind w:left="2340" w:hanging="869"/>
        <w:spacing w:after="0"/>
        <w:tabs>
          <w:tab w:leader="none" w:pos="234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Adopt a shareholder resolution on the increase or decrease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60960</wp:posOffset>
            </wp:positionV>
            <wp:extent cx="7184390" cy="412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456" w:name="page457"/>
    <w:bookmarkEnd w:id="456"/>
    <w:p>
      <w:pPr>
        <w:jc w:val="center"/>
        <w:ind w:right="-179"/>
        <w:spacing w:after="0"/>
        <w:rPr>
          <w:sz w:val="20"/>
          <w:szCs w:val="20"/>
          <w:color w:val="auto"/>
        </w:rPr>
      </w:pPr>
      <w:r>
        <w:rPr>
          <w:rFonts w:ascii="Arial" w:cs="Arial" w:eastAsia="Arial" w:hAnsi="Arial"/>
          <w:sz w:val="17"/>
          <w:szCs w:val="17"/>
          <w:color w:val="auto"/>
        </w:rPr>
        <w:t>Party C’s registered capital or otherwise modify the structure of the registered capital;</w:t>
      </w:r>
    </w:p>
    <w:p>
      <w:pPr>
        <w:spacing w:after="0" w:line="203" w:lineRule="exact"/>
        <w:rPr>
          <w:sz w:val="20"/>
          <w:szCs w:val="20"/>
          <w:color w:val="auto"/>
        </w:rPr>
      </w:pPr>
    </w:p>
    <w:p>
      <w:pPr>
        <w:ind w:left="3460" w:hanging="869"/>
        <w:spacing w:after="0"/>
        <w:tabs>
          <w:tab w:leader="none" w:pos="346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Supplement, modify or amend Party C’s articles of association in any form; and</w:t>
      </w:r>
    </w:p>
    <w:p>
      <w:pPr>
        <w:spacing w:after="0" w:line="203" w:lineRule="exact"/>
        <w:rPr>
          <w:rFonts w:ascii="Arial" w:cs="Arial" w:eastAsia="Arial" w:hAnsi="Arial"/>
          <w:sz w:val="17"/>
          <w:szCs w:val="17"/>
          <w:color w:val="auto"/>
        </w:rPr>
      </w:pPr>
    </w:p>
    <w:p>
      <w:pPr>
        <w:ind w:left="3460" w:hanging="869"/>
        <w:spacing w:after="0" w:line="264" w:lineRule="auto"/>
        <w:tabs>
          <w:tab w:leader="none" w:pos="346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Enter into merge or association with any persons, or acquire investments from any persons or make an investment to any persons.</w:t>
      </w:r>
    </w:p>
    <w:p>
      <w:pPr>
        <w:spacing w:after="0" w:line="168" w:lineRule="exact"/>
        <w:rPr>
          <w:sz w:val="20"/>
          <w:szCs w:val="20"/>
          <w:color w:val="auto"/>
        </w:rPr>
      </w:pPr>
    </w:p>
    <w:p>
      <w:pPr>
        <w:jc w:val="both"/>
        <w:ind w:left="2580" w:hanging="858"/>
        <w:spacing w:after="0" w:line="332" w:lineRule="auto"/>
        <w:tabs>
          <w:tab w:leader="none" w:pos="256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5"/>
          <w:szCs w:val="15"/>
          <w:color w:val="auto"/>
        </w:rPr>
        <w:t>On the date of signing this Agreement and each Delivery Date, Party C has no outstanding debts other than (i) any debts arising in its ordinary business course; and (ii) any debts that have been disclosed to and agreed by Party A expressly in writing in advance.</w:t>
      </w:r>
    </w:p>
    <w:p>
      <w:pPr>
        <w:spacing w:after="0" w:line="121" w:lineRule="exact"/>
        <w:rPr>
          <w:sz w:val="20"/>
          <w:szCs w:val="20"/>
          <w:color w:val="auto"/>
        </w:rPr>
      </w:pPr>
    </w:p>
    <w:p>
      <w:pPr>
        <w:jc w:val="both"/>
        <w:ind w:left="2580" w:hanging="858"/>
        <w:spacing w:after="0" w:line="304" w:lineRule="auto"/>
        <w:tabs>
          <w:tab w:leader="none" w:pos="256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5"/>
          <w:szCs w:val="15"/>
          <w:color w:val="auto"/>
        </w:rPr>
        <w:t>On the date of signing this Agreement and each Delivery Date, there is no suit, arbitration or administrative proceedings that are ongoing or may occur in relation to the shares, Party C’s assets or that may have a substantial impact on the performance of this Agreement by Party C other than those that have been disclosed to and agreed by Party A expressly in writing in advance.</w:t>
      </w:r>
    </w:p>
    <w:p>
      <w:pPr>
        <w:spacing w:after="0" w:line="142"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3"/>
          <w:szCs w:val="13"/>
          <w:color w:val="auto"/>
        </w:rPr>
        <w:t>Party C has not been declared bankrupt.</w:t>
      </w:r>
    </w:p>
    <w:p>
      <w:pPr>
        <w:spacing w:after="0" w:line="228" w:lineRule="exact"/>
        <w:rPr>
          <w:sz w:val="20"/>
          <w:szCs w:val="20"/>
          <w:color w:val="auto"/>
        </w:rPr>
      </w:pPr>
    </w:p>
    <w:p>
      <w:pPr>
        <w:jc w:val="both"/>
        <w:ind w:left="2580" w:hanging="858"/>
        <w:spacing w:after="0" w:line="267" w:lineRule="auto"/>
        <w:tabs>
          <w:tab w:leader="none" w:pos="2560" w:val="left"/>
        </w:tabs>
        <w:rPr>
          <w:sz w:val="20"/>
          <w:szCs w:val="20"/>
          <w:color w:val="auto"/>
        </w:rPr>
      </w:pPr>
      <w:r>
        <w:rPr>
          <w:rFonts w:ascii="Arial" w:cs="Arial" w:eastAsia="Arial" w:hAnsi="Arial"/>
          <w:sz w:val="17"/>
          <w:szCs w:val="17"/>
          <w:color w:val="auto"/>
        </w:rPr>
        <w:t>3.3.5</w:t>
      </w:r>
      <w:r>
        <w:rPr>
          <w:sz w:val="20"/>
          <w:szCs w:val="20"/>
          <w:color w:val="auto"/>
        </w:rPr>
        <w:tab/>
      </w:r>
      <w:r>
        <w:rPr>
          <w:rFonts w:ascii="Arial" w:cs="Arial" w:eastAsia="Arial" w:hAnsi="Arial"/>
          <w:sz w:val="16"/>
          <w:szCs w:val="16"/>
          <w:color w:val="auto"/>
        </w:rPr>
        <w:t>Party C hereby undertakes to Party A that it will comply with all laws and regulations applicable to the acquisition of shares and assets within the term of this Agreement, bear all expenses arising out of the share transfer and handle all procedures necessary for enabling Party A or its designated third party to become Party C’s shareholder, including but not limited to assisting Party A in obtaining any necessary approvals in relation to the share transfer from the approval authorities, submitting the relevant applications required for handling the share change registration to the competent administrative department of industry and commerce and amending the register of shareholders.</w:t>
      </w:r>
    </w:p>
    <w:p>
      <w:pPr>
        <w:spacing w:after="0" w:line="362" w:lineRule="exact"/>
        <w:rPr>
          <w:sz w:val="20"/>
          <w:szCs w:val="20"/>
          <w:color w:val="auto"/>
        </w:rPr>
      </w:pPr>
    </w:p>
    <w:p>
      <w:pPr>
        <w:ind w:left="420" w:hanging="420"/>
        <w:spacing w:after="0"/>
        <w:tabs>
          <w:tab w:leader="none" w:pos="420" w:val="left"/>
        </w:tabs>
        <w:numPr>
          <w:ilvl w:val="0"/>
          <w:numId w:val="507"/>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taxes arising out of the performance of this Agreement shall be borne by Party C.</w:t>
      </w:r>
    </w:p>
    <w:p>
      <w:pPr>
        <w:spacing w:after="0" w:line="199" w:lineRule="exact"/>
        <w:rPr>
          <w:sz w:val="20"/>
          <w:szCs w:val="20"/>
          <w:color w:val="auto"/>
        </w:rPr>
      </w:pPr>
    </w:p>
    <w:p>
      <w:pPr>
        <w:ind w:left="420" w:hanging="420"/>
        <w:spacing w:after="0"/>
        <w:tabs>
          <w:tab w:leader="none" w:pos="420" w:val="left"/>
        </w:tabs>
        <w:numPr>
          <w:ilvl w:val="0"/>
          <w:numId w:val="508"/>
        </w:numPr>
        <w:rPr>
          <w:rFonts w:ascii="Arial" w:cs="Arial" w:eastAsia="Arial" w:hAnsi="Arial"/>
          <w:sz w:val="17"/>
          <w:szCs w:val="17"/>
          <w:b w:val="1"/>
          <w:bCs w:val="1"/>
          <w:color w:val="auto"/>
        </w:rPr>
      </w:pPr>
      <w:r>
        <w:rPr>
          <w:rFonts w:ascii="Arial" w:cs="Arial" w:eastAsia="Arial" w:hAnsi="Arial"/>
          <w:sz w:val="17"/>
          <w:szCs w:val="17"/>
          <w:b w:val="1"/>
          <w:bCs w:val="1"/>
          <w:color w:val="auto"/>
        </w:rPr>
        <w:t>Breach of Contract</w:t>
      </w:r>
    </w:p>
    <w:p>
      <w:pPr>
        <w:spacing w:after="0" w:line="207" w:lineRule="exact"/>
        <w:rPr>
          <w:sz w:val="20"/>
          <w:szCs w:val="20"/>
          <w:color w:val="auto"/>
        </w:rPr>
      </w:pPr>
    </w:p>
    <w:p>
      <w:pPr>
        <w:jc w:val="both"/>
        <w:ind w:left="640"/>
        <w:spacing w:after="0" w:line="254" w:lineRule="auto"/>
        <w:rPr>
          <w:sz w:val="20"/>
          <w:szCs w:val="20"/>
          <w:color w:val="auto"/>
        </w:rPr>
      </w:pPr>
      <w:r>
        <w:rPr>
          <w:rFonts w:ascii="Arial" w:cs="Arial" w:eastAsia="Arial" w:hAnsi="Arial"/>
          <w:sz w:val="17"/>
          <w:szCs w:val="17"/>
          <w:color w:val="auto"/>
        </w:rPr>
        <w:t>Except as otherwise stipulated herein, if any Party fails to fully perform or suspend the performance of its obligations under this Agreement and fails to correct such breach within Thirty (30) days from the date of receipt of a notice from the other Party, or any of its representations and warranties under this Agreement are untrue, inaccurate or misleading, such Party shall be deemed to have breached this Agreement.</w:t>
      </w:r>
    </w:p>
    <w:p>
      <w:pPr>
        <w:spacing w:after="0" w:line="177" w:lineRule="exact"/>
        <w:rPr>
          <w:sz w:val="20"/>
          <w:szCs w:val="20"/>
          <w:color w:val="auto"/>
        </w:rPr>
      </w:pPr>
    </w:p>
    <w:p>
      <w:pPr>
        <w:jc w:val="both"/>
        <w:ind w:left="640"/>
        <w:spacing w:after="0" w:line="295" w:lineRule="auto"/>
        <w:rPr>
          <w:sz w:val="20"/>
          <w:szCs w:val="20"/>
          <w:color w:val="auto"/>
        </w:rPr>
      </w:pPr>
      <w:r>
        <w:rPr>
          <w:rFonts w:ascii="Arial" w:cs="Arial" w:eastAsia="Arial" w:hAnsi="Arial"/>
          <w:sz w:val="15"/>
          <w:szCs w:val="15"/>
          <w:color w:val="auto"/>
        </w:rPr>
        <w:t>If any Party hereto breaches this Agreement or any of its representations and warranties under this Agreement, the non-breaching Party may notify in writing the breaching Party of correcting such breach within Ten (10) days from the date of receipt of a notice, taking appropriate measures to effectively and promptly avoid any damage and continuing to perform this Agreement. If any damage occurs, the breaching Party shall make compensation to the non-breaching Party so that the non-breaching Party can obtain all rights and interests that should have been obtained by it in the case of the performance of this Agreement</w:t>
      </w:r>
    </w:p>
    <w:p>
      <w:pPr>
        <w:spacing w:after="0" w:line="149" w:lineRule="exact"/>
        <w:rPr>
          <w:sz w:val="20"/>
          <w:szCs w:val="20"/>
          <w:color w:val="auto"/>
        </w:rPr>
      </w:pPr>
    </w:p>
    <w:p>
      <w:pPr>
        <w:jc w:val="both"/>
        <w:ind w:left="640"/>
        <w:spacing w:after="0" w:line="264" w:lineRule="auto"/>
        <w:rPr>
          <w:sz w:val="20"/>
          <w:szCs w:val="20"/>
          <w:color w:val="auto"/>
        </w:rPr>
      </w:pPr>
      <w:r>
        <w:rPr>
          <w:rFonts w:ascii="Arial" w:cs="Arial" w:eastAsia="Arial" w:hAnsi="Arial"/>
          <w:sz w:val="17"/>
          <w:szCs w:val="17"/>
          <w:color w:val="auto"/>
        </w:rPr>
        <w:t>If all of the Parties breach this Agreement, they shall determine the respective amount of compensation payable by them according to the degree of their respective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184390" cy="412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457" w:name="page458"/>
    <w:bookmarkEnd w:id="457"/>
    <w:p>
      <w:pPr>
        <w:ind w:left="420" w:hanging="420"/>
        <w:spacing w:after="0"/>
        <w:tabs>
          <w:tab w:leader="none" w:pos="420" w:val="left"/>
        </w:tabs>
        <w:numPr>
          <w:ilvl w:val="0"/>
          <w:numId w:val="509"/>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20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Governing Law</w:t>
      </w:r>
    </w:p>
    <w:p>
      <w:pPr>
        <w:spacing w:after="0" w:line="228"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203"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Arbitration</w:t>
      </w:r>
    </w:p>
    <w:p>
      <w:pPr>
        <w:spacing w:after="0" w:line="228" w:lineRule="exact"/>
        <w:rPr>
          <w:sz w:val="20"/>
          <w:szCs w:val="20"/>
          <w:color w:val="auto"/>
        </w:rPr>
      </w:pPr>
    </w:p>
    <w:p>
      <w:pPr>
        <w:jc w:val="both"/>
        <w:ind w:left="1520"/>
        <w:spacing w:after="0" w:line="278" w:lineRule="auto"/>
        <w:rPr>
          <w:sz w:val="20"/>
          <w:szCs w:val="20"/>
          <w:color w:val="auto"/>
        </w:rPr>
      </w:pPr>
      <w:r>
        <w:rPr>
          <w:rFonts w:ascii="Arial" w:cs="Arial" w:eastAsia="Arial" w:hAnsi="Arial"/>
          <w:sz w:val="16"/>
          <w:szCs w:val="16"/>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w:t>
      </w:r>
    </w:p>
    <w:p>
      <w:pPr>
        <w:spacing w:after="0" w:line="357" w:lineRule="exact"/>
        <w:rPr>
          <w:sz w:val="20"/>
          <w:szCs w:val="20"/>
          <w:color w:val="auto"/>
        </w:rPr>
      </w:pPr>
    </w:p>
    <w:p>
      <w:pPr>
        <w:jc w:val="both"/>
        <w:ind w:left="1520"/>
        <w:spacing w:after="0" w:line="254" w:lineRule="auto"/>
        <w:rPr>
          <w:sz w:val="20"/>
          <w:szCs w:val="20"/>
          <w:color w:val="auto"/>
        </w:rPr>
      </w:pPr>
      <w:r>
        <w:rPr>
          <w:rFonts w:ascii="Arial" w:cs="Arial" w:eastAsia="Arial" w:hAnsi="Arial"/>
          <w:sz w:val="17"/>
          <w:szCs w:val="17"/>
          <w:color w:val="auto"/>
        </w:rPr>
        <w:t>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376"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Continue to Perform</w:t>
      </w:r>
    </w:p>
    <w:p>
      <w:pPr>
        <w:spacing w:after="0" w:line="228" w:lineRule="exact"/>
        <w:rPr>
          <w:sz w:val="20"/>
          <w:szCs w:val="20"/>
          <w:color w:val="auto"/>
        </w:rPr>
      </w:pPr>
    </w:p>
    <w:p>
      <w:pPr>
        <w:jc w:val="both"/>
        <w:ind w:left="1520"/>
        <w:spacing w:after="0" w:line="264" w:lineRule="auto"/>
        <w:rPr>
          <w:sz w:val="20"/>
          <w:szCs w:val="20"/>
          <w:color w:val="auto"/>
        </w:rPr>
      </w:pP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363" w:lineRule="exact"/>
        <w:rPr>
          <w:sz w:val="20"/>
          <w:szCs w:val="20"/>
          <w:color w:val="auto"/>
        </w:rPr>
      </w:pPr>
    </w:p>
    <w:p>
      <w:pPr>
        <w:ind w:left="720" w:hanging="720"/>
        <w:spacing w:after="0"/>
        <w:tabs>
          <w:tab w:leader="none" w:pos="720" w:val="left"/>
        </w:tabs>
        <w:numPr>
          <w:ilvl w:val="0"/>
          <w:numId w:val="510"/>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Confidential Information</w:t>
      </w:r>
    </w:p>
    <w:p>
      <w:pPr>
        <w:spacing w:after="0" w:line="228" w:lineRule="exact"/>
        <w:rPr>
          <w:sz w:val="20"/>
          <w:szCs w:val="20"/>
          <w:color w:val="auto"/>
        </w:rPr>
      </w:pPr>
    </w:p>
    <w:p>
      <w:pPr>
        <w:jc w:val="both"/>
        <w:ind w:left="1520" w:firstLine="1"/>
        <w:spacing w:after="0" w:line="254" w:lineRule="auto"/>
        <w:rPr>
          <w:sz w:val="20"/>
          <w:szCs w:val="20"/>
          <w:color w:val="auto"/>
        </w:rPr>
      </w:pPr>
      <w:r>
        <w:rPr>
          <w:rFonts w:ascii="Arial" w:cs="Arial" w:eastAsia="Arial" w:hAnsi="Arial"/>
          <w:sz w:val="17"/>
          <w:szCs w:val="17"/>
          <w:color w:val="auto"/>
        </w:rPr>
        <w:t>Any contents of this Agreement and its annexes shall be kept confidential. Any Party shall not disclose to any third party any information contained herein (unless they obtain the prior written consent of the Parties hereto). These provisions hereof shall survive the termination of this Agreement.</w:t>
      </w:r>
    </w:p>
    <w:p>
      <w:pPr>
        <w:spacing w:after="0" w:line="17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color w:val="auto"/>
        </w:rPr>
        <w:t>Exceptions</w:t>
      </w:r>
    </w:p>
    <w:p>
      <w:pPr>
        <w:spacing w:after="0" w:line="228" w:lineRule="exact"/>
        <w:rPr>
          <w:sz w:val="20"/>
          <w:szCs w:val="20"/>
          <w:color w:val="auto"/>
        </w:rPr>
      </w:pPr>
    </w:p>
    <w:p>
      <w:pPr>
        <w:jc w:val="both"/>
        <w:ind w:left="1520" w:firstLine="1"/>
        <w:spacing w:after="0" w:line="264" w:lineRule="auto"/>
        <w:rPr>
          <w:sz w:val="20"/>
          <w:szCs w:val="20"/>
          <w:color w:val="auto"/>
        </w:rPr>
      </w:pPr>
      <w:r>
        <w:rPr>
          <w:rFonts w:ascii="Arial" w:cs="Arial" w:eastAsia="Arial" w:hAnsi="Arial"/>
          <w:sz w:val="17"/>
          <w:szCs w:val="17"/>
          <w:color w:val="auto"/>
        </w:rPr>
        <w:t>Any disclosure of any confidential information required by the laws, court judgments, arbitral awards and decisions of governmental authorities shall not constitute a breach of the Section 7.1 above.</w:t>
      </w:r>
    </w:p>
    <w:p>
      <w:pPr>
        <w:spacing w:after="0" w:line="363" w:lineRule="exact"/>
        <w:rPr>
          <w:sz w:val="20"/>
          <w:szCs w:val="20"/>
          <w:color w:val="auto"/>
        </w:rPr>
      </w:pPr>
    </w:p>
    <w:p>
      <w:pPr>
        <w:ind w:left="720" w:hanging="720"/>
        <w:spacing w:after="0"/>
        <w:tabs>
          <w:tab w:leader="none" w:pos="720" w:val="left"/>
        </w:tabs>
        <w:numPr>
          <w:ilvl w:val="0"/>
          <w:numId w:val="511"/>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Entire Agreement</w:t>
      </w:r>
    </w:p>
    <w:p>
      <w:pPr>
        <w:spacing w:after="0" w:line="228" w:lineRule="exact"/>
        <w:rPr>
          <w:sz w:val="20"/>
          <w:szCs w:val="20"/>
          <w:color w:val="auto"/>
        </w:rPr>
      </w:pPr>
    </w:p>
    <w:p>
      <w:pPr>
        <w:jc w:val="both"/>
        <w:ind w:left="1520"/>
        <w:spacing w:after="0" w:line="251" w:lineRule="auto"/>
        <w:rPr>
          <w:sz w:val="20"/>
          <w:szCs w:val="20"/>
          <w:color w:val="auto"/>
        </w:rPr>
      </w:pPr>
      <w:r>
        <w:rPr>
          <w:rFonts w:ascii="Arial" w:cs="Arial" w:eastAsia="Arial" w:hAnsi="Arial"/>
          <w:sz w:val="17"/>
          <w:szCs w:val="17"/>
          <w:color w:val="auto"/>
        </w:rPr>
        <w:t>This Agreement shall constitute an entire agreement among the Parties hereto in respect of the matters involved herein. In case of any discrepancies between any prior discussions, negotiations and agreement and this Agreement, this Agreement shall prevail. This Agreement shall be amended by the Parties in writing. Any annexes hereto shall form an integral part of this Agreement and be equally authentic as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84390" cy="412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58" w:name="page459"/>
    <w:bookmarkEnd w:id="458"/>
    <w:p>
      <w:pPr>
        <w:spacing w:after="0"/>
        <w:tabs>
          <w:tab w:leader="none" w:pos="84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3"/>
          <w:szCs w:val="13"/>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860" w:hanging="859"/>
        <w:spacing w:after="0" w:line="254" w:lineRule="auto"/>
        <w:tabs>
          <w:tab w:leader="none" w:pos="840" w:val="left"/>
        </w:tabs>
        <w:rPr>
          <w:sz w:val="20"/>
          <w:szCs w:val="20"/>
          <w:color w:val="auto"/>
        </w:rPr>
      </w:pPr>
      <w:r>
        <w:rPr>
          <w:rFonts w:ascii="Arial" w:cs="Arial" w:eastAsia="Arial" w:hAnsi="Arial"/>
          <w:sz w:val="17"/>
          <w:szCs w:val="17"/>
          <w:color w:val="auto"/>
        </w:rPr>
        <w:t>8.2.1</w:t>
      </w:r>
      <w:r>
        <w:rPr>
          <w:sz w:val="20"/>
          <w:szCs w:val="20"/>
          <w:color w:val="auto"/>
        </w:rPr>
        <w:tab/>
      </w: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3"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left="1640" w:right="1600"/>
        <w:spacing w:after="0" w:line="451"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ind w:left="1640"/>
        <w:spacing w:after="0"/>
        <w:rPr>
          <w:sz w:val="20"/>
          <w:szCs w:val="20"/>
          <w:color w:val="auto"/>
        </w:rPr>
      </w:pPr>
      <w:r>
        <w:rPr>
          <w:rFonts w:ascii="Arial" w:cs="Arial" w:eastAsia="Arial" w:hAnsi="Arial"/>
          <w:sz w:val="17"/>
          <w:szCs w:val="17"/>
          <w:color w:val="auto"/>
        </w:rPr>
        <w:t>Attn.: LIU Tongbo</w:t>
      </w:r>
    </w:p>
    <w:p>
      <w:pPr>
        <w:spacing w:after="0" w:line="199"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Party B and Party C</w:t>
      </w:r>
      <w:r>
        <w:rPr>
          <w:rFonts w:ascii="Arial" w:cs="Arial" w:eastAsia="Arial" w:hAnsi="Arial"/>
          <w:sz w:val="17"/>
          <w:szCs w:val="17"/>
          <w:color w:val="auto"/>
        </w:rPr>
        <w:t>:</w:t>
      </w:r>
    </w:p>
    <w:p>
      <w:pPr>
        <w:spacing w:after="0" w:line="207" w:lineRule="exact"/>
        <w:rPr>
          <w:sz w:val="20"/>
          <w:szCs w:val="20"/>
          <w:color w:val="auto"/>
        </w:rPr>
      </w:pPr>
    </w:p>
    <w:p>
      <w:pPr>
        <w:ind w:left="1640" w:right="1600"/>
        <w:spacing w:after="0" w:line="443"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Attn.: HAN Wei</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3"/>
          <w:szCs w:val="13"/>
          <w:color w:val="auto"/>
        </w:rPr>
        <w:t>All notices and correspondences shall be deemed to have been delivered under the following circumstances:</w:t>
      </w:r>
    </w:p>
    <w:p>
      <w:pPr>
        <w:spacing w:after="0" w:line="228" w:lineRule="exact"/>
        <w:rPr>
          <w:sz w:val="20"/>
          <w:szCs w:val="20"/>
          <w:color w:val="auto"/>
        </w:rPr>
      </w:pPr>
    </w:p>
    <w:p>
      <w:pPr>
        <w:jc w:val="both"/>
        <w:ind w:left="3040" w:hanging="869"/>
        <w:spacing w:after="0" w:line="254" w:lineRule="auto"/>
        <w:tabs>
          <w:tab w:leader="none" w:pos="304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If delivered by fax, the date displayed on the fax machine shall be the date of delivery, provided that, when such notices sent by fax are delivered later than 5:00 p.m. or on any non-working day in the place of delivery, the working day following the date displayed shall be the date of delivery;</w:t>
      </w:r>
    </w:p>
    <w:p>
      <w:pPr>
        <w:spacing w:after="0" w:line="176" w:lineRule="exact"/>
        <w:rPr>
          <w:rFonts w:ascii="Arial" w:cs="Arial" w:eastAsia="Arial" w:hAnsi="Arial"/>
          <w:sz w:val="17"/>
          <w:szCs w:val="17"/>
          <w:color w:val="auto"/>
        </w:rPr>
      </w:pPr>
    </w:p>
    <w:p>
      <w:pPr>
        <w:ind w:left="3040" w:hanging="869"/>
        <w:spacing w:after="0" w:line="264" w:lineRule="auto"/>
        <w:tabs>
          <w:tab w:leader="none" w:pos="304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If delivered by personal delivery (including by express mail service), the date of signing for such notices shall be the date of delivery; and</w:t>
      </w:r>
    </w:p>
    <w:p>
      <w:pPr>
        <w:spacing w:after="0" w:line="167" w:lineRule="exact"/>
        <w:rPr>
          <w:rFonts w:ascii="Arial" w:cs="Arial" w:eastAsia="Arial" w:hAnsi="Arial"/>
          <w:sz w:val="17"/>
          <w:szCs w:val="17"/>
          <w:color w:val="auto"/>
        </w:rPr>
      </w:pPr>
    </w:p>
    <w:p>
      <w:pPr>
        <w:ind w:left="3040" w:hanging="869"/>
        <w:spacing w:after="0" w:line="265" w:lineRule="auto"/>
        <w:tabs>
          <w:tab w:leader="none" w:pos="304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If delivered by registered mail, the Fifteenth (15</w:t>
      </w:r>
      <w:r>
        <w:rPr>
          <w:rFonts w:ascii="Arial" w:cs="Arial" w:eastAsia="Arial" w:hAnsi="Arial"/>
          <w:sz w:val="14"/>
          <w:szCs w:val="14"/>
          <w:color w:val="auto"/>
        </w:rPr>
        <w:t>th</w:t>
      </w:r>
      <w:r>
        <w:rPr>
          <w:rFonts w:ascii="Arial" w:cs="Arial" w:eastAsia="Arial" w:hAnsi="Arial"/>
          <w:sz w:val="17"/>
          <w:szCs w:val="17"/>
          <w:color w:val="auto"/>
        </w:rPr>
        <w:t>) day following the date shown in the return receipt of such registered mail shall be the date of delivery.</w:t>
      </w:r>
    </w:p>
    <w:p>
      <w:pPr>
        <w:spacing w:after="0" w:line="167" w:lineRule="exact"/>
        <w:rPr>
          <w:sz w:val="20"/>
          <w:szCs w:val="20"/>
          <w:color w:val="auto"/>
        </w:rPr>
      </w:pPr>
    </w:p>
    <w:p>
      <w:pPr>
        <w:ind w:left="2180"/>
        <w:spacing w:after="0"/>
        <w:tabs>
          <w:tab w:leader="none" w:pos="3020" w:val="left"/>
        </w:tabs>
        <w:rPr>
          <w:sz w:val="20"/>
          <w:szCs w:val="20"/>
          <w:color w:val="auto"/>
        </w:rPr>
      </w:pPr>
      <w:r>
        <w:rPr>
          <w:rFonts w:ascii="Arial" w:cs="Arial" w:eastAsia="Arial" w:hAnsi="Arial"/>
          <w:sz w:val="17"/>
          <w:szCs w:val="17"/>
          <w:color w:val="auto"/>
        </w:rPr>
        <w:t>8.2.3</w:t>
      </w:r>
      <w:r>
        <w:rPr>
          <w:sz w:val="20"/>
          <w:szCs w:val="20"/>
          <w:color w:val="auto"/>
        </w:rPr>
        <w:tab/>
      </w:r>
      <w:r>
        <w:rPr>
          <w:rFonts w:ascii="Arial" w:cs="Arial" w:eastAsia="Arial" w:hAnsi="Arial"/>
          <w:sz w:val="15"/>
          <w:szCs w:val="15"/>
          <w:color w:val="auto"/>
        </w:rPr>
        <w:t>Binding force</w:t>
      </w:r>
    </w:p>
    <w:p>
      <w:pPr>
        <w:spacing w:after="0" w:line="228"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This Agreement shall be binding on the Parties hereto.</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3"/>
          <w:szCs w:val="13"/>
          <w:color w:val="auto"/>
        </w:rPr>
        <w:t>Language</w:t>
      </w:r>
    </w:p>
    <w:p>
      <w:pPr>
        <w:spacing w:after="0" w:line="22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This Agreement is written in Chinese and is executed in four (4) copies.</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color w:val="auto"/>
        </w:rPr>
        <w:t>Day and Working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76835</wp:posOffset>
            </wp:positionV>
            <wp:extent cx="7184390" cy="412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820"/>
          </w:cols>
          <w:pgMar w:left="740" w:top="525" w:right="339" w:bottom="1440" w:gutter="0" w:footer="0" w:header="0"/>
        </w:sectPr>
      </w:pPr>
    </w:p>
    <w:bookmarkStart w:id="459" w:name="page460"/>
    <w:bookmarkEnd w:id="459"/>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Day</w:t>
      </w:r>
      <w:r>
        <w:rPr>
          <w:rFonts w:ascii="Arial" w:cs="Arial" w:eastAsia="Arial" w:hAnsi="Arial"/>
          <w:sz w:val="17"/>
          <w:szCs w:val="17"/>
          <w:color w:val="auto"/>
        </w:rPr>
        <w:t>” referred to herein shall be the calendar day; “</w:t>
      </w:r>
      <w:r>
        <w:rPr>
          <w:rFonts w:ascii="Arial" w:cs="Arial" w:eastAsia="Arial" w:hAnsi="Arial"/>
          <w:sz w:val="17"/>
          <w:szCs w:val="17"/>
          <w:b w:val="1"/>
          <w:bCs w:val="1"/>
          <w:color w:val="auto"/>
        </w:rPr>
        <w:t>Working Day</w:t>
      </w:r>
      <w:r>
        <w:rPr>
          <w:rFonts w:ascii="Arial" w:cs="Arial" w:eastAsia="Arial" w:hAnsi="Arial"/>
          <w:sz w:val="17"/>
          <w:szCs w:val="17"/>
          <w:color w:val="auto"/>
        </w:rPr>
        <w:t>” referred to herein shall be any day from Monday to Friday.</w:t>
      </w:r>
    </w:p>
    <w:p>
      <w:pPr>
        <w:spacing w:after="0" w:line="20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3"/>
          <w:szCs w:val="13"/>
          <w:color w:val="auto"/>
        </w:rPr>
        <w:t>Headings</w:t>
      </w:r>
    </w:p>
    <w:p>
      <w:pPr>
        <w:spacing w:after="0" w:line="228"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The headings hereunder are for reading convenience only and shall not be used for the interpretation of this Agreement.</w:t>
      </w:r>
    </w:p>
    <w:p>
      <w:pPr>
        <w:spacing w:after="0" w:line="200" w:lineRule="exact"/>
        <w:rPr>
          <w:sz w:val="20"/>
          <w:szCs w:val="20"/>
          <w:color w:val="auto"/>
        </w:rPr>
      </w:pPr>
    </w:p>
    <w:p>
      <w:pPr>
        <w:spacing w:after="0" w:line="202"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3"/>
          <w:szCs w:val="13"/>
          <w:color w:val="auto"/>
        </w:rPr>
        <w:t>Pending matters</w:t>
      </w:r>
    </w:p>
    <w:p>
      <w:pPr>
        <w:spacing w:after="0" w:line="228"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Any matters not stipulated herein shall be resolved by the Parties hereto through friendly consultation in accordance with the laws of the PRC.</w:t>
      </w:r>
    </w:p>
    <w:p>
      <w:pPr>
        <w:spacing w:after="0" w:line="226"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Termination</w:t>
      </w:r>
    </w:p>
    <w:p>
      <w:pPr>
        <w:spacing w:after="0" w:line="228" w:lineRule="exact"/>
        <w:rPr>
          <w:sz w:val="20"/>
          <w:szCs w:val="20"/>
          <w:color w:val="auto"/>
        </w:rPr>
      </w:pPr>
    </w:p>
    <w:p>
      <w:pPr>
        <w:jc w:val="both"/>
        <w:ind w:left="1520" w:firstLine="1"/>
        <w:spacing w:after="0" w:line="278" w:lineRule="auto"/>
        <w:rPr>
          <w:sz w:val="20"/>
          <w:szCs w:val="20"/>
          <w:color w:val="auto"/>
        </w:rPr>
      </w:pPr>
      <w:r>
        <w:rPr>
          <w:rFonts w:ascii="Arial" w:cs="Arial" w:eastAsia="Arial" w:hAnsi="Arial"/>
          <w:sz w:val="16"/>
          <w:szCs w:val="16"/>
          <w:color w:val="auto"/>
        </w:rPr>
        <w:t>The Parties hereto acknowledge that, in case of any change of shareholding structure of Party C or any increase or decrease of shareholders, Party A, Party C and all existing shareholders of Party C shall re-sign this Agreement and that this Agreement shall be automatically terminated and become invalid from the effective date of the option agreement re-signed by the aforesaid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Option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HAN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HAN Wei</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WANG Yanpeng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WANG Yanpeng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HAN Wei</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460" w:name="page461"/>
    <w:bookmarkEnd w:id="460"/>
    <w:p>
      <w:pPr>
        <w:jc w:val="center"/>
        <w:spacing w:after="0"/>
        <w:rPr>
          <w:sz w:val="20"/>
          <w:szCs w:val="20"/>
          <w:color w:val="auto"/>
        </w:rPr>
      </w:pPr>
      <w:r>
        <w:rPr>
          <w:rFonts w:ascii="Arial" w:cs="Arial" w:eastAsia="Arial" w:hAnsi="Arial"/>
          <w:sz w:val="20"/>
          <w:szCs w:val="20"/>
          <w:b w:val="1"/>
          <w:bCs w:val="1"/>
          <w:color w:val="auto"/>
        </w:rPr>
        <w:t>Annex I Party C’s Shareholders</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92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right w:val="single" w:sz="8" w:color="auto"/>
            </w:tcBorders>
            <w:gridSpan w:val="2"/>
          </w:tcPr>
          <w:p>
            <w:pPr>
              <w:jc w:val="center"/>
              <w:ind w:right="940"/>
              <w:spacing w:after="0"/>
              <w:rPr>
                <w:sz w:val="20"/>
                <w:szCs w:val="20"/>
                <w:color w:val="auto"/>
              </w:rPr>
            </w:pPr>
            <w:r>
              <w:rPr>
                <w:rFonts w:ascii="Arial" w:cs="Arial" w:eastAsia="Arial" w:hAnsi="Arial"/>
                <w:sz w:val="17"/>
                <w:szCs w:val="17"/>
                <w:color w:val="auto"/>
                <w:w w:val="88"/>
              </w:rPr>
              <w:t>Name of Shareholders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ID Card No.</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920" w:type="dxa"/>
            <w:vAlign w:val="bottom"/>
            <w:tcBorders>
              <w:bottom w:val="single" w:sz="8" w:color="auto"/>
            </w:tcBorders>
          </w:tcPr>
          <w:p>
            <w:pPr>
              <w:spacing w:after="0"/>
              <w:rPr>
                <w:sz w:val="16"/>
                <w:szCs w:val="16"/>
                <w:color w:val="auto"/>
              </w:rPr>
            </w:pPr>
          </w:p>
        </w:tc>
        <w:tc>
          <w:tcPr>
            <w:tcW w:w="2440" w:type="dxa"/>
            <w:vAlign w:val="bottom"/>
            <w:tcBorders>
              <w:bottom w:val="single" w:sz="8" w:color="auto"/>
              <w:right w:val="single" w:sz="8" w:color="auto"/>
            </w:tcBorders>
            <w:gridSpan w:val="2"/>
          </w:tcPr>
          <w:p>
            <w:pPr>
              <w:jc w:val="center"/>
              <w:ind w:right="940"/>
              <w:spacing w:after="0" w:line="192" w:lineRule="exact"/>
              <w:rPr>
                <w:sz w:val="20"/>
                <w:szCs w:val="20"/>
                <w:color w:val="auto"/>
              </w:rPr>
            </w:pPr>
            <w:r>
              <w:rPr>
                <w:rFonts w:ascii="Arial" w:cs="Arial" w:eastAsia="Arial" w:hAnsi="Arial"/>
                <w:sz w:val="17"/>
                <w:szCs w:val="17"/>
                <w:color w:val="auto"/>
                <w:w w:val="94"/>
              </w:rPr>
              <w:t>HAN Wei</w:t>
            </w:r>
          </w:p>
        </w:tc>
        <w:tc>
          <w:tcPr>
            <w:tcW w:w="1800" w:type="dxa"/>
            <w:vAlign w:val="bottom"/>
            <w:tcBorders>
              <w:bottom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920" w:type="dxa"/>
            <w:vAlign w:val="bottom"/>
            <w:tcBorders>
              <w:bottom w:val="single" w:sz="8" w:color="auto"/>
            </w:tcBorders>
          </w:tcPr>
          <w:p>
            <w:pPr>
              <w:spacing w:after="0"/>
              <w:rPr>
                <w:sz w:val="16"/>
                <w:szCs w:val="16"/>
                <w:color w:val="auto"/>
              </w:rPr>
            </w:pPr>
          </w:p>
        </w:tc>
        <w:tc>
          <w:tcPr>
            <w:tcW w:w="2440" w:type="dxa"/>
            <w:vAlign w:val="bottom"/>
            <w:tcBorders>
              <w:bottom w:val="single" w:sz="8" w:color="auto"/>
              <w:right w:val="single" w:sz="8" w:color="auto"/>
            </w:tcBorders>
            <w:gridSpan w:val="2"/>
          </w:tcPr>
          <w:p>
            <w:pPr>
              <w:jc w:val="center"/>
              <w:ind w:right="920"/>
              <w:spacing w:after="0" w:line="192" w:lineRule="exact"/>
              <w:rPr>
                <w:sz w:val="20"/>
                <w:szCs w:val="20"/>
                <w:color w:val="auto"/>
              </w:rPr>
            </w:pPr>
            <w:r>
              <w:rPr>
                <w:rFonts w:ascii="Arial" w:cs="Arial" w:eastAsia="Arial" w:hAnsi="Arial"/>
                <w:sz w:val="17"/>
                <w:szCs w:val="17"/>
                <w:color w:val="auto"/>
                <w:w w:val="89"/>
              </w:rPr>
              <w:t>WANG Yanpeng</w:t>
            </w:r>
          </w:p>
        </w:tc>
        <w:tc>
          <w:tcPr>
            <w:tcW w:w="1800" w:type="dxa"/>
            <w:vAlign w:val="bottom"/>
            <w:tcBorders>
              <w:bottom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gridSpan w:val="4"/>
          </w:tcPr>
          <w:p>
            <w:pPr>
              <w:ind w:left="520"/>
              <w:spacing w:after="0"/>
              <w:rPr>
                <w:sz w:val="20"/>
                <w:szCs w:val="20"/>
                <w:color w:val="auto"/>
              </w:rPr>
            </w:pPr>
            <w:r>
              <w:rPr>
                <w:rFonts w:ascii="Arial" w:cs="Arial" w:eastAsia="Arial" w:hAnsi="Arial"/>
                <w:sz w:val="20"/>
                <w:szCs w:val="20"/>
                <w:b w:val="1"/>
                <w:bCs w:val="1"/>
                <w:color w:val="auto"/>
              </w:rPr>
              <w:t>Annex II Party C’s Shareholding Structure</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3600" w:type="dxa"/>
            <w:vAlign w:val="bottom"/>
            <w:gridSpan w:val="3"/>
            <w:vMerge w:val="restart"/>
          </w:tcPr>
          <w:p>
            <w:pPr>
              <w:jc w:val="center"/>
              <w:ind w:left="1997"/>
              <w:spacing w:after="0"/>
              <w:rPr>
                <w:sz w:val="20"/>
                <w:szCs w:val="20"/>
                <w:color w:val="auto"/>
              </w:rPr>
            </w:pPr>
            <w:r>
              <w:rPr>
                <w:rFonts w:ascii="Arial" w:cs="Arial" w:eastAsia="Arial" w:hAnsi="Arial"/>
                <w:sz w:val="17"/>
                <w:szCs w:val="17"/>
                <w:color w:val="auto"/>
                <w:w w:val="86"/>
              </w:rPr>
              <w:t>Name of Shareholders</w:t>
            </w:r>
          </w:p>
        </w:tc>
        <w:tc>
          <w:tcPr>
            <w:tcW w:w="212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80" w:lineRule="exact"/>
              <w:rPr>
                <w:sz w:val="20"/>
                <w:szCs w:val="20"/>
                <w:color w:val="auto"/>
              </w:rPr>
            </w:pPr>
            <w:r>
              <w:rPr>
                <w:rFonts w:ascii="Arial" w:cs="Arial" w:eastAsia="Arial" w:hAnsi="Arial"/>
                <w:sz w:val="17"/>
                <w:szCs w:val="17"/>
                <w:color w:val="auto"/>
                <w:w w:val="92"/>
              </w:rPr>
              <w:t>Amount of Contribution</w:t>
            </w:r>
          </w:p>
        </w:tc>
        <w:tc>
          <w:tcPr>
            <w:tcW w:w="34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ind w:left="640"/>
              <w:spacing w:after="0" w:line="180" w:lineRule="exact"/>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3600" w:type="dxa"/>
            <w:vAlign w:val="bottom"/>
            <w:gridSpan w:val="3"/>
            <w:vMerge w:val="continue"/>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Arial" w:cs="Arial" w:eastAsia="Arial" w:hAnsi="Arial"/>
                <w:sz w:val="17"/>
                <w:szCs w:val="17"/>
                <w:color w:val="auto"/>
                <w:w w:val="93"/>
              </w:rPr>
              <w:t>(CNY10000)</w:t>
            </w:r>
          </w:p>
        </w:tc>
        <w:tc>
          <w:tcPr>
            <w:tcW w:w="34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2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69"/>
              <w:spacing w:after="0" w:line="192" w:lineRule="exact"/>
              <w:rPr>
                <w:sz w:val="20"/>
                <w:szCs w:val="20"/>
                <w:color w:val="auto"/>
              </w:rPr>
            </w:pPr>
            <w:r>
              <w:rPr>
                <w:rFonts w:ascii="Arial" w:cs="Arial" w:eastAsia="Arial" w:hAnsi="Arial"/>
                <w:sz w:val="17"/>
                <w:szCs w:val="17"/>
                <w:color w:val="auto"/>
                <w:w w:val="89"/>
              </w:rPr>
              <w:t>WANG Yanpeng</w:t>
            </w:r>
          </w:p>
        </w:tc>
        <w:tc>
          <w:tcPr>
            <w:tcW w:w="212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2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9"/>
              <w:spacing w:after="0" w:line="192" w:lineRule="exact"/>
              <w:rPr>
                <w:sz w:val="20"/>
                <w:szCs w:val="20"/>
                <w:color w:val="auto"/>
              </w:rPr>
            </w:pPr>
            <w:r>
              <w:rPr>
                <w:rFonts w:ascii="Arial" w:cs="Arial" w:eastAsia="Arial" w:hAnsi="Arial"/>
                <w:sz w:val="17"/>
                <w:szCs w:val="17"/>
                <w:color w:val="auto"/>
                <w:w w:val="94"/>
              </w:rPr>
              <w:t>HAN Wei</w:t>
            </w:r>
          </w:p>
        </w:tc>
        <w:tc>
          <w:tcPr>
            <w:tcW w:w="212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190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9"/>
              <w:spacing w:after="0" w:line="192" w:lineRule="exact"/>
              <w:rPr>
                <w:sz w:val="20"/>
                <w:szCs w:val="20"/>
                <w:color w:val="auto"/>
              </w:rPr>
            </w:pPr>
            <w:r>
              <w:rPr>
                <w:rFonts w:ascii="Arial" w:cs="Arial" w:eastAsia="Arial" w:hAnsi="Arial"/>
                <w:sz w:val="17"/>
                <w:szCs w:val="17"/>
                <w:color w:val="auto"/>
                <w:w w:val="89"/>
              </w:rPr>
              <w:t>Total</w:t>
            </w:r>
          </w:p>
        </w:tc>
        <w:tc>
          <w:tcPr>
            <w:tcW w:w="212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200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461" w:name="page462"/>
    <w:bookmarkEnd w:id="4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Arial" w:cs="Arial" w:eastAsia="Arial" w:hAnsi="Arial"/>
                <w:sz w:val="17"/>
                <w:szCs w:val="17"/>
                <w:b w:val="1"/>
                <w:bCs w:val="1"/>
                <w:color w:val="auto"/>
              </w:rPr>
              <w:t>Exhibit 4.56</w:t>
            </w:r>
          </w:p>
        </w:tc>
      </w:tr>
      <w:tr>
        <w:trPr>
          <w:trHeight w:val="598"/>
        </w:trPr>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320" w:type="dxa"/>
            <w:vAlign w:val="bottom"/>
            <w:gridSpan w:val="2"/>
          </w:tcPr>
          <w:p>
            <w:pPr>
              <w:jc w:val="right"/>
              <w:ind w:right="5000"/>
              <w:spacing w:after="0"/>
              <w:rPr>
                <w:sz w:val="20"/>
                <w:szCs w:val="20"/>
                <w:color w:val="auto"/>
              </w:rPr>
            </w:pPr>
            <w:r>
              <w:rPr>
                <w:rFonts w:ascii="Arial" w:cs="Arial" w:eastAsia="Arial" w:hAnsi="Arial"/>
                <w:sz w:val="17"/>
                <w:szCs w:val="17"/>
                <w:b w:val="1"/>
                <w:bCs w:val="1"/>
                <w:color w:val="auto"/>
                <w:w w:val="87"/>
              </w:rPr>
              <w:t>Spousal Consents</w:t>
            </w:r>
          </w:p>
        </w:tc>
      </w:tr>
      <w:tr>
        <w:trPr>
          <w:trHeight w:val="382"/>
        </w:trPr>
        <w:tc>
          <w:tcPr>
            <w:tcW w:w="4920" w:type="dxa"/>
            <w:vAlign w:val="bottom"/>
            <w:gridSpan w:val="4"/>
          </w:tcPr>
          <w:p>
            <w:pPr>
              <w:spacing w:after="0"/>
              <w:rPr>
                <w:sz w:val="20"/>
                <w:szCs w:val="20"/>
                <w:color w:val="auto"/>
              </w:rPr>
            </w:pPr>
            <w:r>
              <w:rPr>
                <w:rFonts w:ascii="Arial" w:cs="Arial" w:eastAsia="Arial" w:hAnsi="Arial"/>
                <w:sz w:val="17"/>
                <w:szCs w:val="17"/>
                <w:color w:val="auto"/>
                <w:w w:val="92"/>
              </w:rPr>
              <w:t>I, FANG Wen, (Citizen of the People's Republic of China; ID Card No.:</w:t>
            </w:r>
          </w:p>
        </w:tc>
        <w:tc>
          <w:tcPr>
            <w:tcW w:w="6320" w:type="dxa"/>
            <w:vAlign w:val="bottom"/>
            <w:gridSpan w:val="2"/>
          </w:tcPr>
          <w:p>
            <w:pPr>
              <w:jc w:val="right"/>
              <w:spacing w:after="0"/>
              <w:rPr>
                <w:sz w:val="20"/>
                <w:szCs w:val="20"/>
                <w:color w:val="auto"/>
              </w:rPr>
            </w:pPr>
            <w:r>
              <w:rPr>
                <w:rFonts w:ascii="Arial" w:cs="Arial" w:eastAsia="Arial" w:hAnsi="Arial"/>
                <w:sz w:val="17"/>
                <w:szCs w:val="17"/>
                <w:color w:val="auto"/>
              </w:rPr>
              <w:t>), is the lawful spouse of HAN Wei (Citizen of the People's Republic of China; ID</w:t>
            </w:r>
          </w:p>
        </w:tc>
      </w:tr>
      <w:tr>
        <w:trPr>
          <w:trHeight w:val="178"/>
        </w:trPr>
        <w:tc>
          <w:tcPr>
            <w:tcW w:w="1100" w:type="dxa"/>
            <w:vAlign w:val="bottom"/>
          </w:tcPr>
          <w:p>
            <w:pPr>
              <w:spacing w:after="0" w:line="179" w:lineRule="exact"/>
              <w:rPr>
                <w:sz w:val="20"/>
                <w:szCs w:val="20"/>
                <w:color w:val="auto"/>
              </w:rPr>
            </w:pPr>
            <w:r>
              <w:rPr>
                <w:rFonts w:ascii="Arial" w:cs="Arial" w:eastAsia="Arial" w:hAnsi="Arial"/>
                <w:sz w:val="17"/>
                <w:szCs w:val="17"/>
                <w:color w:val="auto"/>
              </w:rPr>
              <w:t>Card No.:</w:t>
            </w:r>
          </w:p>
        </w:tc>
        <w:tc>
          <w:tcPr>
            <w:tcW w:w="10140" w:type="dxa"/>
            <w:vAlign w:val="bottom"/>
            <w:gridSpan w:val="5"/>
          </w:tcPr>
          <w:p>
            <w:pPr>
              <w:jc w:val="right"/>
              <w:spacing w:after="0" w:line="179" w:lineRule="exact"/>
              <w:rPr>
                <w:sz w:val="20"/>
                <w:szCs w:val="20"/>
                <w:color w:val="auto"/>
              </w:rPr>
            </w:pPr>
            <w:r>
              <w:rPr>
                <w:rFonts w:ascii="Arial" w:cs="Arial" w:eastAsia="Arial" w:hAnsi="Arial"/>
                <w:sz w:val="17"/>
                <w:szCs w:val="17"/>
                <w:color w:val="auto"/>
                <w:w w:val="93"/>
              </w:rPr>
              <w:t>, the “</w:t>
            </w:r>
            <w:r>
              <w:rPr>
                <w:rFonts w:ascii="Arial" w:cs="Arial" w:eastAsia="Arial" w:hAnsi="Arial"/>
                <w:sz w:val="17"/>
                <w:szCs w:val="17"/>
                <w:b w:val="1"/>
                <w:bCs w:val="1"/>
                <w:color w:val="auto"/>
                <w:w w:val="93"/>
              </w:rPr>
              <w:t>My Spouse</w:t>
            </w:r>
            <w:r>
              <w:rPr>
                <w:rFonts w:ascii="Arial" w:cs="Arial" w:eastAsia="Arial" w:hAnsi="Arial"/>
                <w:sz w:val="17"/>
                <w:szCs w:val="17"/>
                <w:color w:val="auto"/>
                <w:w w:val="93"/>
              </w:rPr>
              <w:t>”). I hereby confirm and agree that the equity held by My Spouse presently and in the future (hereinafter referred to as “</w:t>
            </w:r>
            <w:r>
              <w:rPr>
                <w:rFonts w:ascii="Arial" w:cs="Arial" w:eastAsia="Arial" w:hAnsi="Arial"/>
                <w:sz w:val="17"/>
                <w:szCs w:val="17"/>
                <w:b w:val="1"/>
                <w:bCs w:val="1"/>
                <w:color w:val="auto"/>
                <w:w w:val="93"/>
              </w:rPr>
              <w:t>Equity</w:t>
            </w:r>
          </w:p>
        </w:tc>
      </w:tr>
      <w:tr>
        <w:trPr>
          <w:trHeight w:val="20"/>
        </w:trPr>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and Interest</w:t>
      </w:r>
      <w:r>
        <w:rPr>
          <w:rFonts w:ascii="Arial" w:cs="Arial" w:eastAsia="Arial" w:hAnsi="Arial"/>
          <w:sz w:val="16"/>
          <w:szCs w:val="16"/>
          <w:color w:val="auto"/>
        </w:rPr>
        <w:t>”) is the personal property of My Spouse, do not form the common property of me and My Spouse and can be disposed solely by My Spouse: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Wuhan Jiayan Online Education Technology Co. (the “</w:t>
      </w:r>
      <w:r>
        <w:rPr>
          <w:rFonts w:ascii="Arial" w:cs="Arial" w:eastAsia="Arial" w:hAnsi="Arial"/>
          <w:sz w:val="17"/>
          <w:szCs w:val="17"/>
          <w:b w:val="1"/>
          <w:bCs w:val="1"/>
          <w:u w:val="single" w:color="auto"/>
          <w:color w:val="auto"/>
        </w:rPr>
        <w:t>Wuhan Jiayan</w:t>
      </w:r>
      <w:r>
        <w:rPr>
          <w:rFonts w:ascii="Arial" w:cs="Arial" w:eastAsia="Arial" w:hAnsi="Arial"/>
          <w:sz w:val="17"/>
          <w:szCs w:val="17"/>
          <w:color w:val="auto"/>
        </w:rPr>
        <w: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Wuhan Jiayan or affecting in any manner any decision made by My Spouse.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Wuhan Jiayan and its shareholders and Wuhan Studyvip Online Education Co. Limited).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the August 5,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7184390" cy="412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2" w:name="page463"/>
    <w:bookmarkEnd w:id="462"/>
    <w:p>
      <w:pPr>
        <w:jc w:val="right"/>
        <w:ind w:right="2619"/>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r>
        <w:rPr>
          <w:rFonts w:ascii="Arial" w:cs="Arial" w:eastAsia="Arial" w:hAnsi="Arial"/>
          <w:sz w:val="17"/>
          <w:szCs w:val="17"/>
          <w:u w:val="single" w:color="auto"/>
          <w:color w:val="auto"/>
        </w:rPr>
        <w:t>/s/ FANG Wen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FANG Wen</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HAN Wei hereby agrees and accepts this Spousal Consents: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HAN Wei</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HAN Wei</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Spousal Consents - Signature Page</w:t>
      </w:r>
    </w:p>
    <w:p>
      <w:pPr>
        <w:sectPr>
          <w:pgSz w:w="11900" w:h="16838" w:orient="portrait"/>
          <w:cols w:equalWidth="0" w:num="1">
            <w:col w:w="10139"/>
          </w:cols>
          <w:pgMar w:left="320" w:top="127" w:right="1440" w:bottom="1440" w:gutter="0" w:footer="0" w:header="0"/>
        </w:sectPr>
      </w:pPr>
    </w:p>
    <w:bookmarkStart w:id="463" w:name="page464"/>
    <w:bookmarkEnd w:id="463"/>
    <w:p>
      <w:pPr>
        <w:jc w:val="right"/>
        <w:ind w:right="40"/>
        <w:spacing w:after="0"/>
        <w:rPr>
          <w:sz w:val="20"/>
          <w:szCs w:val="20"/>
          <w:color w:val="auto"/>
        </w:rPr>
      </w:pPr>
      <w:r>
        <w:rPr>
          <w:rFonts w:ascii="Arial" w:cs="Arial" w:eastAsia="Arial" w:hAnsi="Arial"/>
          <w:sz w:val="17"/>
          <w:szCs w:val="17"/>
          <w:b w:val="1"/>
          <w:bCs w:val="1"/>
          <w:color w:val="auto"/>
        </w:rPr>
        <w:t>Exhibit 4.57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Exclusive Technical Consultation and Service Agreement</w:t>
      </w:r>
    </w:p>
    <w:p>
      <w:pPr>
        <w:spacing w:after="0" w:line="227"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color w:val="auto"/>
        </w:rPr>
        <w:t>This Exclusive Technical Consultation and Service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10th day of September, 2019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r>
        <w:rPr>
          <w:rFonts w:ascii="Arial" w:cs="Arial" w:eastAsia="Arial" w:hAnsi="Arial"/>
          <w:sz w:val="17"/>
          <w:szCs w:val="17"/>
          <w:color w:val="auto"/>
        </w:rPr>
        <w:t>: Wuhan Xiaoyan Technology Co., Ltd.</w:t>
      </w:r>
    </w:p>
    <w:p>
      <w:pPr>
        <w:spacing w:after="0" w:line="207"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Registered Address: Room 02, 4th Floor, Unit 3, Building 1, 2, 3, Contemporary China Venture Center, No. 20, Guannanyuan 1st Road, East Lake New Technology Development Zone, Wuhan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HAN Wei</w:t>
      </w:r>
    </w:p>
    <w:p>
      <w:pPr>
        <w:spacing w:after="0" w:line="200" w:lineRule="exact"/>
        <w:rPr>
          <w:sz w:val="20"/>
          <w:szCs w:val="20"/>
          <w:color w:val="auto"/>
        </w:rPr>
      </w:pPr>
    </w:p>
    <w:p>
      <w:pPr>
        <w:spacing w:after="0" w:line="24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shares or investment interests are held by Party B.</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32" w:lineRule="exact"/>
        <w:rPr>
          <w:sz w:val="20"/>
          <w:szCs w:val="20"/>
          <w:color w:val="auto"/>
        </w:rPr>
      </w:pPr>
    </w:p>
    <w:p>
      <w:pPr>
        <w:ind w:left="860" w:hanging="860"/>
        <w:spacing w:after="0"/>
        <w:tabs>
          <w:tab w:leader="none" w:pos="86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28" w:lineRule="exact"/>
        <w:rPr>
          <w:rFonts w:ascii="Arial" w:cs="Arial" w:eastAsia="Arial" w:hAnsi="Arial"/>
          <w:sz w:val="17"/>
          <w:szCs w:val="17"/>
          <w:color w:val="auto"/>
        </w:rPr>
      </w:pPr>
    </w:p>
    <w:p>
      <w:pPr>
        <w:ind w:left="860" w:hanging="860"/>
        <w:spacing w:after="0"/>
        <w:tabs>
          <w:tab w:leader="none" w:pos="86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28" w:lineRule="exact"/>
        <w:rPr>
          <w:rFonts w:ascii="Arial" w:cs="Arial" w:eastAsia="Arial" w:hAnsi="Arial"/>
          <w:sz w:val="17"/>
          <w:szCs w:val="17"/>
          <w:color w:val="auto"/>
        </w:rPr>
      </w:pPr>
    </w:p>
    <w:p>
      <w:pPr>
        <w:ind w:left="860" w:right="140" w:hanging="860"/>
        <w:spacing w:after="0" w:line="264" w:lineRule="auto"/>
        <w:tabs>
          <w:tab w:leader="none" w:pos="86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Party A agrees to provide technical consultation and related services to Party B and Party B’s Subsidiaries, and Party B and Party B’s Subsidiaries agree to accept such technical consultation and related services provided by Party A.</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85" w:lineRule="exact"/>
        <w:rPr>
          <w:sz w:val="20"/>
          <w:szCs w:val="20"/>
          <w:color w:val="auto"/>
        </w:rPr>
      </w:pPr>
    </w:p>
    <w:p>
      <w:pPr>
        <w:ind w:left="720" w:hanging="720"/>
        <w:spacing w:after="0"/>
        <w:tabs>
          <w:tab w:leader="none" w:pos="720" w:val="left"/>
        </w:tabs>
        <w:numPr>
          <w:ilvl w:val="0"/>
          <w:numId w:val="514"/>
        </w:numPr>
        <w:rPr>
          <w:rFonts w:ascii="Arial" w:cs="Arial" w:eastAsia="Arial" w:hAnsi="Arial"/>
          <w:sz w:val="17"/>
          <w:szCs w:val="17"/>
          <w:b w:val="1"/>
          <w:bCs w:val="1"/>
          <w:color w:val="auto"/>
        </w:rPr>
      </w:pPr>
      <w:r>
        <w:rPr>
          <w:rFonts w:ascii="Arial" w:cs="Arial" w:eastAsia="Arial" w:hAnsi="Arial"/>
          <w:sz w:val="17"/>
          <w:szCs w:val="17"/>
          <w:b w:val="1"/>
          <w:bCs w:val="1"/>
          <w:color w:val="auto"/>
        </w:rPr>
        <w:t>Technical Consultation and Services: Sole and Exclusive Rights and Interests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Within the term of this Agreement, Party A agrees that it shall, as the exclusive technical consultation and services provider of Party B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B’s Subsidiaries, provide Party B and Party B’s Subsidiaries with the relevant technical consultation and services (See Annex I for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specific content) according to the terms of this Agreement.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Party B and Party B’s Subsidiaries agree to accept the technical consultation and services provided by Party A within the term of this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Agreement. In consideration of the value of the technical</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464" w:name="page465"/>
    <w:bookmarkEnd w:id="464"/>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consultation and services provided by Party A and the good cooperative relationship among the Parties hereto, Party B and Party B’s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Subsidiaries further agree that, unless they obtain the prior written consent of Party A, they shall not accept any technical consultation and</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services provided by any third party in respect of the business scope involved herein within the term of this Agreement.</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For all rights, titles, interests and intellectual property rights (including but not limited to any copyrights, patents, technical know-how and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business secrets) arising out of the performance of this Agreement, whether developed by Party A or developed by Party B and Party B’s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Subsidiaries based on Party A’s intellectual property rights or developed by Party A based on any intellectual property rights of Party B and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Party B’s Subsidiaries, Party A shall enjoy any sole and exclusive rights and interests therein, and Party B and Party B’s Subsidiaries shall not</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assert any rights, titles, interests and intellectual property rights to Party A.</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Provided that, if developed by Party A based on any intellectual property rights of Party B and Party B’s Subsidiaries, Party B and Party B’s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Subsidiaries shall ensure that such intellectual property rights are free from any defects, otherwise, any losses caused to Party A shall be borne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by Party B and Party B’s Subsidiaries. If Party A bear the compensation liability to any third party therefor, Party A shall have the right to</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recover all its losses from Party B and Party B’s Subsidiaries after Party A makes such compensation.</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In consideration of the good cooperative relationship among the Parties hereto, Party B and Party B’s Subsidiaries undertake that, if they are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intended to carry out any business cooperation with any other enterprises, they shall obtain the consent of Party A, and Party A or its affiliates</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shall have the priority of cooperation under the same conditions.</w:t>
            </w:r>
          </w:p>
        </w:tc>
      </w:tr>
    </w:tbl>
    <w:p>
      <w:pPr>
        <w:spacing w:after="0" w:line="208" w:lineRule="exact"/>
        <w:rPr>
          <w:sz w:val="20"/>
          <w:szCs w:val="20"/>
          <w:color w:val="auto"/>
        </w:rPr>
      </w:pPr>
    </w:p>
    <w:p>
      <w:pPr>
        <w:ind w:left="860" w:hanging="860"/>
        <w:spacing w:after="0"/>
        <w:tabs>
          <w:tab w:leader="none" w:pos="860" w:val="left"/>
        </w:tabs>
        <w:numPr>
          <w:ilvl w:val="0"/>
          <w:numId w:val="515"/>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 and Payment of Technical Consultation and Service Fees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Service Fees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The Parties hereto agree that any Service Fees under this Agreement shall be determined and paid in such way as listed in Annex II hereto.</w:t>
            </w:r>
          </w:p>
        </w:tc>
      </w:tr>
      <w:tr>
        <w:trPr>
          <w:trHeight w:val="43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Party B and Party B’s Subsidiaries fail to pay any Service Fees and other expenses according to the provisions of this Agreement, Party B</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Party B’s Subsidiaries shall separately pay to Party A a default fine on the basis of 0.05% of the amount owed per day.</w:t>
            </w:r>
          </w:p>
        </w:tc>
      </w:tr>
      <w:tr>
        <w:trPr>
          <w:trHeight w:val="407"/>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A shall have the right to assign its employees or certified public accountants of China or other countries (hereinafter referred to as “</w:t>
            </w:r>
            <w:r>
              <w:rPr>
                <w:rFonts w:ascii="Arial" w:cs="Arial" w:eastAsia="Arial" w:hAnsi="Arial"/>
                <w:sz w:val="17"/>
                <w:szCs w:val="17"/>
                <w:b w:val="1"/>
                <w:bCs w:val="1"/>
                <w:color w:val="auto"/>
                <w:w w:val="89"/>
              </w:rPr>
              <w:t>Party</w:t>
            </w:r>
          </w:p>
        </w:tc>
      </w:tr>
      <w:tr>
        <w:trPr>
          <w:trHeight w:val="203"/>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88"/>
              </w:rPr>
              <w:t>A’s Authorized Representative</w:t>
            </w:r>
            <w:r>
              <w:rPr>
                <w:rFonts w:ascii="Arial" w:cs="Arial" w:eastAsia="Arial" w:hAnsi="Arial"/>
                <w:sz w:val="17"/>
                <w:szCs w:val="17"/>
                <w:color w:val="auto"/>
                <w:w w:val="88"/>
              </w:rPr>
              <w:t>”) at its own expense to check the accounts of Party B and Party B’s Subsidiaries so as to audit the calculation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method and amount of Service Fees. Therefore, Party B and Party B’s Subsidiaries shall provide Party A’s Authorized Representative with any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documents, accounts, records and data required by Party A’s Authorized Representative so that Party A’s Authorized Representative can audit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the accounts of Party B and Party B’s Subsidiaries and determine the amount of Service Fees. Unless there are any gross errors, the amount of</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Service Fees shall be subject to the amount determined by Party A’s Authorized Representative.</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2.4</w:t>
            </w:r>
          </w:p>
        </w:tc>
        <w:tc>
          <w:tcPr>
            <w:tcW w:w="9880" w:type="dxa"/>
            <w:vAlign w:val="bottom"/>
          </w:tcPr>
          <w:p>
            <w:pPr>
              <w:ind w:left="320"/>
              <w:spacing w:after="0"/>
              <w:rPr>
                <w:sz w:val="20"/>
                <w:szCs w:val="20"/>
                <w:color w:val="auto"/>
              </w:rPr>
            </w:pPr>
            <w:r>
              <w:rPr>
                <w:rFonts w:ascii="Arial" w:cs="Arial" w:eastAsia="Arial" w:hAnsi="Arial"/>
                <w:sz w:val="17"/>
                <w:szCs w:val="17"/>
                <w:color w:val="auto"/>
                <w:w w:val="87"/>
              </w:rPr>
              <w:t>Unless the Parties hereto reach an agreement through further consultation, any Service Fees paid by Party B and Party B’s Subsidiaries to Party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 according to this Agreement shall not be deducted or offset. Party B and Party B’s Subsidiaries shall solely be responsible for any relevant</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expenses (such as bank charges) incurred from the payment of Service Fees.</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2.5</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In addition, Party B and Party B’s Subsidiaries shall pay to Party A any actual expenses incurred from the provision by Party A of its technical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consultation and service under this Agreement while</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465" w:name="page466"/>
    <w:bookmarkEnd w:id="465"/>
    <w:p>
      <w:pPr>
        <w:ind w:left="1720"/>
        <w:spacing w:after="0"/>
        <w:rPr>
          <w:sz w:val="20"/>
          <w:szCs w:val="20"/>
          <w:color w:val="auto"/>
        </w:rPr>
      </w:pPr>
      <w:r>
        <w:rPr>
          <w:rFonts w:ascii="Arial" w:cs="Arial" w:eastAsia="Arial" w:hAnsi="Arial"/>
          <w:sz w:val="16"/>
          <w:szCs w:val="16"/>
          <w:color w:val="auto"/>
        </w:rPr>
        <w:t>paying the Service Fees, including but not limited to any traveling expenses, transportation fees, printing expenses and postage.</w:t>
      </w:r>
    </w:p>
    <w:p>
      <w:pPr>
        <w:spacing w:after="0" w:line="264"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3"/>
          <w:szCs w:val="13"/>
          <w:color w:val="auto"/>
        </w:rPr>
        <w:t>The Parties hereto agree that all economic losses arising out of the performance of this Agreement shall be borne jointly by the Parties hereto.</w:t>
      </w:r>
    </w:p>
    <w:p>
      <w:pPr>
        <w:spacing w:after="0" w:line="249" w:lineRule="exact"/>
        <w:rPr>
          <w:sz w:val="20"/>
          <w:szCs w:val="20"/>
          <w:color w:val="auto"/>
        </w:rPr>
      </w:pPr>
    </w:p>
    <w:p>
      <w:pPr>
        <w:ind w:left="720" w:hanging="720"/>
        <w:spacing w:after="0"/>
        <w:tabs>
          <w:tab w:leader="none" w:pos="720" w:val="left"/>
        </w:tabs>
        <w:numPr>
          <w:ilvl w:val="0"/>
          <w:numId w:val="516"/>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3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3"/>
          <w:szCs w:val="13"/>
          <w:color w:val="auto"/>
        </w:rPr>
        <w:t>Party A hereby represents and warrants as follows:</w:t>
      </w:r>
    </w:p>
    <w:p>
      <w:pPr>
        <w:spacing w:after="0" w:line="253"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Party A is a company legally incorporated and validly existing under the laws of the PRC;</w:t>
      </w:r>
    </w:p>
    <w:p>
      <w:pPr>
        <w:spacing w:after="0" w:line="253" w:lineRule="exact"/>
        <w:rPr>
          <w:sz w:val="20"/>
          <w:szCs w:val="20"/>
          <w:color w:val="auto"/>
        </w:rPr>
      </w:pPr>
    </w:p>
    <w:p>
      <w:pPr>
        <w:ind w:left="2580" w:right="280" w:hanging="858"/>
        <w:spacing w:after="0" w:line="254"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Party A shall perform this Agreement within its corporate power and business scope, has obtained any necessary corporate authorizations and consents and approvals from any third party and government departments and has not breached any legal or contractual restrictions that are binding or influential on it; and</w:t>
      </w:r>
    </w:p>
    <w:p>
      <w:pPr>
        <w:spacing w:after="0" w:line="202"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This Agreement shall constitute a legal, effective, binding and enforceable legal document for Party A once signed.</w:t>
      </w:r>
    </w:p>
    <w:p>
      <w:pPr>
        <w:spacing w:after="0" w:line="253"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3"/>
          <w:szCs w:val="13"/>
          <w:color w:val="auto"/>
        </w:rPr>
        <w:t>Party B and Party B’s Subsidiaries hereby represent and warrant as follows:</w:t>
      </w:r>
    </w:p>
    <w:p>
      <w:pPr>
        <w:spacing w:after="0" w:line="253"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Party B and Party B’s Subsidiaries are legal persons legally incorporated and validly existing under the laws of the PRC;</w:t>
      </w:r>
    </w:p>
    <w:p>
      <w:pPr>
        <w:spacing w:after="0" w:line="253" w:lineRule="exact"/>
        <w:rPr>
          <w:sz w:val="20"/>
          <w:szCs w:val="20"/>
          <w:color w:val="auto"/>
        </w:rPr>
      </w:pPr>
    </w:p>
    <w:p>
      <w:pPr>
        <w:jc w:val="both"/>
        <w:ind w:left="2580" w:right="120" w:hanging="858"/>
        <w:spacing w:after="0" w:line="304" w:lineRule="auto"/>
        <w:tabs>
          <w:tab w:leader="none" w:pos="25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Party B and Party B’s Subsidiaries shall sign and perform this Agreement within their corporate power and business scope, have obtained any necessary corporate authorizations and consents and approvals from any third party or government departments and have not breached any legal or contractual restrictions that are binding or influential on it; and</w:t>
      </w:r>
    </w:p>
    <w:p>
      <w:pPr>
        <w:spacing w:after="0" w:line="167" w:lineRule="exact"/>
        <w:rPr>
          <w:sz w:val="20"/>
          <w:szCs w:val="20"/>
          <w:color w:val="auto"/>
        </w:rPr>
      </w:pPr>
    </w:p>
    <w:p>
      <w:pPr>
        <w:jc w:val="both"/>
        <w:ind w:left="2580" w:right="120" w:hanging="858"/>
        <w:spacing w:after="0" w:line="264" w:lineRule="auto"/>
        <w:tabs>
          <w:tab w:leader="none" w:pos="256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This Agreement shall constitute a legal, effective, binding and enforceable legal document for Party B and Party B’s Subsidiaries once signed.</w:t>
      </w:r>
    </w:p>
    <w:p>
      <w:pPr>
        <w:spacing w:after="0" w:line="189" w:lineRule="exact"/>
        <w:rPr>
          <w:sz w:val="20"/>
          <w:szCs w:val="20"/>
          <w:color w:val="auto"/>
        </w:rPr>
      </w:pPr>
    </w:p>
    <w:p>
      <w:pPr>
        <w:ind w:left="860" w:hanging="860"/>
        <w:spacing w:after="0"/>
        <w:tabs>
          <w:tab w:leader="none" w:pos="860" w:val="left"/>
        </w:tabs>
        <w:numPr>
          <w:ilvl w:val="0"/>
          <w:numId w:val="517"/>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4.1</w:t>
            </w: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The Parties agree that they shall try to take all reasonable security measures to keep in confidence any confidential data and information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(hereinafter referred to as “Confidential Information”, the providing party of such data and information shall clearly notify in writing that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data and information shall be the Confidential Information when providing them) known or accessed by them due to the signing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performance of this Agreement. Without the prior written consent of the Confidential Information provider, such Confidential Information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shall not be disclosed, provided or transferred to any third party (including any merger of the receiving party of such Confidential Information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with or into any third party, and any direct or indirect control thereof by any third party). Once this Agreement is terminated, Party A and Party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B and Party B’s Subsidiaries shall return any documents, data or software containing any Confidential Information to the original owner or</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providing party of such Confidential Information or destroy them with the consent of the original owner or provider, including removing any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Confidential Information from any related memory devices and shall not continue to use these Confidential Information. Party A and Party B</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and Party B’s Subsidiaries shall take any necessary measures to disclose any Confidential Information only to any staff members, agents or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professional advisors of Party B and Party B’s Subsidiaries who need to know such Confidential Information and to cause such</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466" w:name="page467"/>
    <w:bookmarkEnd w:id="466"/>
    <w:p>
      <w:pPr>
        <w:ind w:left="1720" w:right="160"/>
        <w:spacing w:after="0" w:line="254" w:lineRule="auto"/>
        <w:rPr>
          <w:sz w:val="20"/>
          <w:szCs w:val="20"/>
          <w:color w:val="auto"/>
        </w:rPr>
      </w:pPr>
      <w:r>
        <w:rPr>
          <w:rFonts w:ascii="Arial" w:cs="Arial" w:eastAsia="Arial" w:hAnsi="Arial"/>
          <w:sz w:val="17"/>
          <w:szCs w:val="17"/>
          <w:color w:val="auto"/>
        </w:rPr>
        <w:t>staff members, agents or professional advisors of Party B and Party B’s Subsidiaries to comply with any confidentiality obligations under this Agreement. Party A, Party B and Party B’s Subsidiaries and such staff members, agents or professional advisors of Party B and Party B’s Subsidiaries shall sign a specific non-disclosure agreement.</w:t>
      </w:r>
    </w:p>
    <w:p>
      <w:pPr>
        <w:spacing w:after="0" w:line="20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No restrictions mentioned above shall apply to:</w:t>
      </w:r>
    </w:p>
    <w:p>
      <w:pPr>
        <w:spacing w:after="0" w:line="253"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5"/>
          <w:szCs w:val="15"/>
          <w:color w:val="auto"/>
        </w:rPr>
        <w:t>any information that has become generally available to the public at the time of disclosure;</w:t>
      </w:r>
    </w:p>
    <w:p>
      <w:pPr>
        <w:spacing w:after="0" w:line="253" w:lineRule="exact"/>
        <w:rPr>
          <w:sz w:val="20"/>
          <w:szCs w:val="20"/>
          <w:color w:val="auto"/>
        </w:rPr>
      </w:pPr>
    </w:p>
    <w:p>
      <w:pPr>
        <w:ind w:left="2580" w:right="540" w:hanging="858"/>
        <w:spacing w:after="0" w:line="264" w:lineRule="auto"/>
        <w:tabs>
          <w:tab w:leader="none" w:pos="25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any information that has become generally available to the public after disclosure through no fault of the receiving party of Confidential Information;</w:t>
      </w:r>
    </w:p>
    <w:p>
      <w:pPr>
        <w:spacing w:after="0" w:line="193" w:lineRule="exact"/>
        <w:rPr>
          <w:sz w:val="20"/>
          <w:szCs w:val="20"/>
          <w:color w:val="auto"/>
        </w:rPr>
      </w:pPr>
    </w:p>
    <w:p>
      <w:pPr>
        <w:ind w:left="2580" w:right="520" w:hanging="858"/>
        <w:spacing w:after="0" w:line="254" w:lineRule="auto"/>
        <w:tabs>
          <w:tab w:leader="none" w:pos="256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any information that can be proved by the receiving party of Confidential Information to have been in the possession of the receiving party before disclosure and not to be directly or indirectly received from the providing party of Confidential Information; and</w:t>
      </w:r>
    </w:p>
    <w:p>
      <w:pPr>
        <w:spacing w:after="0" w:line="202" w:lineRule="exact"/>
        <w:rPr>
          <w:sz w:val="20"/>
          <w:szCs w:val="20"/>
          <w:color w:val="auto"/>
        </w:rPr>
      </w:pPr>
    </w:p>
    <w:p>
      <w:pPr>
        <w:ind w:left="2580" w:right="120" w:hanging="858"/>
        <w:spacing w:after="0" w:line="304" w:lineRule="auto"/>
        <w:tabs>
          <w:tab w:leader="none" w:pos="256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color w:val="auto"/>
        </w:rPr>
        <w:t>any information required by law to be disclosed by the receiving party of Confidential Information to the relevant government departments, stock exchange and other institutions, or any of the above Confidential Information disclosed by the receiving party of Confidential Information to its direct legal advisors and financial consultants due to its normal business needs.</w:t>
      </w:r>
    </w:p>
    <w:p>
      <w:pPr>
        <w:spacing w:after="0" w:line="16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3"/>
          <w:szCs w:val="13"/>
          <w:color w:val="auto"/>
        </w:rPr>
        <w:t>The Parties hereto agree that, whether this Agreement is modified, canceled or terminated, these provisions hereof shall remain in force.</w:t>
      </w:r>
    </w:p>
    <w:p>
      <w:pPr>
        <w:spacing w:after="0" w:line="224" w:lineRule="exact"/>
        <w:rPr>
          <w:sz w:val="20"/>
          <w:szCs w:val="20"/>
          <w:color w:val="auto"/>
        </w:rPr>
      </w:pPr>
    </w:p>
    <w:p>
      <w:pPr>
        <w:ind w:left="860" w:hanging="860"/>
        <w:spacing w:after="0"/>
        <w:tabs>
          <w:tab w:leader="none" w:pos="860" w:val="left"/>
        </w:tabs>
        <w:numPr>
          <w:ilvl w:val="0"/>
          <w:numId w:val="518"/>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Except as otherwise stipulated herein, if any Party fails to fully perform or suspends the performance of its obligations under this Agreement,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and such party fails to correct the above acts within Ten (10) days from receipt of a notice from the other party or makes any untrue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representations and warranties, such party shall be deemed to have breached this Agreement.</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any Party hereto breaches this Agreement or any representations and warranties made by such party in this Agreement, the non-breaching</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may notify in writing the breaching party of correcting such breach within Ten (10) days from receipt of a notice, taking appropriate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measures to effectively and promptly avoid any damage and continuing to perform this Agreement. In case of any damage arising out of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breach, the breaching party shall make compensation to the non-breaching party to enable the non-breaching party to obtain all rights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interests that should have been obtained during the performance of this Agreement.</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5.3</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any breach of this Agreement by any Party hereto renders the other party to bear any costs and liabilities or suffer any losses (including but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not limited to any loss of profits), the breaching party shall make compensation to the non-breaching party in respect of any of the above costs,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7"/>
              </w:rPr>
              <w:t>liabilities or losses (including but not limited to any interest payment or loss and lawyer’s fees arising out of such breach). The total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compensatory payment paid by the breaching party to the non-breaching party shall be the same as the losses arising out of such breach,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the above compensatory payment shall include any interests that should have been obtained by the non-breaching party in the event that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Parties hereto normally perform this Agreement, provided that such compensatory payment shall not exceed any losses reasonably expected by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the Parties hereto at the time of the conclusion of this Agreement that may be caused by such breach of this Agreement.</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5.4</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and Party B’s Subsidiaries shall bear full responsibility for any claims made by any third party arising out of any failure by Party B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Party B’s Subsidiaries to carry on their business</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467" w:name="page468"/>
    <w:bookmarkEnd w:id="467"/>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w w:val="89"/>
              </w:rPr>
              <w:t>according to Party A’s instructions or any improper use of Party A’s intellectual property rights or any improper technical operation. If Party B</w:t>
            </w:r>
          </w:p>
        </w:tc>
      </w:tr>
      <w:tr>
        <w:trPr>
          <w:trHeight w:val="199"/>
        </w:trPr>
        <w:tc>
          <w:tcPr>
            <w:tcW w:w="54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w w:val="91"/>
              </w:rPr>
              <w:t>and Party B’s Subsidiaries find that any third party uses any of Party A’s intellectual property rights without the legal authorization, Party B</w:t>
            </w:r>
          </w:p>
        </w:tc>
      </w:tr>
      <w:tr>
        <w:trPr>
          <w:trHeight w:val="212"/>
        </w:trPr>
        <w:tc>
          <w:tcPr>
            <w:tcW w:w="54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rPr>
              <w:t>and Party B’s Subsidiaries shall immediately notify Party A and cooperate with Party A in taking any actions.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5.5</w:t>
            </w:r>
          </w:p>
        </w:tc>
        <w:tc>
          <w:tcPr>
            <w:tcW w:w="9760" w:type="dxa"/>
            <w:vAlign w:val="bottom"/>
          </w:tcPr>
          <w:p>
            <w:pPr>
              <w:ind w:left="320"/>
              <w:spacing w:after="0"/>
              <w:rPr>
                <w:sz w:val="20"/>
                <w:szCs w:val="20"/>
                <w:color w:val="auto"/>
              </w:rPr>
            </w:pPr>
            <w:r>
              <w:rPr>
                <w:rFonts w:ascii="Arial" w:cs="Arial" w:eastAsia="Arial" w:hAnsi="Arial"/>
                <w:sz w:val="17"/>
                <w:szCs w:val="17"/>
                <w:color w:val="auto"/>
                <w:w w:val="88"/>
              </w:rPr>
              <w:t>If both of the Parties hereto breach this Agreement, the respective amount of compensation payable by the Parties hereto shall be determined</w:t>
            </w:r>
          </w:p>
        </w:tc>
      </w:tr>
      <w:tr>
        <w:trPr>
          <w:trHeight w:val="212"/>
        </w:trPr>
        <w:tc>
          <w:tcPr>
            <w:tcW w:w="54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rPr>
              <w:t>according to the degree of their respective breach.</w:t>
            </w:r>
          </w:p>
        </w:tc>
      </w:tr>
    </w:tbl>
    <w:p>
      <w:pPr>
        <w:spacing w:after="0" w:line="208" w:lineRule="exact"/>
        <w:rPr>
          <w:sz w:val="20"/>
          <w:szCs w:val="20"/>
          <w:color w:val="auto"/>
        </w:rPr>
      </w:pPr>
    </w:p>
    <w:p>
      <w:pPr>
        <w:ind w:left="860" w:hanging="860"/>
        <w:spacing w:after="0"/>
        <w:tabs>
          <w:tab w:leader="none" w:pos="860" w:val="left"/>
        </w:tabs>
        <w:numPr>
          <w:ilvl w:val="0"/>
          <w:numId w:val="519"/>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Performance and Term</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580" w:type="dxa"/>
            <w:vAlign w:val="bottom"/>
          </w:tcPr>
          <w:p>
            <w:pPr>
              <w:ind w:left="320"/>
              <w:spacing w:after="0"/>
              <w:rPr>
                <w:sz w:val="20"/>
                <w:szCs w:val="20"/>
                <w:color w:val="auto"/>
              </w:rPr>
            </w:pPr>
            <w:r>
              <w:rPr>
                <w:rFonts w:ascii="Arial" w:cs="Arial" w:eastAsia="Arial" w:hAnsi="Arial"/>
                <w:sz w:val="17"/>
                <w:szCs w:val="17"/>
                <w:color w:val="auto"/>
              </w:rPr>
              <w:t>This Agreement shall be signed on the date first above written and become effective at the same time.</w:t>
            </w:r>
          </w:p>
        </w:tc>
      </w:tr>
      <w:tr>
        <w:trPr>
          <w:trHeight w:val="448"/>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58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copies.</w:t>
            </w:r>
          </w:p>
        </w:tc>
      </w:tr>
      <w:tr>
        <w:trPr>
          <w:trHeight w:val="43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6.3</w:t>
            </w:r>
          </w:p>
        </w:tc>
        <w:tc>
          <w:tcPr>
            <w:tcW w:w="9580" w:type="dxa"/>
            <w:vAlign w:val="bottom"/>
          </w:tcPr>
          <w:p>
            <w:pPr>
              <w:ind w:left="320"/>
              <w:spacing w:after="0"/>
              <w:rPr>
                <w:sz w:val="20"/>
                <w:szCs w:val="20"/>
                <w:color w:val="auto"/>
              </w:rPr>
            </w:pPr>
            <w:r>
              <w:rPr>
                <w:rFonts w:ascii="Arial" w:cs="Arial" w:eastAsia="Arial" w:hAnsi="Arial"/>
                <w:sz w:val="17"/>
                <w:szCs w:val="17"/>
                <w:color w:val="auto"/>
                <w:w w:val="89"/>
              </w:rPr>
              <w:t>Unless Party A cancels this Agreement in advance, the term of this Agreement shall be terminated upon dissolution of both of Party B and</w:t>
            </w:r>
          </w:p>
        </w:tc>
      </w:tr>
      <w:tr>
        <w:trPr>
          <w:trHeight w:val="199"/>
        </w:trPr>
        <w:tc>
          <w:tcPr>
            <w:tcW w:w="540" w:type="dxa"/>
            <w:vAlign w:val="bottom"/>
          </w:tcPr>
          <w:p>
            <w:pPr>
              <w:spacing w:after="0"/>
              <w:rPr>
                <w:sz w:val="17"/>
                <w:szCs w:val="17"/>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w w:val="88"/>
              </w:rPr>
              <w:t>Party B’s Subsidiaries in accordance with the laws of the PRC. Upon Party A’s request prior to the expiration of this Agreement, the Parties</w:t>
            </w:r>
          </w:p>
        </w:tc>
      </w:tr>
      <w:tr>
        <w:trPr>
          <w:trHeight w:val="199"/>
        </w:trPr>
        <w:tc>
          <w:tcPr>
            <w:tcW w:w="540" w:type="dxa"/>
            <w:vAlign w:val="bottom"/>
          </w:tcPr>
          <w:p>
            <w:pPr>
              <w:spacing w:after="0"/>
              <w:rPr>
                <w:sz w:val="17"/>
                <w:szCs w:val="17"/>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w w:val="90"/>
              </w:rPr>
              <w:t>hereto shall either extend the term of this Agreement at Party A’s request so as to continue to perform this Agreement or sign a separate</w:t>
            </w:r>
          </w:p>
        </w:tc>
      </w:tr>
      <w:tr>
        <w:trPr>
          <w:trHeight w:val="212"/>
        </w:trPr>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rPr>
              <w:t>exclusive technical consultation and service agreement at Party A’s request.</w:t>
            </w:r>
          </w:p>
        </w:tc>
      </w:tr>
    </w:tbl>
    <w:p>
      <w:pPr>
        <w:spacing w:after="0" w:line="208" w:lineRule="exact"/>
        <w:rPr>
          <w:sz w:val="20"/>
          <w:szCs w:val="20"/>
          <w:color w:val="auto"/>
        </w:rPr>
      </w:pPr>
    </w:p>
    <w:p>
      <w:pPr>
        <w:ind w:left="860" w:hanging="860"/>
        <w:spacing w:after="0"/>
        <w:tabs>
          <w:tab w:leader="none" w:pos="860" w:val="left"/>
        </w:tabs>
        <w:numPr>
          <w:ilvl w:val="0"/>
          <w:numId w:val="520"/>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7.1</w:t>
            </w:r>
          </w:p>
        </w:tc>
        <w:tc>
          <w:tcPr>
            <w:tcW w:w="9740" w:type="dxa"/>
            <w:vAlign w:val="bottom"/>
          </w:tcPr>
          <w:p>
            <w:pPr>
              <w:ind w:left="320"/>
              <w:spacing w:after="0"/>
              <w:rPr>
                <w:sz w:val="20"/>
                <w:szCs w:val="20"/>
                <w:color w:val="auto"/>
              </w:rPr>
            </w:pPr>
            <w:r>
              <w:rPr>
                <w:rFonts w:ascii="Arial" w:cs="Arial" w:eastAsia="Arial" w:hAnsi="Arial"/>
                <w:sz w:val="17"/>
                <w:szCs w:val="17"/>
                <w:color w:val="auto"/>
                <w:w w:val="94"/>
              </w:rPr>
              <w:t>Unless renewed according to the relevant provisions hereof, this Agreement shall be terminated on the expiry date of the term of this</w:t>
            </w:r>
          </w:p>
        </w:tc>
      </w:tr>
      <w:tr>
        <w:trPr>
          <w:trHeight w:val="212"/>
        </w:trPr>
        <w:tc>
          <w:tcPr>
            <w:tcW w:w="5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rPr>
              <w:t>Agreement.</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7.2</w:t>
            </w:r>
          </w:p>
        </w:tc>
        <w:tc>
          <w:tcPr>
            <w:tcW w:w="9740" w:type="dxa"/>
            <w:vAlign w:val="bottom"/>
          </w:tcPr>
          <w:p>
            <w:pPr>
              <w:ind w:left="320"/>
              <w:spacing w:after="0"/>
              <w:rPr>
                <w:sz w:val="20"/>
                <w:szCs w:val="20"/>
                <w:color w:val="auto"/>
              </w:rPr>
            </w:pPr>
            <w:r>
              <w:rPr>
                <w:rFonts w:ascii="Arial" w:cs="Arial" w:eastAsia="Arial" w:hAnsi="Arial"/>
                <w:sz w:val="17"/>
                <w:szCs w:val="17"/>
                <w:color w:val="auto"/>
                <w:w w:val="87"/>
              </w:rPr>
              <w:t>The Parties hereto may terminate this Agreement upon consensus through consultation. Party B and Party B’s Subsidiaries shall not terminate</w:t>
            </w:r>
          </w:p>
        </w:tc>
      </w:tr>
      <w:tr>
        <w:trPr>
          <w:trHeight w:val="199"/>
        </w:trPr>
        <w:tc>
          <w:tcPr>
            <w:tcW w:w="540" w:type="dxa"/>
            <w:vAlign w:val="bottom"/>
          </w:tcPr>
          <w:p>
            <w:pPr>
              <w:spacing w:after="0"/>
              <w:rPr>
                <w:sz w:val="17"/>
                <w:szCs w:val="17"/>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w w:val="94"/>
              </w:rPr>
              <w:t>this Agreement within the term of this Agreement without the written consent of Party A. Party A shall have the right to terminate this</w:t>
            </w:r>
          </w:p>
        </w:tc>
      </w:tr>
      <w:tr>
        <w:trPr>
          <w:trHeight w:val="212"/>
        </w:trPr>
        <w:tc>
          <w:tcPr>
            <w:tcW w:w="5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w w:val="97"/>
              </w:rPr>
              <w:t>Agreement at any time by giving a written notice to Party B, Party B's Subsidiaries and shareholders Thirty (30) days in advance.</w:t>
            </w:r>
          </w:p>
        </w:tc>
      </w:tr>
      <w:tr>
        <w:trPr>
          <w:trHeight w:val="42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7.3</w:t>
            </w:r>
          </w:p>
        </w:tc>
        <w:tc>
          <w:tcPr>
            <w:tcW w:w="9740" w:type="dxa"/>
            <w:vAlign w:val="bottom"/>
          </w:tcPr>
          <w:p>
            <w:pPr>
              <w:ind w:left="320"/>
              <w:spacing w:after="0"/>
              <w:rPr>
                <w:sz w:val="20"/>
                <w:szCs w:val="20"/>
                <w:color w:val="auto"/>
              </w:rPr>
            </w:pPr>
            <w:r>
              <w:rPr>
                <w:rFonts w:ascii="Arial" w:cs="Arial" w:eastAsia="Arial" w:hAnsi="Arial"/>
                <w:sz w:val="17"/>
                <w:szCs w:val="17"/>
                <w:color w:val="auto"/>
                <w:w w:val="97"/>
              </w:rPr>
              <w:t>Any rights and obligations of the Parties hereto under the Articles 4 and 5 hereof shall survive the termination of this Agreement.</w:t>
            </w:r>
          </w:p>
        </w:tc>
      </w:tr>
    </w:tbl>
    <w:p>
      <w:pPr>
        <w:spacing w:after="0" w:line="232" w:lineRule="exact"/>
        <w:rPr>
          <w:sz w:val="20"/>
          <w:szCs w:val="20"/>
          <w:color w:val="auto"/>
        </w:rPr>
      </w:pPr>
    </w:p>
    <w:p>
      <w:pPr>
        <w:ind w:left="860" w:hanging="860"/>
        <w:spacing w:after="0"/>
        <w:tabs>
          <w:tab w:leader="none" w:pos="860" w:val="left"/>
        </w:tabs>
        <w:numPr>
          <w:ilvl w:val="0"/>
          <w:numId w:val="521"/>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resolve such disputes through consultation in good faith. If such disputes cannot be resolved through consultation, any Party may submit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disputes to China International Economic and Trade Arbitration Commission for resolution by arbitration in accordance with the existing</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proceedings shall be Chinese. Any arbitral award shall be final and binding upon the Parties. No provisions of this Article shall be affected by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8.2</w:t>
            </w: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r>
        <w:trPr>
          <w:trHeight w:val="329"/>
        </w:trPr>
        <w:tc>
          <w:tcPr>
            <w:tcW w:w="140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468" w:name="page469"/>
    <w:bookmarkEnd w:id="468"/>
    <w:p>
      <w:pPr>
        <w:ind w:left="860" w:hanging="860"/>
        <w:spacing w:after="0"/>
        <w:tabs>
          <w:tab w:leader="none" w:pos="860" w:val="left"/>
        </w:tabs>
        <w:numPr>
          <w:ilvl w:val="0"/>
          <w:numId w:val="522"/>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28"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9.1</w:t>
            </w:r>
          </w:p>
        </w:tc>
        <w:tc>
          <w:tcPr>
            <w:tcW w:w="9800" w:type="dxa"/>
            <w:vAlign w:val="bottom"/>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Force Majeure Events</w:t>
            </w:r>
            <w:r>
              <w:rPr>
                <w:rFonts w:ascii="Arial" w:cs="Arial" w:eastAsia="Arial" w:hAnsi="Arial"/>
                <w:sz w:val="17"/>
                <w:szCs w:val="17"/>
                <w:color w:val="auto"/>
                <w:w w:val="94"/>
              </w:rPr>
              <w:t>” mean any events beyond the reasonable control of one party that are unavoidable by the affected party with</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0"/>
              </w:rPr>
              <w:t>reasonable care, including but not limited to any acts of government, natural force, fire, explosion, storm, flood, earthquake, tide, lightning or</w:t>
            </w:r>
          </w:p>
        </w:tc>
      </w:tr>
      <w:tr>
        <w:trPr>
          <w:trHeight w:val="195"/>
        </w:trPr>
        <w:tc>
          <w:tcPr>
            <w:tcW w:w="540" w:type="dxa"/>
            <w:vAlign w:val="bottom"/>
          </w:tcPr>
          <w:p>
            <w:pPr>
              <w:spacing w:after="0"/>
              <w:rPr>
                <w:sz w:val="16"/>
                <w:szCs w:val="16"/>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87"/>
              </w:rPr>
              <w:t>war, provided that any credit, capital or financing shortage shall not be deemed to be the event beyond the reasonable control of one party. The</w:t>
            </w:r>
          </w:p>
        </w:tc>
      </w:tr>
      <w:tr>
        <w:trPr>
          <w:trHeight w:val="203"/>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89"/>
              </w:rPr>
              <w:t>party affected by any Force Majeure Events (hereinafter referred to as “</w:t>
            </w:r>
            <w:r>
              <w:rPr>
                <w:rFonts w:ascii="Arial" w:cs="Arial" w:eastAsia="Arial" w:hAnsi="Arial"/>
                <w:sz w:val="17"/>
                <w:szCs w:val="17"/>
                <w:b w:val="1"/>
                <w:bCs w:val="1"/>
                <w:color w:val="auto"/>
                <w:w w:val="89"/>
              </w:rPr>
              <w:t>Affected Party</w:t>
            </w:r>
            <w:r>
              <w:rPr>
                <w:rFonts w:ascii="Arial" w:cs="Arial" w:eastAsia="Arial" w:hAnsi="Arial"/>
                <w:sz w:val="17"/>
                <w:szCs w:val="17"/>
                <w:color w:val="auto"/>
                <w:w w:val="89"/>
              </w:rPr>
              <w:t>”) shall be exempted from its responsibility in whole or</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3"/>
              </w:rPr>
              <w:t>in part according to the effects of such Force Majeure Events on this Agreement, and the Affected Party who seeks exemption from its</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2"/>
              </w:rPr>
              <w:t>responsibility for the performance of this Agreement due to such Force Majeure Events shall notify the other party of such Force Majeure</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87"/>
              </w:rPr>
              <w:t>Events not later than Ten (10) days after occurrence of such Force Majeure Events so that the Parties hereto negotiate about the amendment to</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0"/>
              </w:rPr>
              <w:t>this Agreement according to the effects of such Force Majeure Events and exempt in whole or in part the Affected Party from its obligations</w:t>
            </w:r>
          </w:p>
        </w:tc>
      </w:tr>
      <w:tr>
        <w:trPr>
          <w:trHeight w:val="212"/>
        </w:trPr>
        <w:tc>
          <w:tcPr>
            <w:tcW w:w="540" w:type="dxa"/>
            <w:vAlign w:val="bottom"/>
          </w:tcPr>
          <w:p>
            <w:pPr>
              <w:spacing w:after="0"/>
              <w:rPr>
                <w:sz w:val="18"/>
                <w:szCs w:val="18"/>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rPr>
              <w:t>under this Agreement.</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800" w:type="dxa"/>
            <w:vAlign w:val="bottom"/>
          </w:tcPr>
          <w:p>
            <w:pPr>
              <w:ind w:left="32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87"/>
              </w:rPr>
              <w:t>performance of its obligations delayed or hindered by such Force Majeure Events. Once such Force Majeure Events are eliminated, the Parties</w:t>
            </w:r>
          </w:p>
        </w:tc>
      </w:tr>
      <w:tr>
        <w:trPr>
          <w:trHeight w:val="212"/>
        </w:trPr>
        <w:tc>
          <w:tcPr>
            <w:tcW w:w="540" w:type="dxa"/>
            <w:vAlign w:val="bottom"/>
          </w:tcPr>
          <w:p>
            <w:pPr>
              <w:spacing w:after="0"/>
              <w:rPr>
                <w:sz w:val="18"/>
                <w:szCs w:val="18"/>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8"/>
              </w:rPr>
              <w:t>hereto agree that they shall use their best efforts to restore the performance of their rights and obligations under this Agreement.</w:t>
            </w:r>
          </w:p>
        </w:tc>
      </w:tr>
    </w:tbl>
    <w:p>
      <w:pPr>
        <w:spacing w:after="0" w:line="208" w:lineRule="exact"/>
        <w:rPr>
          <w:sz w:val="20"/>
          <w:szCs w:val="20"/>
          <w:color w:val="auto"/>
        </w:rPr>
      </w:pPr>
    </w:p>
    <w:p>
      <w:pPr>
        <w:ind w:left="860" w:hanging="860"/>
        <w:spacing w:after="0"/>
        <w:tabs>
          <w:tab w:leader="none" w:pos="860" w:val="left"/>
        </w:tabs>
        <w:numPr>
          <w:ilvl w:val="0"/>
          <w:numId w:val="52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3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right="3660"/>
        <w:spacing w:after="0" w:line="252"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LIU Tongbo</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Party B and Party B's Subsidiaries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Address: Room 02, 4th Floor, Unit 3, Building 1, 2, 3, Contemporary China Venture Center, No. 20, Guannanyuan 1st Road, East Lake New Technology Development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Zone, Wuhan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Tel.:</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Attn.: HAN Wei</w:t>
      </w:r>
    </w:p>
    <w:p>
      <w:pPr>
        <w:spacing w:after="0" w:line="211" w:lineRule="exact"/>
        <w:rPr>
          <w:sz w:val="20"/>
          <w:szCs w:val="20"/>
          <w:color w:val="auto"/>
        </w:rPr>
      </w:pPr>
    </w:p>
    <w:p>
      <w:pPr>
        <w:ind w:left="860" w:hanging="860"/>
        <w:spacing w:after="0"/>
        <w:tabs>
          <w:tab w:leader="none" w:pos="860" w:val="left"/>
        </w:tabs>
        <w:numPr>
          <w:ilvl w:val="0"/>
          <w:numId w:val="524"/>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Unless any Party hereto obtains the prior written consent of the other party, such party shall not assign to any third party its rights or obligations under this Agreement except that Party A assigns its obligations under this Agreement to its affiliates. For the purpose as set forth in this Agreement, the aforesaid “affiliates” mean any enterprises controlled by Party A, controlling Party A or under common control of any third party with Party A. For the purpose as set forth in this Article, “control” means any possession by an enterprise of its influence power to directly or indirectly decide on and/or control the operating management of another enterprise, whether such influence power is formed by holding any shares of the controlled enterprise or formed by any contractual arrangement with the controlled enterprise.</w:t>
      </w:r>
    </w:p>
    <w:p>
      <w:pPr>
        <w:spacing w:after="0" w:line="171" w:lineRule="exact"/>
        <w:rPr>
          <w:sz w:val="20"/>
          <w:szCs w:val="20"/>
          <w:color w:val="auto"/>
        </w:rPr>
      </w:pPr>
    </w:p>
    <w:p>
      <w:pPr>
        <w:ind w:left="860" w:hanging="860"/>
        <w:spacing w:after="0"/>
        <w:tabs>
          <w:tab w:leader="none" w:pos="860" w:val="left"/>
        </w:tabs>
        <w:numPr>
          <w:ilvl w:val="0"/>
          <w:numId w:val="525"/>
        </w:numPr>
        <w:rPr>
          <w:rFonts w:ascii="Arial" w:cs="Arial" w:eastAsia="Arial" w:hAnsi="Arial"/>
          <w:sz w:val="17"/>
          <w:szCs w:val="17"/>
          <w:b w:val="1"/>
          <w:bCs w:val="1"/>
          <w:color w:val="auto"/>
        </w:rPr>
      </w:pPr>
      <w:r>
        <w:rPr>
          <w:rFonts w:ascii="Arial" w:cs="Arial" w:eastAsia="Arial" w:hAnsi="Arial"/>
          <w:sz w:val="17"/>
          <w:szCs w:val="17"/>
          <w:b w:val="1"/>
          <w:bCs w:val="1"/>
          <w:color w:val="auto"/>
        </w:rPr>
        <w:t>Newly Added Party B’s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184390" cy="412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9" w:name="page470"/>
    <w:bookmarkEnd w:id="469"/>
    <w:p>
      <w:pPr>
        <w:jc w:val="both"/>
        <w:spacing w:after="0" w:line="267" w:lineRule="auto"/>
        <w:rPr>
          <w:sz w:val="20"/>
          <w:szCs w:val="20"/>
          <w:color w:val="auto"/>
        </w:rPr>
      </w:pPr>
      <w:r>
        <w:rPr>
          <w:rFonts w:ascii="Arial" w:cs="Arial" w:eastAsia="Arial" w:hAnsi="Arial"/>
          <w:sz w:val="16"/>
          <w:szCs w:val="16"/>
          <w:color w:val="auto"/>
        </w:rPr>
        <w:t>In case of any newly added Party B’s Subsidiary at any time after the effective date of this Agreement, Party B shall urge such newly added Party B’s Subsidiary to sign a letter of acceptance of rights and obligations in such form and substance as shown in Annex III hereto and 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Subsidiaries shall be deemed to be a signatory to this Agreement. Any other Parties hereto hereby agree to and fully accept the foregoing arrangement.</w:t>
      </w:r>
    </w:p>
    <w:p>
      <w:pPr>
        <w:spacing w:after="0" w:line="188" w:lineRule="exact"/>
        <w:rPr>
          <w:sz w:val="20"/>
          <w:szCs w:val="20"/>
          <w:color w:val="auto"/>
        </w:rPr>
      </w:pPr>
    </w:p>
    <w:p>
      <w:pPr>
        <w:ind w:left="860" w:hanging="860"/>
        <w:spacing w:after="0"/>
        <w:tabs>
          <w:tab w:leader="none" w:pos="860" w:val="left"/>
        </w:tabs>
        <w:numPr>
          <w:ilvl w:val="0"/>
          <w:numId w:val="526"/>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3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Parties hereby acknowledge that this Agreement shall be a fair and reasonable agreement reached by the Parties hereto on the basis of equality and mutual benefit. If any provisions of this Agreement are invalid or unenforceable due to any inconsistencies between such provisions and the relevant laws, such provisions shall be invalid or unenforceable only to the extent of jurisdiction of the relevant laws and shall not affect the legal effect of any other provisions of this Agreement.</w:t>
      </w:r>
    </w:p>
    <w:p>
      <w:pPr>
        <w:spacing w:after="0" w:line="163" w:lineRule="exact"/>
        <w:rPr>
          <w:sz w:val="20"/>
          <w:szCs w:val="20"/>
          <w:color w:val="auto"/>
        </w:rPr>
      </w:pPr>
    </w:p>
    <w:p>
      <w:pPr>
        <w:ind w:left="860" w:hanging="860"/>
        <w:spacing w:after="0"/>
        <w:tabs>
          <w:tab w:leader="none" w:pos="860" w:val="left"/>
        </w:tabs>
        <w:numPr>
          <w:ilvl w:val="0"/>
          <w:numId w:val="527"/>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Supplements</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Parties hereto shall make in writing any amendments and supplements to this Agreement. Any amendment and supplementary agreements duly signed by the Parties in relation to this Agreement shall form an integral part of this Agreement and be equally authentic as this Agreement.</w:t>
      </w:r>
    </w:p>
    <w:p>
      <w:pPr>
        <w:spacing w:after="0" w:line="189" w:lineRule="exact"/>
        <w:rPr>
          <w:sz w:val="20"/>
          <w:szCs w:val="20"/>
          <w:color w:val="auto"/>
        </w:rPr>
      </w:pPr>
    </w:p>
    <w:p>
      <w:pPr>
        <w:ind w:left="860" w:hanging="860"/>
        <w:spacing w:after="0"/>
        <w:tabs>
          <w:tab w:leader="none" w:pos="860" w:val="left"/>
        </w:tabs>
        <w:numPr>
          <w:ilvl w:val="0"/>
          <w:numId w:val="528"/>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224" w:lineRule="exact"/>
        <w:rPr>
          <w:sz w:val="20"/>
          <w:szCs w:val="20"/>
          <w:color w:val="auto"/>
        </w:rPr>
      </w:pPr>
    </w:p>
    <w:p>
      <w:pPr>
        <w:ind w:left="860" w:hanging="860"/>
        <w:spacing w:after="0"/>
        <w:tabs>
          <w:tab w:leader="none" w:pos="860" w:val="left"/>
        </w:tabs>
        <w:numPr>
          <w:ilvl w:val="0"/>
          <w:numId w:val="52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Except for any written amendments, supplements or modifications to this Agreement after the signing of this Agreement, this Agreement shall constitute an entire agreement among the Parties hereto in respect of the subject matter of this Agreement and supersede all prior oral and written negotiations, representations and agreements among the Parties in respect of the subject matter of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authorized representative as of the date first above written.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Exclusive Technical Consultation and Service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 /s/ HAN Wei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-20955</wp:posOffset>
            </wp:positionV>
            <wp:extent cx="57404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7">
                      <a:extLst>
                        <a:ext uri="{28A0092B-C50C-407E-A947-70E740481C1C}"/>
                      </a:extLst>
                    </a:blip>
                    <a:srcRect/>
                    <a:stretch>
                      <a:fillRect/>
                    </a:stretch>
                  </pic:blipFill>
                  <pic:spPr bwMode="auto">
                    <a:xfrm>
                      <a:off x="0" y="0"/>
                      <a:ext cx="574040" cy="762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 List of Technical Consultation and Services</w:t>
      </w:r>
    </w:p>
    <w:p>
      <w:pPr>
        <w:spacing w:after="0" w:line="231" w:lineRule="exact"/>
        <w:rPr>
          <w:sz w:val="20"/>
          <w:szCs w:val="20"/>
          <w:color w:val="auto"/>
        </w:rPr>
      </w:pPr>
    </w:p>
    <w:p>
      <w:pPr>
        <w:ind w:left="860" w:hanging="860"/>
        <w:spacing w:after="0"/>
        <w:tabs>
          <w:tab w:leader="none" w:pos="86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Provide the development and research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203200</wp:posOffset>
            </wp:positionV>
            <wp:extent cx="7184390" cy="412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0" w:name="page471"/>
    <w:bookmarkEnd w:id="470"/>
    <w:p>
      <w:pPr>
        <w:ind w:left="860" w:hanging="860"/>
        <w:spacing w:after="0"/>
        <w:tabs>
          <w:tab w:leader="none" w:pos="8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Provide website design and design, installation, commissioning and maintenance services of computer network systems.</w:t>
      </w:r>
    </w:p>
    <w:p>
      <w:pPr>
        <w:spacing w:after="0" w:line="228" w:lineRule="exact"/>
        <w:rPr>
          <w:rFonts w:ascii="Arial" w:cs="Arial" w:eastAsia="Arial" w:hAnsi="Arial"/>
          <w:sz w:val="17"/>
          <w:szCs w:val="17"/>
          <w:color w:val="auto"/>
        </w:rPr>
      </w:pPr>
    </w:p>
    <w:p>
      <w:pPr>
        <w:ind w:left="860" w:hanging="860"/>
        <w:spacing w:after="0"/>
        <w:tabs>
          <w:tab w:leader="none" w:pos="8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Provide database support and software services.</w:t>
      </w:r>
    </w:p>
    <w:p>
      <w:pPr>
        <w:spacing w:after="0" w:line="228" w:lineRule="exact"/>
        <w:rPr>
          <w:rFonts w:ascii="Arial" w:cs="Arial" w:eastAsia="Arial" w:hAnsi="Arial"/>
          <w:sz w:val="17"/>
          <w:szCs w:val="17"/>
          <w:color w:val="auto"/>
        </w:rPr>
      </w:pPr>
    </w:p>
    <w:p>
      <w:pPr>
        <w:ind w:left="860" w:right="160" w:hanging="860"/>
        <w:spacing w:after="0" w:line="264" w:lineRule="auto"/>
        <w:tabs>
          <w:tab w:leader="none" w:pos="8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Provide economic information consultation, project investment consultation, scientific and technological information consultation, enterprise management consultation and other consultation services.</w:t>
      </w:r>
    </w:p>
    <w:p>
      <w:pPr>
        <w:spacing w:after="0" w:line="192" w:lineRule="exact"/>
        <w:rPr>
          <w:rFonts w:ascii="Arial" w:cs="Arial" w:eastAsia="Arial" w:hAnsi="Arial"/>
          <w:sz w:val="17"/>
          <w:szCs w:val="17"/>
          <w:color w:val="auto"/>
        </w:rPr>
      </w:pPr>
    </w:p>
    <w:p>
      <w:pPr>
        <w:ind w:left="860" w:hanging="860"/>
        <w:spacing w:after="0"/>
        <w:tabs>
          <w:tab w:leader="none" w:pos="8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Provide pre-job training and in-service training services.</w:t>
      </w:r>
    </w:p>
    <w:p>
      <w:pPr>
        <w:spacing w:after="0" w:line="228" w:lineRule="exact"/>
        <w:rPr>
          <w:rFonts w:ascii="Arial" w:cs="Arial" w:eastAsia="Arial" w:hAnsi="Arial"/>
          <w:sz w:val="17"/>
          <w:szCs w:val="17"/>
          <w:color w:val="auto"/>
        </w:rPr>
      </w:pPr>
    </w:p>
    <w:p>
      <w:pPr>
        <w:ind w:left="860" w:hanging="860"/>
        <w:spacing w:after="0"/>
        <w:tabs>
          <w:tab w:leader="none" w:pos="8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Provide technical development, consultation and technology transfer services.</w:t>
      </w:r>
    </w:p>
    <w:p>
      <w:pPr>
        <w:spacing w:after="0" w:line="228" w:lineRule="exact"/>
        <w:rPr>
          <w:rFonts w:ascii="Arial" w:cs="Arial" w:eastAsia="Arial" w:hAnsi="Arial"/>
          <w:sz w:val="17"/>
          <w:szCs w:val="17"/>
          <w:color w:val="auto"/>
        </w:rPr>
      </w:pPr>
    </w:p>
    <w:p>
      <w:pPr>
        <w:ind w:left="860" w:hanging="860"/>
        <w:spacing w:after="0"/>
        <w:tabs>
          <w:tab w:leader="none" w:pos="8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Provide public relations services.</w:t>
      </w:r>
    </w:p>
    <w:p>
      <w:pPr>
        <w:spacing w:after="0" w:line="228" w:lineRule="exact"/>
        <w:rPr>
          <w:rFonts w:ascii="Arial" w:cs="Arial" w:eastAsia="Arial" w:hAnsi="Arial"/>
          <w:sz w:val="17"/>
          <w:szCs w:val="17"/>
          <w:color w:val="auto"/>
        </w:rPr>
      </w:pPr>
    </w:p>
    <w:p>
      <w:pPr>
        <w:ind w:left="860" w:hanging="860"/>
        <w:spacing w:after="0"/>
        <w:tabs>
          <w:tab w:leader="none" w:pos="8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Provide market survey and research services.</w:t>
      </w:r>
    </w:p>
    <w:p>
      <w:pPr>
        <w:spacing w:after="0" w:line="228" w:lineRule="exact"/>
        <w:rPr>
          <w:rFonts w:ascii="Arial" w:cs="Arial" w:eastAsia="Arial" w:hAnsi="Arial"/>
          <w:sz w:val="17"/>
          <w:szCs w:val="17"/>
          <w:color w:val="auto"/>
        </w:rPr>
      </w:pPr>
    </w:p>
    <w:p>
      <w:pPr>
        <w:ind w:left="860" w:hanging="860"/>
        <w:spacing w:after="0"/>
        <w:tabs>
          <w:tab w:leader="none" w:pos="8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Provide the services of developing medium and short term market development plans and market planning service.</w:t>
      </w:r>
    </w:p>
    <w:p>
      <w:pPr>
        <w:spacing w:after="0" w:line="228" w:lineRule="exact"/>
        <w:rPr>
          <w:rFonts w:ascii="Arial" w:cs="Arial" w:eastAsia="Arial" w:hAnsi="Arial"/>
          <w:sz w:val="17"/>
          <w:szCs w:val="17"/>
          <w:color w:val="auto"/>
        </w:rPr>
      </w:pPr>
    </w:p>
    <w:p>
      <w:pPr>
        <w:ind w:left="860" w:hanging="860"/>
        <w:spacing w:after="0"/>
        <w:tabs>
          <w:tab w:leader="none" w:pos="8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Provide technical services.</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Annex II Calculation and Payment Methods of Service Fees</w:t>
      </w:r>
    </w:p>
    <w:p>
      <w:pPr>
        <w:spacing w:after="0" w:line="231" w:lineRule="exact"/>
        <w:rPr>
          <w:sz w:val="20"/>
          <w:szCs w:val="20"/>
          <w:color w:val="auto"/>
        </w:rPr>
      </w:pPr>
    </w:p>
    <w:p>
      <w:pPr>
        <w:ind w:left="860" w:right="60" w:hanging="860"/>
        <w:spacing w:after="0" w:line="251" w:lineRule="auto"/>
        <w:tabs>
          <w:tab w:leader="none" w:pos="86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The Service Fees under this Agreement shall be calculated on the basis of 10% to 100% of the monthly total business income of Party B and/or Party B’s Subsidiaries, and the specific proportion of the above Service Fees (limited to 10% to 100%) shall be determined and notified in writing by Party A to Party B and/or Party B’s Subsidiaries according to the actual technical support service provided by Party A as required by Party B and/or Party B’s Subsidiaries and based on the number of persons and number of days invested by Party A.</w:t>
      </w:r>
    </w:p>
    <w:p>
      <w:pPr>
        <w:spacing w:after="0" w:line="204" w:lineRule="exact"/>
        <w:rPr>
          <w:sz w:val="20"/>
          <w:szCs w:val="20"/>
          <w:color w:val="auto"/>
        </w:rPr>
      </w:pPr>
    </w:p>
    <w:p>
      <w:pPr>
        <w:ind w:left="860" w:hanging="860"/>
        <w:spacing w:after="0"/>
        <w:tabs>
          <w:tab w:leader="none" w:pos="86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Party B shall determine the amount of Service Fees according to the following factors: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Technical difficulty and complexity of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Time spent by Party A’s employees in the technical consultation and services;</w:t>
      </w:r>
    </w:p>
    <w:p>
      <w:pPr>
        <w:spacing w:after="0" w:line="252" w:lineRule="exact"/>
        <w:rPr>
          <w:rFonts w:ascii="Arial" w:cs="Arial" w:eastAsia="Arial" w:hAnsi="Arial"/>
          <w:sz w:val="17"/>
          <w:szCs w:val="17"/>
          <w:color w:val="auto"/>
        </w:rPr>
      </w:pPr>
    </w:p>
    <w:p>
      <w:pPr>
        <w:ind w:left="1720" w:hanging="861"/>
        <w:spacing w:after="0"/>
        <w:tabs>
          <w:tab w:leader="none" w:pos="172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Specific content and commercial value of the technical consultation and services;</w:t>
      </w:r>
    </w:p>
    <w:p>
      <w:pPr>
        <w:spacing w:after="0" w:line="228" w:lineRule="exact"/>
        <w:rPr>
          <w:rFonts w:ascii="Arial" w:cs="Arial" w:eastAsia="Arial" w:hAnsi="Arial"/>
          <w:sz w:val="17"/>
          <w:szCs w:val="17"/>
          <w:color w:val="auto"/>
        </w:rPr>
      </w:pPr>
    </w:p>
    <w:p>
      <w:pPr>
        <w:ind w:left="1720" w:hanging="861"/>
        <w:spacing w:after="0"/>
        <w:tabs>
          <w:tab w:leader="none" w:pos="172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Market reference price of similar technical consultation and services.</w:t>
      </w:r>
    </w:p>
    <w:p>
      <w:pPr>
        <w:spacing w:after="0" w:line="228" w:lineRule="exact"/>
        <w:rPr>
          <w:sz w:val="20"/>
          <w:szCs w:val="20"/>
          <w:color w:val="auto"/>
        </w:rPr>
      </w:pPr>
    </w:p>
    <w:p>
      <w:pPr>
        <w:ind w:left="860" w:right="140" w:hanging="860"/>
        <w:spacing w:after="0" w:line="249" w:lineRule="auto"/>
        <w:tabs>
          <w:tab w:leader="none" w:pos="86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Party A shall summarize and calculate the Service Fees on a quarterly basis and shall, within Thirty (30) days from the start date of any quarter, send a bill of technical Service Fees for the last quarter to Party B and/or Party B’s Subsidiaries so as to give a notice to Party B and/or Party B’s Subsidiaries. Within Ten (10) working days after receipt of such notice, Party B and/or Party B’s Subsidiaries shall pay such Service Fees to the bank account designated by Party A. Party B and/or Party B’s Subsidiaries shall send by fax or by mail a copy of the remittance voucher to Party A within Ten (10) working days after remittance.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 w:type="dxa"/>
            <w:vAlign w:val="bottom"/>
          </w:tcPr>
          <w:p>
            <w:pPr>
              <w:spacing w:after="0"/>
              <w:rPr>
                <w:sz w:val="20"/>
                <w:szCs w:val="20"/>
                <w:color w:val="auto"/>
              </w:rPr>
            </w:pPr>
            <w:r>
              <w:rPr>
                <w:rFonts w:ascii="Arial" w:cs="Arial" w:eastAsia="Arial" w:hAnsi="Arial"/>
                <w:sz w:val="17"/>
                <w:szCs w:val="17"/>
                <w:color w:val="auto"/>
              </w:rPr>
              <w:t>IV.</w:t>
            </w:r>
          </w:p>
        </w:tc>
        <w:tc>
          <w:tcPr>
            <w:tcW w:w="10760" w:type="dxa"/>
            <w:vAlign w:val="bottom"/>
          </w:tcPr>
          <w:p>
            <w:pPr>
              <w:ind w:left="340"/>
              <w:spacing w:after="0"/>
              <w:rPr>
                <w:sz w:val="20"/>
                <w:szCs w:val="20"/>
                <w:color w:val="auto"/>
              </w:rPr>
            </w:pPr>
            <w:r>
              <w:rPr>
                <w:rFonts w:ascii="Arial" w:cs="Arial" w:eastAsia="Arial" w:hAnsi="Arial"/>
                <w:sz w:val="17"/>
                <w:szCs w:val="17"/>
                <w:color w:val="auto"/>
                <w:w w:val="91"/>
              </w:rPr>
              <w:t>If Party A considers that it is necessary to adjust the service pricing mechanism as stipulated herein that is not continuously applicable for some reason,</w:t>
            </w:r>
          </w:p>
        </w:tc>
      </w:tr>
      <w:tr>
        <w:trPr>
          <w:trHeight w:val="199"/>
        </w:trPr>
        <w:tc>
          <w:tcPr>
            <w:tcW w:w="520" w:type="dxa"/>
            <w:vAlign w:val="bottom"/>
          </w:tcPr>
          <w:p>
            <w:pPr>
              <w:spacing w:after="0"/>
              <w:rPr>
                <w:sz w:val="17"/>
                <w:szCs w:val="17"/>
                <w:color w:val="auto"/>
              </w:rPr>
            </w:pPr>
          </w:p>
        </w:tc>
        <w:tc>
          <w:tcPr>
            <w:tcW w:w="10760" w:type="dxa"/>
            <w:vAlign w:val="bottom"/>
          </w:tcPr>
          <w:p>
            <w:pPr>
              <w:ind w:left="340"/>
              <w:spacing w:after="0"/>
              <w:rPr>
                <w:sz w:val="20"/>
                <w:szCs w:val="20"/>
                <w:color w:val="auto"/>
              </w:rPr>
            </w:pPr>
            <w:r>
              <w:rPr>
                <w:rFonts w:ascii="Arial" w:cs="Arial" w:eastAsia="Arial" w:hAnsi="Arial"/>
                <w:sz w:val="17"/>
                <w:szCs w:val="17"/>
                <w:color w:val="auto"/>
                <w:w w:val="92"/>
              </w:rPr>
              <w:t>Party A shall give a prompt written notice to Party B and/or Party B’s Subsidiaries, and such written notice shall take effect when it is served to Party B</w:t>
            </w:r>
          </w:p>
        </w:tc>
      </w:tr>
      <w:tr>
        <w:trPr>
          <w:trHeight w:val="212"/>
        </w:trPr>
        <w:tc>
          <w:tcPr>
            <w:tcW w:w="52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7"/>
                <w:szCs w:val="17"/>
                <w:color w:val="auto"/>
              </w:rPr>
              <w:t>and/or Party B’s Subsidiaries.</w:t>
            </w:r>
          </w:p>
        </w:tc>
      </w:tr>
      <w:tr>
        <w:trPr>
          <w:trHeight w:val="329"/>
        </w:trPr>
        <w:tc>
          <w:tcPr>
            <w:tcW w:w="520" w:type="dxa"/>
            <w:vAlign w:val="bottom"/>
            <w:tcBorders>
              <w:bottom w:val="single" w:sz="8" w:color="9A9A9A"/>
            </w:tcBorders>
          </w:tcPr>
          <w:p>
            <w:pPr>
              <w:spacing w:after="0"/>
              <w:rPr>
                <w:sz w:val="24"/>
                <w:szCs w:val="24"/>
                <w:color w:val="auto"/>
              </w:rPr>
            </w:pPr>
          </w:p>
        </w:tc>
        <w:tc>
          <w:tcPr>
            <w:tcW w:w="10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471" w:name="page472"/>
    <w:bookmarkEnd w:id="471"/>
    <w:p>
      <w:pPr>
        <w:jc w:val="center"/>
        <w:spacing w:after="0"/>
        <w:rPr>
          <w:sz w:val="20"/>
          <w:szCs w:val="20"/>
          <w:color w:val="auto"/>
        </w:rPr>
      </w:pPr>
      <w:r>
        <w:rPr>
          <w:rFonts w:ascii="Arial" w:cs="Arial" w:eastAsia="Arial" w:hAnsi="Arial"/>
          <w:sz w:val="20"/>
          <w:szCs w:val="20"/>
          <w:b w:val="1"/>
          <w:bCs w:val="1"/>
          <w:color w:val="auto"/>
        </w:rPr>
        <w:t>Annex III Letter of Acceptance of Rights and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Our company</w:t>
      </w:r>
      <w:r>
        <w:rPr>
          <w:rFonts w:ascii="Arial" w:cs="Arial" w:eastAsia="Arial" w:hAnsi="Arial"/>
          <w:sz w:val="15"/>
          <w:szCs w:val="15"/>
          <w:b w:val="1"/>
          <w:bCs w:val="1"/>
          <w:color w:val="auto"/>
        </w:rPr>
        <w:t>, ______, is a subsidiary of ______ Co., Ltd. (hereinafter referred to as “______”) incorporated with ______on the ______day of , and Tianjin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Shangde holds % of ______ the shares/equity of our company.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accordance with the Exclusive Technical Consultation and Service Agreement (hereinafter referred to as “Agreement”) entered into by ______________Co.,</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Limited and other parties on the day of ______, our company as a newly added “Party B’s Subsidiary” under the Agreement shall join the Agreement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Article 12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138"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114" w:right="339" w:bottom="1440" w:gutter="0" w:footer="0" w:header="0"/>
        </w:sectPr>
      </w:pPr>
    </w:p>
    <w:bookmarkStart w:id="472" w:name="page473"/>
    <w:bookmarkEnd w:id="472"/>
    <w:p>
      <w:pPr>
        <w:ind w:left="10340"/>
        <w:spacing w:after="0"/>
        <w:rPr>
          <w:sz w:val="20"/>
          <w:szCs w:val="20"/>
          <w:color w:val="auto"/>
        </w:rPr>
      </w:pPr>
      <w:r>
        <w:rPr>
          <w:rFonts w:ascii="Arial" w:cs="Arial" w:eastAsia="Arial" w:hAnsi="Arial"/>
          <w:sz w:val="16"/>
          <w:szCs w:val="16"/>
          <w:b w:val="1"/>
          <w:bCs w:val="1"/>
          <w:color w:val="auto"/>
        </w:rPr>
        <w:t>Exhibit 4.58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 Operation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This Business Operation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10th day of September, 2019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Wuhan Xiaoyan Technology Co., Ltd.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Room 02, 4th Floor, Unit 3, Building 1, 2, 3, Contemporary China Venture Center, No. 20, Guannanyuan 1st Road, East Lake New Technology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HAN Wei</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or more of the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420" w:hanging="420"/>
        <w:spacing w:after="0"/>
        <w:tabs>
          <w:tab w:leader="none" w:pos="42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jc w:val="both"/>
        <w:ind w:left="420" w:hanging="420"/>
        <w:spacing w:after="0" w:line="278" w:lineRule="auto"/>
        <w:tabs>
          <w:tab w:leader="none" w:pos="42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Party A has established the business relationship with Party B and Party B’s Subsidiaries by signing the Exclusive Technical Consultation and Service Agreement and other agreements; Party B and Party B’s Subsidiaries shall pay various amounts to Party A under such agreements, and therefore any daily operating activities of Party B and Party B’s Subsidiaries will have a substantial impact on their ability to pay the corresponding amounts to Party A.</w:t>
      </w:r>
    </w:p>
    <w:p>
      <w:pPr>
        <w:spacing w:after="0" w:line="157" w:lineRule="exact"/>
        <w:rPr>
          <w:rFonts w:ascii="Arial" w:cs="Arial" w:eastAsia="Arial" w:hAnsi="Arial"/>
          <w:sz w:val="16"/>
          <w:szCs w:val="16"/>
          <w:color w:val="auto"/>
        </w:rPr>
      </w:pPr>
    </w:p>
    <w:p>
      <w:pPr>
        <w:ind w:left="420" w:hanging="420"/>
        <w:spacing w:after="0"/>
        <w:tabs>
          <w:tab w:leader="none" w:pos="42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Any interests held by Party C in Party B and the shareholding structure are shown in Annex II hereto.</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860" w:hanging="860"/>
        <w:spacing w:after="0"/>
        <w:tabs>
          <w:tab w:leader="none" w:pos="860" w:val="left"/>
        </w:tabs>
        <w:numPr>
          <w:ilvl w:val="0"/>
          <w:numId w:val="536"/>
        </w:numPr>
        <w:rPr>
          <w:rFonts w:ascii="Arial" w:cs="Arial" w:eastAsia="Arial" w:hAnsi="Arial"/>
          <w:sz w:val="17"/>
          <w:szCs w:val="17"/>
          <w:color w:val="auto"/>
        </w:rPr>
      </w:pPr>
      <w:r>
        <w:rPr>
          <w:rFonts w:ascii="Arial" w:cs="Arial" w:eastAsia="Arial" w:hAnsi="Arial"/>
          <w:sz w:val="17"/>
          <w:szCs w:val="17"/>
          <w:b w:val="1"/>
          <w:bCs w:val="1"/>
          <w:color w:val="auto"/>
        </w:rPr>
        <w:t>Obligation of omission</w:t>
      </w:r>
    </w:p>
    <w:p>
      <w:pPr>
        <w:spacing w:after="0" w:line="207" w:lineRule="exact"/>
        <w:rPr>
          <w:rFonts w:ascii="Arial" w:cs="Arial" w:eastAsia="Arial" w:hAnsi="Arial"/>
          <w:sz w:val="17"/>
          <w:szCs w:val="17"/>
          <w:color w:val="auto"/>
        </w:rPr>
      </w:pPr>
    </w:p>
    <w:p>
      <w:pPr>
        <w:jc w:val="both"/>
        <w:ind w:left="860"/>
        <w:spacing w:after="0" w:line="278" w:lineRule="auto"/>
        <w:rPr>
          <w:rFonts w:ascii="Arial" w:cs="Arial" w:eastAsia="Arial" w:hAnsi="Arial"/>
          <w:sz w:val="17"/>
          <w:szCs w:val="17"/>
          <w:color w:val="auto"/>
        </w:rPr>
      </w:pPr>
      <w:r>
        <w:rPr>
          <w:rFonts w:ascii="Arial" w:cs="Arial" w:eastAsia="Arial" w:hAnsi="Arial"/>
          <w:sz w:val="16"/>
          <w:szCs w:val="16"/>
          <w:color w:val="auto"/>
        </w:rPr>
        <w:t>In order to ensure that Party B and Party B’s Subsidiaries perform any agreements signed with Party A and their obligations to Party A, Party B, Party B’s Subsidiaries and Party C hereby acknowledge and agree that, unless they obtain the prior written consent of Party A or any other parties designated by Party A, Party B and Party B’s Subsidiaries shall not conduct any transactions and actions that may have substantial adverse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3" w:name="page474"/>
    <w:bookmarkEnd w:id="473"/>
    <w:p>
      <w:pPr>
        <w:ind w:left="860"/>
        <w:spacing w:after="0"/>
        <w:rPr>
          <w:sz w:val="20"/>
          <w:szCs w:val="20"/>
          <w:color w:val="auto"/>
        </w:rPr>
      </w:pPr>
      <w:r>
        <w:rPr>
          <w:rFonts w:ascii="Arial" w:cs="Arial" w:eastAsia="Arial" w:hAnsi="Arial"/>
          <w:sz w:val="17"/>
          <w:szCs w:val="17"/>
          <w:color w:val="auto"/>
        </w:rPr>
        <w:t>effects on their assets, business, personnel, obligations, rights or company operations, including but not limited to: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80" w:type="dxa"/>
            <w:vAlign w:val="bottom"/>
          </w:tcPr>
          <w:p>
            <w:pPr>
              <w:spacing w:after="0"/>
              <w:rPr>
                <w:sz w:val="20"/>
                <w:szCs w:val="20"/>
                <w:color w:val="auto"/>
              </w:rPr>
            </w:pPr>
            <w:r>
              <w:rPr>
                <w:rFonts w:ascii="Arial" w:cs="Arial" w:eastAsia="Arial" w:hAnsi="Arial"/>
                <w:sz w:val="17"/>
                <w:szCs w:val="17"/>
                <w:color w:val="auto"/>
              </w:rPr>
              <w:t>1.1</w:t>
            </w: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Carrying out any activities beyond the normal business scope of the company or failure to operate company business in any way as consistent</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and usual as those in the past;</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1.2</w:t>
            </w:r>
          </w:p>
        </w:tc>
        <w:tc>
          <w:tcPr>
            <w:tcW w:w="9800" w:type="dxa"/>
            <w:vAlign w:val="bottom"/>
          </w:tcPr>
          <w:p>
            <w:pPr>
              <w:ind w:left="280"/>
              <w:spacing w:after="0"/>
              <w:rPr>
                <w:sz w:val="20"/>
                <w:szCs w:val="20"/>
                <w:color w:val="auto"/>
              </w:rPr>
            </w:pPr>
            <w:r>
              <w:rPr>
                <w:rFonts w:ascii="Arial" w:cs="Arial" w:eastAsia="Arial" w:hAnsi="Arial"/>
                <w:sz w:val="17"/>
                <w:szCs w:val="17"/>
                <w:color w:val="auto"/>
              </w:rPr>
              <w:t>Borrowing money from any third party or assuming any debts;</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1.3</w:t>
            </w:r>
          </w:p>
        </w:tc>
        <w:tc>
          <w:tcPr>
            <w:tcW w:w="9800" w:type="dxa"/>
            <w:vAlign w:val="bottom"/>
          </w:tcPr>
          <w:p>
            <w:pPr>
              <w:ind w:left="280"/>
              <w:spacing w:after="0"/>
              <w:rPr>
                <w:sz w:val="20"/>
                <w:szCs w:val="20"/>
                <w:color w:val="auto"/>
              </w:rPr>
            </w:pPr>
            <w:r>
              <w:rPr>
                <w:rFonts w:ascii="Arial" w:cs="Arial" w:eastAsia="Arial" w:hAnsi="Arial"/>
                <w:sz w:val="17"/>
                <w:szCs w:val="17"/>
                <w:color w:val="auto"/>
              </w:rPr>
              <w:t>Changing or removing any directors of the company or dismissing and replacing any senior managers of the company;</w:t>
            </w:r>
          </w:p>
        </w:tc>
      </w:tr>
      <w:tr>
        <w:trPr>
          <w:trHeight w:val="411"/>
        </w:trPr>
        <w:tc>
          <w:tcPr>
            <w:tcW w:w="580" w:type="dxa"/>
            <w:vAlign w:val="bottom"/>
          </w:tcPr>
          <w:p>
            <w:pPr>
              <w:spacing w:after="0"/>
              <w:rPr>
                <w:sz w:val="20"/>
                <w:szCs w:val="20"/>
                <w:color w:val="auto"/>
              </w:rPr>
            </w:pPr>
            <w:r>
              <w:rPr>
                <w:rFonts w:ascii="Arial" w:cs="Arial" w:eastAsia="Arial" w:hAnsi="Arial"/>
                <w:sz w:val="17"/>
                <w:szCs w:val="17"/>
                <w:color w:val="auto"/>
              </w:rPr>
              <w:t>1.4</w:t>
            </w:r>
          </w:p>
        </w:tc>
        <w:tc>
          <w:tcPr>
            <w:tcW w:w="9800" w:type="dxa"/>
            <w:vAlign w:val="bottom"/>
          </w:tcPr>
          <w:p>
            <w:pPr>
              <w:ind w:left="280"/>
              <w:spacing w:after="0"/>
              <w:rPr>
                <w:sz w:val="20"/>
                <w:szCs w:val="20"/>
                <w:color w:val="auto"/>
              </w:rPr>
            </w:pPr>
            <w:r>
              <w:rPr>
                <w:rFonts w:ascii="Arial" w:cs="Arial" w:eastAsia="Arial" w:hAnsi="Arial"/>
                <w:sz w:val="17"/>
                <w:szCs w:val="17"/>
                <w:color w:val="auto"/>
                <w:w w:val="90"/>
              </w:rPr>
              <w:t>Selling to or acquiring from any third party or otherwise disposing of any assets or rights (including but not limited to any intellectual property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rights) with the total value of RMB 0.05 million or more;</w:t>
            </w:r>
          </w:p>
        </w:tc>
      </w:tr>
      <w:tr>
        <w:trPr>
          <w:trHeight w:val="386"/>
        </w:trPr>
        <w:tc>
          <w:tcPr>
            <w:tcW w:w="580" w:type="dxa"/>
            <w:vAlign w:val="bottom"/>
          </w:tcPr>
          <w:p>
            <w:pPr>
              <w:spacing w:after="0"/>
              <w:rPr>
                <w:sz w:val="20"/>
                <w:szCs w:val="20"/>
                <w:color w:val="auto"/>
              </w:rPr>
            </w:pPr>
            <w:r>
              <w:rPr>
                <w:rFonts w:ascii="Arial" w:cs="Arial" w:eastAsia="Arial" w:hAnsi="Arial"/>
                <w:sz w:val="17"/>
                <w:szCs w:val="17"/>
                <w:color w:val="auto"/>
              </w:rPr>
              <w:t>1.5</w:t>
            </w:r>
          </w:p>
        </w:tc>
        <w:tc>
          <w:tcPr>
            <w:tcW w:w="9800" w:type="dxa"/>
            <w:vAlign w:val="bottom"/>
          </w:tcPr>
          <w:p>
            <w:pPr>
              <w:ind w:left="280"/>
              <w:spacing w:after="0"/>
              <w:rPr>
                <w:sz w:val="20"/>
                <w:szCs w:val="20"/>
                <w:color w:val="auto"/>
              </w:rPr>
            </w:pPr>
            <w:r>
              <w:rPr>
                <w:rFonts w:ascii="Arial" w:cs="Arial" w:eastAsia="Arial" w:hAnsi="Arial"/>
                <w:sz w:val="17"/>
                <w:szCs w:val="17"/>
                <w:color w:val="auto"/>
                <w:w w:val="92"/>
              </w:rPr>
              <w:t>Providing any third party with any form of guarantees or creating any form of encumbrances on any assets of the company (including any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intellectual property rights);</w:t>
            </w:r>
          </w:p>
        </w:tc>
      </w:tr>
      <w:tr>
        <w:trPr>
          <w:trHeight w:val="399"/>
        </w:trPr>
        <w:tc>
          <w:tcPr>
            <w:tcW w:w="580" w:type="dxa"/>
            <w:vAlign w:val="bottom"/>
          </w:tcPr>
          <w:p>
            <w:pPr>
              <w:spacing w:after="0"/>
              <w:rPr>
                <w:sz w:val="20"/>
                <w:szCs w:val="20"/>
                <w:color w:val="auto"/>
              </w:rPr>
            </w:pPr>
            <w:r>
              <w:rPr>
                <w:rFonts w:ascii="Arial" w:cs="Arial" w:eastAsia="Arial" w:hAnsi="Arial"/>
                <w:sz w:val="17"/>
                <w:szCs w:val="17"/>
                <w:color w:val="auto"/>
              </w:rPr>
              <w:t>1.6</w:t>
            </w:r>
          </w:p>
        </w:tc>
        <w:tc>
          <w:tcPr>
            <w:tcW w:w="9800" w:type="dxa"/>
            <w:vAlign w:val="bottom"/>
          </w:tcPr>
          <w:p>
            <w:pPr>
              <w:ind w:left="280"/>
              <w:spacing w:after="0"/>
              <w:rPr>
                <w:sz w:val="20"/>
                <w:szCs w:val="20"/>
                <w:color w:val="auto"/>
              </w:rPr>
            </w:pPr>
            <w:r>
              <w:rPr>
                <w:rFonts w:ascii="Arial" w:cs="Arial" w:eastAsia="Arial" w:hAnsi="Arial"/>
                <w:sz w:val="17"/>
                <w:szCs w:val="17"/>
                <w:color w:val="auto"/>
              </w:rPr>
              <w:t>Amending the articles of association or changing the business scope of the company;</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1.7</w:t>
            </w:r>
          </w:p>
        </w:tc>
        <w:tc>
          <w:tcPr>
            <w:tcW w:w="9800" w:type="dxa"/>
            <w:vAlign w:val="bottom"/>
          </w:tcPr>
          <w:p>
            <w:pPr>
              <w:ind w:left="280"/>
              <w:spacing w:after="0"/>
              <w:rPr>
                <w:sz w:val="20"/>
                <w:szCs w:val="20"/>
                <w:color w:val="auto"/>
              </w:rPr>
            </w:pPr>
            <w:r>
              <w:rPr>
                <w:rFonts w:ascii="Arial" w:cs="Arial" w:eastAsia="Arial" w:hAnsi="Arial"/>
                <w:sz w:val="17"/>
                <w:szCs w:val="17"/>
                <w:color w:val="auto"/>
                <w:w w:val="98"/>
              </w:rPr>
              <w:t>Changing the normal business procedures of the company or modifying any major internal rules and regulations of the company;</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1.8</w:t>
            </w:r>
          </w:p>
        </w:tc>
        <w:tc>
          <w:tcPr>
            <w:tcW w:w="9800" w:type="dxa"/>
            <w:vAlign w:val="bottom"/>
          </w:tcPr>
          <w:p>
            <w:pPr>
              <w:ind w:left="280"/>
              <w:spacing w:after="0"/>
              <w:rPr>
                <w:sz w:val="20"/>
                <w:szCs w:val="20"/>
                <w:color w:val="auto"/>
              </w:rPr>
            </w:pPr>
            <w:r>
              <w:rPr>
                <w:rFonts w:ascii="Arial" w:cs="Arial" w:eastAsia="Arial" w:hAnsi="Arial"/>
                <w:sz w:val="17"/>
                <w:szCs w:val="17"/>
                <w:color w:val="auto"/>
              </w:rPr>
              <w:t>Transferring their rights and obligations under this Agreement to any third party;</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1.9</w:t>
            </w:r>
          </w:p>
        </w:tc>
        <w:tc>
          <w:tcPr>
            <w:tcW w:w="9800" w:type="dxa"/>
            <w:vAlign w:val="bottom"/>
          </w:tcPr>
          <w:p>
            <w:pPr>
              <w:ind w:left="280"/>
              <w:spacing w:after="0"/>
              <w:rPr>
                <w:sz w:val="20"/>
                <w:szCs w:val="20"/>
                <w:color w:val="auto"/>
              </w:rPr>
            </w:pPr>
            <w:r>
              <w:rPr>
                <w:rFonts w:ascii="Arial" w:cs="Arial" w:eastAsia="Arial" w:hAnsi="Arial"/>
                <w:sz w:val="17"/>
                <w:szCs w:val="17"/>
                <w:color w:val="auto"/>
                <w:w w:val="95"/>
              </w:rPr>
              <w:t>Making any major adjustments to their business operation model, marketing strategy, management policy or customer relations; and</w:t>
            </w:r>
          </w:p>
        </w:tc>
      </w:tr>
      <w:tr>
        <w:trPr>
          <w:trHeight w:val="424"/>
        </w:trPr>
        <w:tc>
          <w:tcPr>
            <w:tcW w:w="580" w:type="dxa"/>
            <w:vAlign w:val="bottom"/>
          </w:tcPr>
          <w:p>
            <w:pPr>
              <w:spacing w:after="0"/>
              <w:rPr>
                <w:sz w:val="20"/>
                <w:szCs w:val="20"/>
                <w:color w:val="auto"/>
              </w:rPr>
            </w:pPr>
            <w:r>
              <w:rPr>
                <w:rFonts w:ascii="Arial" w:cs="Arial" w:eastAsia="Arial" w:hAnsi="Arial"/>
                <w:sz w:val="17"/>
                <w:szCs w:val="17"/>
                <w:color w:val="auto"/>
              </w:rPr>
              <w:t>1.10</w:t>
            </w:r>
          </w:p>
        </w:tc>
        <w:tc>
          <w:tcPr>
            <w:tcW w:w="9800" w:type="dxa"/>
            <w:vAlign w:val="bottom"/>
          </w:tcPr>
          <w:p>
            <w:pPr>
              <w:ind w:left="280"/>
              <w:spacing w:after="0"/>
              <w:rPr>
                <w:sz w:val="20"/>
                <w:szCs w:val="20"/>
                <w:color w:val="auto"/>
              </w:rPr>
            </w:pPr>
            <w:r>
              <w:rPr>
                <w:rFonts w:ascii="Arial" w:cs="Arial" w:eastAsia="Arial" w:hAnsi="Arial"/>
                <w:sz w:val="17"/>
                <w:szCs w:val="17"/>
                <w:color w:val="auto"/>
              </w:rPr>
              <w:t>Distributing any bonus and dividend in any form.</w:t>
            </w:r>
          </w:p>
        </w:tc>
      </w:tr>
    </w:tbl>
    <w:p>
      <w:pPr>
        <w:spacing w:after="0" w:line="208" w:lineRule="exact"/>
        <w:rPr>
          <w:sz w:val="20"/>
          <w:szCs w:val="20"/>
          <w:color w:val="auto"/>
        </w:rPr>
      </w:pPr>
    </w:p>
    <w:p>
      <w:pPr>
        <w:ind w:left="860" w:hanging="860"/>
        <w:spacing w:after="0"/>
        <w:tabs>
          <w:tab w:leader="none" w:pos="860" w:val="left"/>
        </w:tabs>
        <w:numPr>
          <w:ilvl w:val="0"/>
          <w:numId w:val="537"/>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Management and Personnel Arrangement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Party B’s Subsidiaries and Party C hereby agree to accept any appointment and dismissal of employees of the company provided by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A from time to time and any opinions and instructions on the daily operating management, financial management system, etc., of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company and strictly implement them.</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B, Party B’s Subsidiaries and Party C hereby agree that Party C shall, in accordance with the laws and regulations and the articles of</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association, elect or appoint any persons designated by Party A as director (or executive director) or supervisor of Party B and Party B’s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Subsidiaries and cause such persons elected as director to elect the chairman of the company (if the company has a board of directors)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according to Party A’s recommendation of candidate and shall appoint any persons designated by Party A as general manager, chief financial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officer and other senior managers of Party B and Party B’s Subsidiaries.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When the aforesaid directors or senior managers designated by Party A leave Party A for any reasons whatsoever (including but not limited to</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any voluntary resignation and dismissal by Party A), they will be disqualified from holding a post in Party B and Party B’s Subsidiaries. In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such a case, Party B, Party B’s Subsidiaries and Party C shall immediately dismiss the aforesaid persons from any post in Party B and Party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B’s Subsidiaries and immediately elect or employ any other persons otherwise designated by Party A to hold such post.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2.4</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For the purpose of the Section 2.3 above, Party B, Party B’s Subsidiaries and Party C shall, in accordance with the laws, articles of association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and this Agreement, take all necessary internal and external procedures of the company to complete the above dismissal and appointment</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procedures.</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6" w:right="299" w:bottom="1440" w:gutter="0" w:footer="0" w:header="0"/>
        </w:sectPr>
      </w:pPr>
    </w:p>
    <w:bookmarkStart w:id="474" w:name="page475"/>
    <w:bookmarkEnd w:id="474"/>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2.5</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Party C hereby agrees that, when signing this Agreement, it shall sign a power of attorney in such form and substance as shown in Annex III</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hereto and shall, according to such power of attorney, irrevocably authorize any persons designated by Party A to exercise its shareholder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rights on its behalf and exercise all shareholders’ voting rights in the name of shareholders at any meeting of shareholders held by Party B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Party B’s Subsidiaries. Party C further agrees that it shall replace at any time the designated authorized persons in the forgoing power of</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attorney according to Party A’s requirements.</w:t>
            </w:r>
          </w:p>
        </w:tc>
      </w:tr>
    </w:tbl>
    <w:p>
      <w:pPr>
        <w:spacing w:after="0" w:line="183" w:lineRule="exact"/>
        <w:rPr>
          <w:sz w:val="20"/>
          <w:szCs w:val="20"/>
          <w:color w:val="auto"/>
        </w:rPr>
      </w:pPr>
    </w:p>
    <w:p>
      <w:pPr>
        <w:ind w:left="860" w:hanging="860"/>
        <w:spacing w:after="0"/>
        <w:tabs>
          <w:tab w:leader="none" w:pos="860" w:val="left"/>
        </w:tabs>
        <w:numPr>
          <w:ilvl w:val="0"/>
          <w:numId w:val="53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of the agreements among Party A and Party B and Party B’s Subsidiaries is terminated or expires, Party A shall have the right to decide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whether to terminate all agreements among Party A and Party B and Party B’s Subsidiaries, including but not limited to any Exclusive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Technical Consultation and Service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Considering that Party A has established the business relationship with Party B and Party B’s Subsidiaries by signing an Exclusive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Consultation and Service Agreement and other agreements, any daily operating activities of Party B and Party B’s Subsidiaries will have a</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substantial impact on their ability to pay the corresponding amounts to Party A. Party C agrees that, subject to the provisions of Article 1</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hereof, any incomes or interests shall be immediately paid or transferred without compensation to Party A when they are realized, under no</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conditions, out of any bonuses, dividend distributions or any other similar incomes or interests (regardless of their specific form) that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received by Party C from Party B and Party B’s Subsidiaries in the capacity of a shareholder of Party B and Party B’s Subsidiaries and that it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shall, according to Party A’s requirements, provide all necessary documents or take all necessary actions to realize such payment or transfer.</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3.3</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added Party B’s Subsidiary at any time after the effective date of this Agreement, Party B and Party C shall cause such newly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added Party B’s Subsidiary to sign a letter of acceptance of rights and obligations in such form and substance as shown in Annex IV hereto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any other legal documents permitted or required by the laws of the PRC so as to enable such newly added Party B’s Subsidiary to join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 and fully accept any obligations and rights to be assumed and enjoyed by Party B’s Subsidiaries under this Agreement. From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execution date of such letter of acceptance of rights and obligations and any other legal documents permitted or required by the laws of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PRC, such newly added Party B’s Subsidiary shall be deemed to be a signatory to this Agreement. Any other Parties hereto hereby agree to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fully accept the foregoing arrangement.</w:t>
            </w:r>
          </w:p>
        </w:tc>
      </w:tr>
    </w:tbl>
    <w:p>
      <w:pPr>
        <w:spacing w:after="0" w:line="183" w:lineRule="exact"/>
        <w:rPr>
          <w:sz w:val="20"/>
          <w:szCs w:val="20"/>
          <w:color w:val="auto"/>
        </w:rPr>
      </w:pPr>
    </w:p>
    <w:p>
      <w:pPr>
        <w:ind w:left="860" w:hanging="860"/>
        <w:spacing w:after="0"/>
        <w:tabs>
          <w:tab w:leader="none" w:pos="860" w:val="left"/>
        </w:tabs>
        <w:numPr>
          <w:ilvl w:val="0"/>
          <w:numId w:val="53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and Amendment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This Agreement and all agreements and/or documents referred to or expressly contained herein shall constitute an entire agreement among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Parties in respect of the subject matter of this Agreement and supersede all prior oral and written agreements, contracts, understandings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communications among the Parties in relation to the subject matter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No amendments to this Agreement shall be valid unless a written agreement is signed by the Parties. Any amendment and supplementary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agreements duly signed by the Parties in relation to this Agreement shall form an integral part of this Agreement and be equally authentic as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w:t>
            </w:r>
          </w:p>
        </w:tc>
      </w:tr>
    </w:tbl>
    <w:p>
      <w:pPr>
        <w:spacing w:after="0" w:line="183" w:lineRule="exact"/>
        <w:rPr>
          <w:sz w:val="20"/>
          <w:szCs w:val="20"/>
          <w:color w:val="auto"/>
        </w:rPr>
      </w:pPr>
    </w:p>
    <w:p>
      <w:pPr>
        <w:ind w:left="860" w:hanging="860"/>
        <w:spacing w:after="0"/>
        <w:tabs>
          <w:tab w:leader="none" w:pos="860" w:val="left"/>
        </w:tabs>
        <w:numPr>
          <w:ilvl w:val="0"/>
          <w:numId w:val="540"/>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This Agreement shall be governed by and construed in accordance with the laws of the PRC.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475" w:name="page476"/>
    <w:bookmarkEnd w:id="475"/>
    <w:p>
      <w:pPr>
        <w:ind w:left="860" w:hanging="860"/>
        <w:spacing w:after="0"/>
        <w:tabs>
          <w:tab w:leader="none" w:pos="860"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resolve such disputes through consultation in good faith. If such disputes can not be resolved through consultation, any Party may submit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proceedings shall be Chinese. Any arbitral award shall be final and binding upon the Parties. No provisions of this Article shall be affected by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542"/>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rFonts w:ascii="Arial" w:cs="Arial" w:eastAsia="Arial" w:hAnsi="Arial"/>
          <w:sz w:val="17"/>
          <w:szCs w:val="17"/>
          <w:b w:val="1"/>
          <w:bCs w:val="1"/>
          <w:color w:val="auto"/>
        </w:rPr>
      </w:pPr>
    </w:p>
    <w:p>
      <w:pPr>
        <w:jc w:val="both"/>
        <w:ind w:left="860" w:right="4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2"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A,</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Address: Building 6, Chaolai Science and Technology Park, Laiguangying, Chaoyang District, Beijing</w:t>
      </w:r>
    </w:p>
    <w:p>
      <w:pPr>
        <w:spacing w:after="0" w:line="203"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Tel.: [•]</w:t>
      </w:r>
    </w:p>
    <w:p>
      <w:pPr>
        <w:spacing w:after="0" w:line="203"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LIU Tongbo</w:t>
      </w:r>
    </w:p>
    <w:p>
      <w:pPr>
        <w:spacing w:after="0" w:line="19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B and Party B’s Subsidiaries</w:t>
      </w:r>
    </w:p>
    <w:p>
      <w:pPr>
        <w:spacing w:after="0" w:line="207" w:lineRule="exact"/>
        <w:rPr>
          <w:rFonts w:ascii="Arial" w:cs="Arial" w:eastAsia="Arial" w:hAnsi="Arial"/>
          <w:sz w:val="17"/>
          <w:szCs w:val="17"/>
          <w:b w:val="1"/>
          <w:bCs w:val="1"/>
          <w:color w:val="auto"/>
        </w:rPr>
      </w:pPr>
    </w:p>
    <w:p>
      <w:pPr>
        <w:ind w:left="860" w:right="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Address: Room 02, 4th Floor, Unit 3, Building 1, 2, 3, Contemporary China Venture Center, No. 20, Guannanyuan 1st Road, East Lake New Technology Development Zone, Wuhan</w:t>
      </w:r>
    </w:p>
    <w:p>
      <w:pPr>
        <w:spacing w:after="0" w:line="167" w:lineRule="exact"/>
        <w:rPr>
          <w:rFonts w:ascii="Arial" w:cs="Arial" w:eastAsia="Arial" w:hAnsi="Arial"/>
          <w:sz w:val="17"/>
          <w:szCs w:val="17"/>
          <w:b w:val="1"/>
          <w:bCs w:val="1"/>
          <w:color w:val="auto"/>
        </w:rPr>
      </w:pPr>
    </w:p>
    <w:p>
      <w:pPr>
        <w:ind w:left="860" w:right="9360"/>
        <w:spacing w:after="0" w:line="517" w:lineRule="auto"/>
        <w:rPr>
          <w:rFonts w:ascii="Arial" w:cs="Arial" w:eastAsia="Arial" w:hAnsi="Arial"/>
          <w:sz w:val="17"/>
          <w:szCs w:val="17"/>
          <w:b w:val="1"/>
          <w:bCs w:val="1"/>
          <w:color w:val="auto"/>
        </w:rPr>
      </w:pPr>
      <w:r>
        <w:rPr>
          <w:rFonts w:ascii="Arial" w:cs="Arial" w:eastAsia="Arial" w:hAnsi="Arial"/>
          <w:sz w:val="16"/>
          <w:szCs w:val="16"/>
          <w:color w:val="auto"/>
        </w:rPr>
        <w:t>Tel.: [•] Attn.:HAN Wei</w:t>
      </w:r>
    </w:p>
    <w:p>
      <w:pPr>
        <w:ind w:left="860" w:hanging="860"/>
        <w:spacing w:after="0"/>
        <w:tabs>
          <w:tab w:leader="none" w:pos="860" w:val="left"/>
        </w:tabs>
        <w:numPr>
          <w:ilvl w:val="0"/>
          <w:numId w:val="542"/>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Term and Miscellaneous Provisions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Any written consents, suggestions and designations of Party A involved herein and any other decisions that have a substantial impact on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daily operation of Party B and Party B’s Subsidiaries shall be made by Party A’s board of directors and/or executive director.</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8.2</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This Agreement is executed by the parties hereto and take effect as of the date first written above herein. Unless Party A cancels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Agreement in advance, the term of this Agreement shall be terminated upon dissolution of both of Party B and Party B’s Subsidiaries in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accordance with the laws of the PRC. Upon Party A’s request prior to the expiration of this Agreement, the Parties shall extend the term of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Agreement at Party A’s request and shall sign a separate business operation agreement or continue to perform this Agreement according to</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Party A’s requirements.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8.3</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Notwithstanding the above, the Parties acknowledge that, in case of any change of Party B’s shareholding structure or any increase or decrease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of shareholders and other circumstances, Party A, Party B, Party B’s Subsidiaries and all existing shareholders of Party B shall re-sign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Agreement, and this Agreement shall automatically be terminated and become invalid from the effective date of the business operation</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agreement re-signed by the foregoing Parties.</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4</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1" w:right="299" w:bottom="1440" w:gutter="0" w:footer="0" w:header="0"/>
        </w:sectPr>
      </w:pPr>
    </w:p>
    <w:bookmarkStart w:id="476" w:name="page477"/>
    <w:bookmarkEnd w:id="476"/>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700" w:type="dxa"/>
            <w:vAlign w:val="bottom"/>
          </w:tcPr>
          <w:p>
            <w:pPr>
              <w:ind w:left="320"/>
              <w:spacing w:after="0"/>
              <w:rPr>
                <w:sz w:val="20"/>
                <w:szCs w:val="20"/>
                <w:color w:val="auto"/>
              </w:rPr>
            </w:pPr>
            <w:r>
              <w:rPr>
                <w:rFonts w:ascii="Arial" w:cs="Arial" w:eastAsia="Arial" w:hAnsi="Arial"/>
                <w:sz w:val="17"/>
                <w:szCs w:val="17"/>
                <w:color w:val="auto"/>
                <w:w w:val="89"/>
              </w:rPr>
              <w:t>Within the term of this Agreement, Party B, Party B’s Subsidiaries and Party C shall not terminate this Agreement in advance. Party A shall</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90"/>
              </w:rPr>
              <w:t>have the right to terminate this Agreement at any time by giving a written notice to Party B, Party B’s Subsidiaries and shareholders Thirty</w:t>
            </w:r>
          </w:p>
        </w:tc>
      </w:tr>
      <w:tr>
        <w:trPr>
          <w:trHeight w:val="212"/>
        </w:trPr>
        <w:tc>
          <w:tcPr>
            <w:tcW w:w="54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rPr>
              <w:t>(30) days in advance.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8.5</w:t>
            </w:r>
          </w:p>
        </w:tc>
        <w:tc>
          <w:tcPr>
            <w:tcW w:w="9700" w:type="dxa"/>
            <w:vAlign w:val="bottom"/>
          </w:tcPr>
          <w:p>
            <w:pPr>
              <w:ind w:left="320"/>
              <w:spacing w:after="0"/>
              <w:rPr>
                <w:sz w:val="20"/>
                <w:szCs w:val="20"/>
                <w:color w:val="auto"/>
              </w:rPr>
            </w:pPr>
            <w:r>
              <w:rPr>
                <w:rFonts w:ascii="Arial" w:cs="Arial" w:eastAsia="Arial" w:hAnsi="Arial"/>
                <w:sz w:val="17"/>
                <w:szCs w:val="17"/>
                <w:color w:val="auto"/>
                <w:w w:val="88"/>
              </w:rPr>
              <w:t>The Parties hereby acknowledge that this Agreement shall be a fair and reasonable agreement reached by the Parties hereto on the basis of</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93"/>
              </w:rPr>
              <w:t>equality and mutual benefit. If any provisions of this Agreement are deemed to be illegal or unenforceable by any applicable law, such</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94"/>
              </w:rPr>
              <w:t>provisions shall be deemed to have been deleted from this Agreement and become invalid, provided that any other provisions of this</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88"/>
              </w:rPr>
              <w:t>Agreement shall remain in force, and this Agreement shall be deemed to have not contained such provisions from the beginning. The Parties</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91"/>
              </w:rPr>
              <w:t>hereto shall mutually negotiate about the replacement of such provisions that are deemed to have been deleted with any legal and valid</w:t>
            </w:r>
          </w:p>
        </w:tc>
      </w:tr>
      <w:tr>
        <w:trPr>
          <w:trHeight w:val="212"/>
        </w:trPr>
        <w:tc>
          <w:tcPr>
            <w:tcW w:w="54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rPr>
              <w:t>provisions acceptable to the Parties.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8.6</w:t>
            </w:r>
          </w:p>
        </w:tc>
        <w:tc>
          <w:tcPr>
            <w:tcW w:w="9700" w:type="dxa"/>
            <w:vAlign w:val="bottom"/>
          </w:tcPr>
          <w:p>
            <w:pPr>
              <w:ind w:left="320"/>
              <w:spacing w:after="0"/>
              <w:rPr>
                <w:sz w:val="20"/>
                <w:szCs w:val="20"/>
                <w:color w:val="auto"/>
              </w:rPr>
            </w:pPr>
            <w:r>
              <w:rPr>
                <w:rFonts w:ascii="Arial" w:cs="Arial" w:eastAsia="Arial" w:hAnsi="Arial"/>
                <w:sz w:val="17"/>
                <w:szCs w:val="17"/>
                <w:color w:val="auto"/>
                <w:w w:val="88"/>
              </w:rPr>
              <w:t>No failure by any Party to exercise its rights, powers or privileges under this Agreement shall be treated as a waiver of such rights, powers or</w:t>
            </w:r>
          </w:p>
        </w:tc>
      </w:tr>
      <w:tr>
        <w:trPr>
          <w:trHeight w:val="199"/>
        </w:trPr>
        <w:tc>
          <w:tcPr>
            <w:tcW w:w="540" w:type="dxa"/>
            <w:vAlign w:val="bottom"/>
          </w:tcPr>
          <w:p>
            <w:pPr>
              <w:spacing w:after="0"/>
              <w:rPr>
                <w:sz w:val="17"/>
                <w:szCs w:val="17"/>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w w:val="89"/>
              </w:rPr>
              <w:t>privileges by such Party. No single or partial exercise by any Party of its rights, powers or privileges under this Agreement shall exclude any</w:t>
            </w:r>
          </w:p>
        </w:tc>
      </w:tr>
      <w:tr>
        <w:trPr>
          <w:trHeight w:val="212"/>
        </w:trPr>
        <w:tc>
          <w:tcPr>
            <w:tcW w:w="54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rPr>
              <w:t>exercise by such Party of its other rights, powers or privileges under this Agreement.</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8.7</w:t>
            </w:r>
          </w:p>
        </w:tc>
        <w:tc>
          <w:tcPr>
            <w:tcW w:w="970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8.8</w:t>
            </w:r>
          </w:p>
        </w:tc>
        <w:tc>
          <w:tcPr>
            <w:tcW w:w="9700" w:type="dxa"/>
            <w:vAlign w:val="bottom"/>
          </w:tcPr>
          <w:p>
            <w:pPr>
              <w:ind w:left="320"/>
              <w:spacing w:after="0"/>
              <w:rPr>
                <w:sz w:val="20"/>
                <w:szCs w:val="20"/>
                <w:color w:val="auto"/>
              </w:rPr>
            </w:pPr>
            <w:r>
              <w:rPr>
                <w:rFonts w:ascii="Arial" w:cs="Arial" w:eastAsia="Arial" w:hAnsi="Arial"/>
                <w:sz w:val="17"/>
                <w:szCs w:val="17"/>
                <w:color w:val="auto"/>
                <w:w w:val="89"/>
              </w:rPr>
              <w:t>Party B, Party B’s Subsidiaries and Party C shall not transfer to any third party their rights and obligations under this Agreement unless they</w:t>
            </w:r>
          </w:p>
        </w:tc>
      </w:tr>
      <w:tr>
        <w:trPr>
          <w:trHeight w:val="212"/>
        </w:trPr>
        <w:tc>
          <w:tcPr>
            <w:tcW w:w="540" w:type="dxa"/>
            <w:vAlign w:val="bottom"/>
          </w:tcPr>
          <w:p>
            <w:pPr>
              <w:spacing w:after="0"/>
              <w:rPr>
                <w:sz w:val="18"/>
                <w:szCs w:val="18"/>
                <w:color w:val="auto"/>
              </w:rPr>
            </w:pPr>
          </w:p>
        </w:tc>
        <w:tc>
          <w:tcPr>
            <w:tcW w:w="9700" w:type="dxa"/>
            <w:vAlign w:val="bottom"/>
          </w:tcPr>
          <w:p>
            <w:pPr>
              <w:ind w:left="320"/>
              <w:spacing w:after="0"/>
              <w:rPr>
                <w:sz w:val="20"/>
                <w:szCs w:val="20"/>
                <w:color w:val="auto"/>
              </w:rPr>
            </w:pPr>
            <w:r>
              <w:rPr>
                <w:rFonts w:ascii="Arial" w:cs="Arial" w:eastAsia="Arial" w:hAnsi="Arial"/>
                <w:sz w:val="17"/>
                <w:szCs w:val="17"/>
                <w:color w:val="auto"/>
              </w:rPr>
              <w:t>obtain the prior written consent of Party A.</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duly authorized representative as of the date first above written.</w:t>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00"/>
          </w:cols>
          <w:pgMar w:left="320" w:top="525" w:right="479" w:bottom="1440" w:gutter="0" w:footer="0" w:header="0"/>
        </w:sectPr>
      </w:pPr>
    </w:p>
    <w:bookmarkStart w:id="477" w:name="page478"/>
    <w:bookmarkEnd w:id="477"/>
    <w:p>
      <w:pPr>
        <w:jc w:val="right"/>
        <w:ind w:right="2159"/>
        <w:spacing w:after="0"/>
        <w:rPr>
          <w:sz w:val="20"/>
          <w:szCs w:val="20"/>
          <w:color w:val="auto"/>
        </w:rPr>
      </w:pPr>
      <w:r>
        <w:rPr>
          <w:rFonts w:ascii="Arial" w:cs="Arial" w:eastAsia="Arial" w:hAnsi="Arial"/>
          <w:sz w:val="17"/>
          <w:szCs w:val="17"/>
          <w:color w:val="auto"/>
        </w:rPr>
        <w:t>[This page is the signature page to the Business Operation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 or Authorized Representative: /s/ (Seal)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HAN Wei</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6" w:right="1440" w:bottom="1440" w:gutter="0" w:footer="0" w:header="0"/>
        </w:sectPr>
      </w:pPr>
    </w:p>
    <w:bookmarkStart w:id="478" w:name="page479"/>
    <w:bookmarkEnd w:id="478"/>
    <w:p>
      <w:pPr>
        <w:jc w:val="right"/>
        <w:ind w:right="1099"/>
        <w:spacing w:after="0"/>
        <w:rPr>
          <w:sz w:val="20"/>
          <w:szCs w:val="20"/>
          <w:color w:val="auto"/>
        </w:rPr>
      </w:pPr>
      <w:r>
        <w:rPr>
          <w:rFonts w:ascii="Arial" w:cs="Arial" w:eastAsia="Arial" w:hAnsi="Arial"/>
          <w:sz w:val="17"/>
          <w:szCs w:val="17"/>
          <w:b w:val="1"/>
          <w:bCs w:val="1"/>
          <w:color w:val="auto"/>
        </w:rPr>
        <w:t>[This page is intentionally left blank as the signature page of the Business Operation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HAN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HAN Wei</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LI Yanjun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Yanjun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479" w:name="page480"/>
    <w:bookmarkEnd w:id="479"/>
    <w:p>
      <w:pPr>
        <w:jc w:val="center"/>
        <w:ind w:right="40"/>
        <w:spacing w:after="0"/>
        <w:rPr>
          <w:sz w:val="20"/>
          <w:szCs w:val="20"/>
          <w:color w:val="auto"/>
        </w:rPr>
      </w:pPr>
      <w:r>
        <w:rPr>
          <w:rFonts w:ascii="Arial" w:cs="Arial" w:eastAsia="Arial" w:hAnsi="Arial"/>
          <w:sz w:val="20"/>
          <w:szCs w:val="20"/>
          <w:b w:val="1"/>
          <w:bCs w:val="1"/>
          <w:color w:val="auto"/>
        </w:rPr>
        <w:t>Annex I Party B’s Shareholders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ID Card No.</w:t>
            </w:r>
          </w:p>
        </w:tc>
        <w:tc>
          <w:tcPr>
            <w:tcW w:w="2840" w:type="dxa"/>
            <w:vAlign w:val="bottom"/>
          </w:tcPr>
          <w:p>
            <w:pPr>
              <w:spacing w:after="0"/>
              <w:rPr>
                <w:sz w:val="20"/>
                <w:szCs w:val="20"/>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HAN Wei</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LI Yanjun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695"/>
        </w:trPr>
        <w:tc>
          <w:tcPr>
            <w:tcW w:w="2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480" w:name="page481"/>
    <w:bookmarkEnd w:id="480"/>
    <w:p>
      <w:pPr>
        <w:jc w:val="center"/>
        <w:ind w:right="40"/>
        <w:spacing w:after="0"/>
        <w:rPr>
          <w:sz w:val="20"/>
          <w:szCs w:val="20"/>
          <w:color w:val="auto"/>
        </w:rPr>
      </w:pPr>
      <w:r>
        <w:rPr>
          <w:rFonts w:ascii="Arial" w:cs="Arial" w:eastAsia="Arial" w:hAnsi="Arial"/>
          <w:sz w:val="20"/>
          <w:szCs w:val="20"/>
          <w:b w:val="1"/>
          <w:bCs w:val="1"/>
          <w:color w:val="auto"/>
        </w:rPr>
        <w:t>Annex II Party B’s Shareholding Structure</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Amount of Contribution</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(CNY10000)</w:t>
            </w:r>
          </w:p>
        </w:tc>
        <w:tc>
          <w:tcPr>
            <w:tcW w:w="248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0" w:type="dxa"/>
            <w:vAlign w:val="bottom"/>
            <w:tcBorders>
              <w:left w:val="single" w:sz="8" w:color="auto"/>
              <w:right w:val="single" w:sz="8" w:color="auto"/>
            </w:tcBorders>
          </w:tcPr>
          <w:p>
            <w:pPr>
              <w:spacing w:after="0"/>
              <w:rPr>
                <w:sz w:val="8"/>
                <w:szCs w:val="8"/>
                <w:color w:val="auto"/>
              </w:rPr>
            </w:pPr>
          </w:p>
        </w:tc>
        <w:tc>
          <w:tcPr>
            <w:tcW w:w="572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HAN Wei</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190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LI Yanjun</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Total</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200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481" w:name="page482"/>
    <w:bookmarkEnd w:id="481"/>
    <w:p>
      <w:pPr>
        <w:jc w:val="center"/>
        <w:spacing w:after="0"/>
        <w:rPr>
          <w:sz w:val="20"/>
          <w:szCs w:val="20"/>
          <w:color w:val="auto"/>
        </w:rPr>
      </w:pPr>
      <w:r>
        <w:rPr>
          <w:rFonts w:ascii="Arial" w:cs="Arial" w:eastAsia="Arial" w:hAnsi="Arial"/>
          <w:sz w:val="20"/>
          <w:szCs w:val="20"/>
          <w:b w:val="1"/>
          <w:bCs w:val="1"/>
          <w:color w:val="auto"/>
        </w:rPr>
        <w:t>Annex III Power of Attorney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Wuhan Xiaoyan Technology Co., Ltd. (“</w:t>
      </w:r>
      <w:r>
        <w:rPr>
          <w:rFonts w:ascii="Arial" w:cs="Arial" w:eastAsia="Arial" w:hAnsi="Arial"/>
          <w:sz w:val="17"/>
          <w:szCs w:val="17"/>
          <w:b w:val="1"/>
          <w:bCs w:val="1"/>
          <w:color w:val="auto"/>
        </w:rPr>
        <w:t>Wuhan</w:t>
      </w:r>
      <w:r>
        <w:rPr>
          <w:rFonts w:ascii="Arial" w:cs="Arial" w:eastAsia="Arial" w:hAnsi="Arial"/>
          <w:sz w:val="17"/>
          <w:szCs w:val="17"/>
          <w:color w:val="auto"/>
        </w:rPr>
        <w:t xml:space="preserve"> </w:t>
      </w:r>
      <w:r>
        <w:rPr>
          <w:rFonts w:ascii="Arial" w:cs="Arial" w:eastAsia="Arial" w:hAnsi="Arial"/>
          <w:sz w:val="17"/>
          <w:szCs w:val="17"/>
          <w:b w:val="1"/>
          <w:bCs w:val="1"/>
          <w:color w:val="auto"/>
        </w:rPr>
        <w:t>Xiaoyan</w:t>
      </w:r>
      <w:r>
        <w:rPr>
          <w:rFonts w:ascii="Arial" w:cs="Arial" w:eastAsia="Arial" w:hAnsi="Arial"/>
          <w:sz w:val="17"/>
          <w:szCs w:val="17"/>
          <w:color w:val="auto"/>
        </w:rPr>
        <w:t>”) of any specific obligations required by them as the shareholders of Wuhan Xiaoyan, all Authorizers hereby grant the authorization and sign this Power of</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HAN Wei, LI Yanjun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The Authorizers hereby irrevocably authorize to the maximum scope permitted by law Wuhan Studyvip Online Education Co., Limited ("</w:t>
      </w:r>
      <w:r>
        <w:rPr>
          <w:rFonts w:ascii="Arial" w:cs="Arial" w:eastAsia="Arial" w:hAnsi="Arial"/>
          <w:sz w:val="15"/>
          <w:szCs w:val="15"/>
          <w:b w:val="1"/>
          <w:bCs w:val="1"/>
          <w:color w:val="auto"/>
        </w:rPr>
        <w:t>WFOE</w:t>
      </w:r>
      <w:r>
        <w:rPr>
          <w:rFonts w:ascii="Arial" w:cs="Arial" w:eastAsia="Arial" w:hAnsi="Arial"/>
          <w:sz w:val="15"/>
          <w:szCs w:val="15"/>
          <w:color w:val="auto"/>
        </w:rPr>
        <w:t>") or its designated person or authorized representative (“</w:t>
      </w:r>
      <w:r>
        <w:rPr>
          <w:rFonts w:ascii="Arial" w:cs="Arial" w:eastAsia="Arial" w:hAnsi="Arial"/>
          <w:sz w:val="15"/>
          <w:szCs w:val="15"/>
          <w:b w:val="1"/>
          <w:bCs w:val="1"/>
          <w:color w:val="auto"/>
        </w:rPr>
        <w:t>Authorized Person</w:t>
      </w:r>
      <w:r>
        <w:rPr>
          <w:rFonts w:ascii="Arial" w:cs="Arial" w:eastAsia="Arial" w:hAnsi="Arial"/>
          <w:sz w:val="15"/>
          <w:szCs w:val="15"/>
          <w:color w:val="auto"/>
        </w:rPr>
        <w:t>”) to exercise all their shareholder rights corresponding to all voting shares (“</w:t>
      </w:r>
      <w:r>
        <w:rPr>
          <w:rFonts w:ascii="Arial" w:cs="Arial" w:eastAsia="Arial" w:hAnsi="Arial"/>
          <w:sz w:val="15"/>
          <w:szCs w:val="15"/>
          <w:b w:val="1"/>
          <w:bCs w:val="1"/>
          <w:color w:val="auto"/>
        </w:rPr>
        <w:t>Shares</w:t>
      </w:r>
      <w:r>
        <w:rPr>
          <w:rFonts w:ascii="Arial" w:cs="Arial" w:eastAsia="Arial" w:hAnsi="Arial"/>
          <w:sz w:val="15"/>
          <w:szCs w:val="15"/>
          <w:color w:val="auto"/>
        </w:rPr>
        <w:t>”) held by them in Wuhan Xiaoyan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w:t>
      </w:r>
    </w:p>
    <w:p>
      <w:pPr>
        <w:ind w:right="40"/>
        <w:spacing w:after="0" w:line="246" w:lineRule="auto"/>
        <w:tabs>
          <w:tab w:leader="none" w:pos="236" w:val="left"/>
        </w:tabs>
        <w:numPr>
          <w:ilvl w:val="0"/>
          <w:numId w:val="543"/>
        </w:numPr>
        <w:rPr>
          <w:rFonts w:ascii="Arial" w:cs="Arial" w:eastAsia="Arial" w:hAnsi="Arial"/>
          <w:sz w:val="17"/>
          <w:szCs w:val="17"/>
          <w:color w:val="auto"/>
        </w:rPr>
      </w:pPr>
      <w:r>
        <w:rPr>
          <w:rFonts w:ascii="Arial" w:cs="Arial" w:eastAsia="Arial" w:hAnsi="Arial"/>
          <w:sz w:val="17"/>
          <w:szCs w:val="17"/>
          <w:color w:val="auto"/>
        </w:rPr>
        <w:t>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Wuhan Xiaoyan at the meeting of shareholders of Wuhan Xiaoyan.</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the WFOE.</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Unless the Business Operation Agreement signed by Wuhan Xiaoyan,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the [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482" w:name="page483"/>
    <w:bookmarkEnd w:id="482"/>
    <w:p>
      <w:pPr>
        <w:jc w:val="center"/>
        <w:ind w:right="40"/>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7"/>
                <w:szCs w:val="17"/>
                <w:b w:val="1"/>
                <w:bCs w:val="1"/>
                <w:color w:val="auto"/>
              </w:rPr>
              <w:t>Authorizers</w:t>
            </w:r>
          </w:p>
        </w:tc>
        <w:tc>
          <w:tcPr>
            <w:tcW w:w="1580" w:type="dxa"/>
            <w:vAlign w:val="bottom"/>
          </w:tcPr>
          <w:p>
            <w:pPr>
              <w:spacing w:after="0"/>
              <w:rPr>
                <w:sz w:val="18"/>
                <w:szCs w:val="18"/>
                <w:color w:val="auto"/>
              </w:rPr>
            </w:pPr>
          </w:p>
        </w:tc>
        <w:tc>
          <w:tcPr>
            <w:tcW w:w="8700" w:type="dxa"/>
            <w:vAlign w:val="bottom"/>
          </w:tcPr>
          <w:p>
            <w:pPr>
              <w:spacing w:after="0"/>
              <w:rPr>
                <w:sz w:val="18"/>
                <w:szCs w:val="18"/>
                <w:color w:val="auto"/>
              </w:rPr>
            </w:pPr>
          </w:p>
        </w:tc>
      </w:tr>
      <w:tr>
        <w:trPr>
          <w:trHeight w:val="386"/>
        </w:trPr>
        <w:tc>
          <w:tcPr>
            <w:tcW w:w="1000" w:type="dxa"/>
            <w:vAlign w:val="bottom"/>
          </w:tcPr>
          <w:p>
            <w:pPr>
              <w:spacing w:after="0"/>
              <w:rPr>
                <w:sz w:val="20"/>
                <w:szCs w:val="20"/>
                <w:color w:val="auto"/>
              </w:rPr>
            </w:pPr>
            <w:r>
              <w:rPr>
                <w:rFonts w:ascii="Arial" w:cs="Arial" w:eastAsia="Arial" w:hAnsi="Arial"/>
                <w:sz w:val="17"/>
                <w:szCs w:val="17"/>
                <w:color w:val="auto"/>
              </w:rPr>
              <w:t>HAN Wei</w:t>
            </w:r>
          </w:p>
        </w:tc>
        <w:tc>
          <w:tcPr>
            <w:tcW w:w="1580" w:type="dxa"/>
            <w:vAlign w:val="bottom"/>
          </w:tcPr>
          <w:p>
            <w:pPr>
              <w:spacing w:after="0"/>
              <w:rPr>
                <w:sz w:val="24"/>
                <w:szCs w:val="24"/>
                <w:color w:val="auto"/>
              </w:rPr>
            </w:pPr>
          </w:p>
        </w:tc>
        <w:tc>
          <w:tcPr>
            <w:tcW w:w="8700" w:type="dxa"/>
            <w:vAlign w:val="bottom"/>
          </w:tcPr>
          <w:p>
            <w:pPr>
              <w:spacing w:after="0"/>
              <w:rPr>
                <w:sz w:val="24"/>
                <w:szCs w:val="24"/>
                <w:color w:val="auto"/>
              </w:rPr>
            </w:pPr>
          </w:p>
        </w:tc>
      </w:tr>
      <w:tr>
        <w:trPr>
          <w:trHeight w:val="212"/>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HAN Wei</w:t>
            </w:r>
          </w:p>
        </w:tc>
        <w:tc>
          <w:tcPr>
            <w:tcW w:w="8700" w:type="dxa"/>
            <w:vAlign w:val="bottom"/>
          </w:tcPr>
          <w:p>
            <w:pPr>
              <w:spacing w:after="0"/>
              <w:rPr>
                <w:sz w:val="18"/>
                <w:szCs w:val="18"/>
                <w:color w:val="auto"/>
              </w:rPr>
            </w:pPr>
          </w:p>
        </w:tc>
      </w:tr>
      <w:tr>
        <w:trPr>
          <w:trHeight w:val="578"/>
        </w:trPr>
        <w:tc>
          <w:tcPr>
            <w:tcW w:w="1000" w:type="dxa"/>
            <w:vAlign w:val="bottom"/>
          </w:tcPr>
          <w:p>
            <w:pPr>
              <w:spacing w:after="0"/>
              <w:rPr>
                <w:sz w:val="20"/>
                <w:szCs w:val="20"/>
                <w:color w:val="auto"/>
              </w:rPr>
            </w:pPr>
            <w:r>
              <w:rPr>
                <w:rFonts w:ascii="Arial" w:cs="Arial" w:eastAsia="Arial" w:hAnsi="Arial"/>
                <w:sz w:val="17"/>
                <w:szCs w:val="17"/>
                <w:color w:val="auto"/>
              </w:rPr>
              <w:t>LI Yanjun</w:t>
            </w:r>
          </w:p>
        </w:tc>
        <w:tc>
          <w:tcPr>
            <w:tcW w:w="1580" w:type="dxa"/>
            <w:vAlign w:val="bottom"/>
          </w:tcPr>
          <w:p>
            <w:pPr>
              <w:spacing w:after="0"/>
              <w:rPr>
                <w:sz w:val="24"/>
                <w:szCs w:val="24"/>
                <w:color w:val="auto"/>
              </w:rPr>
            </w:pPr>
          </w:p>
        </w:tc>
        <w:tc>
          <w:tcPr>
            <w:tcW w:w="8700" w:type="dxa"/>
            <w:vAlign w:val="bottom"/>
          </w:tcPr>
          <w:p>
            <w:pPr>
              <w:spacing w:after="0"/>
              <w:rPr>
                <w:sz w:val="24"/>
                <w:szCs w:val="24"/>
                <w:color w:val="auto"/>
              </w:rPr>
            </w:pPr>
          </w:p>
        </w:tc>
      </w:tr>
      <w:tr>
        <w:trPr>
          <w:trHeight w:val="212"/>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 Yanjun</w:t>
            </w:r>
          </w:p>
        </w:tc>
        <w:tc>
          <w:tcPr>
            <w:tcW w:w="8700" w:type="dxa"/>
            <w:vAlign w:val="bottom"/>
          </w:tcPr>
          <w:p>
            <w:pPr>
              <w:spacing w:after="0"/>
              <w:rPr>
                <w:sz w:val="18"/>
                <w:szCs w:val="18"/>
                <w:color w:val="auto"/>
              </w:rPr>
            </w:pPr>
          </w:p>
        </w:tc>
      </w:tr>
      <w:tr>
        <w:trPr>
          <w:trHeight w:val="496"/>
        </w:trPr>
        <w:tc>
          <w:tcPr>
            <w:tcW w:w="10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1" w:right="299" w:bottom="1440" w:gutter="0" w:footer="0" w:header="0"/>
        </w:sectPr>
      </w:pPr>
    </w:p>
    <w:bookmarkStart w:id="483" w:name="page484"/>
    <w:bookmarkEnd w:id="483"/>
    <w:p>
      <w:pPr>
        <w:jc w:val="right"/>
        <w:ind w:right="2479"/>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Studyvip Online Education Co., Limited</w:t>
      </w:r>
    </w:p>
    <w:p>
      <w:pPr>
        <w:spacing w:after="0" w:line="20"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 Liu Tongbo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2540</wp:posOffset>
            </wp:positionV>
            <wp:extent cx="253111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7">
                      <a:extLst>
                        <a:ext uri="{28A0092B-C50C-407E-A947-70E740481C1C}"/>
                      </a:extLst>
                    </a:blip>
                    <a:srcRect/>
                    <a:stretch>
                      <a:fillRect/>
                    </a:stretch>
                  </pic:blipFill>
                  <pic:spPr bwMode="auto">
                    <a:xfrm>
                      <a:off x="0" y="0"/>
                      <a:ext cx="2531110"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LIU Tongbo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Position: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484" w:name="page485"/>
    <w:bookmarkEnd w:id="484"/>
    <w:p>
      <w:pPr>
        <w:jc w:val="center"/>
        <w:spacing w:after="0"/>
        <w:rPr>
          <w:sz w:val="20"/>
          <w:szCs w:val="20"/>
          <w:color w:val="auto"/>
        </w:rPr>
      </w:pPr>
      <w:r>
        <w:rPr>
          <w:rFonts w:ascii="Arial" w:cs="Arial" w:eastAsia="Arial" w:hAnsi="Arial"/>
          <w:sz w:val="20"/>
          <w:szCs w:val="20"/>
          <w:b w:val="1"/>
          <w:bCs w:val="1"/>
          <w:color w:val="auto"/>
        </w:rPr>
        <w:t>Annex IV Letter of Acceptance of Rights and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company , </w:t>
      </w:r>
      <w:r>
        <w:rPr>
          <w:rFonts w:ascii="Arial" w:cs="Arial" w:eastAsia="Arial" w:hAnsi="Arial"/>
          <w:sz w:val="15"/>
          <w:szCs w:val="15"/>
          <w:b w:val="1"/>
          <w:bCs w:val="1"/>
          <w:color w:val="auto"/>
        </w:rPr>
        <w:t>______, is a subsidiary of (hereinafter referred to as “______ ”) incorporated with on the____ day of_______ , and Wuhan Xiaoyan holds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 of the shares/equity of _____% of the shares/equity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accordance with the Exclusive Technical Consultation and Service Agreement (hereinafter referred to as “Agreement”) entered into by ______ Co., Limited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 other parties on the ______ day of______ , our company as a newly added “Party B’s Subsidiary” under the Agreement shall join the Agreement pursuant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Section 3.3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313" w:right="339" w:bottom="1440" w:gutter="0" w:footer="0" w:header="0"/>
        </w:sectPr>
      </w:pPr>
    </w:p>
    <w:bookmarkStart w:id="485" w:name="page486"/>
    <w:bookmarkEnd w:id="485"/>
    <w:p>
      <w:pPr>
        <w:jc w:val="right"/>
        <w:ind w:right="40"/>
        <w:spacing w:after="0"/>
        <w:rPr>
          <w:sz w:val="20"/>
          <w:szCs w:val="20"/>
          <w:color w:val="auto"/>
        </w:rPr>
      </w:pPr>
      <w:r>
        <w:rPr>
          <w:rFonts w:ascii="Arial" w:cs="Arial" w:eastAsia="Arial" w:hAnsi="Arial"/>
          <w:sz w:val="17"/>
          <w:szCs w:val="17"/>
          <w:b w:val="1"/>
          <w:bCs w:val="1"/>
          <w:color w:val="auto"/>
        </w:rPr>
        <w:t>Exhibit 4.59</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Equity Interest Pledge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This Equity Interest Pledge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10th day of September, 2019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182"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 (hereinafter referred to as the “</w:t>
      </w:r>
      <w:r>
        <w:rPr>
          <w:rFonts w:ascii="Arial" w:cs="Arial" w:eastAsia="Arial" w:hAnsi="Arial"/>
          <w:sz w:val="17"/>
          <w:szCs w:val="17"/>
          <w:b w:val="1"/>
          <w:bCs w:val="1"/>
          <w:color w:val="auto"/>
        </w:rPr>
        <w:t>Pledgors</w:t>
      </w: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HAN Wei, ID No: [•]</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Wuhan Xiaoyan Technology Co., Ltd.</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Registered Address: Room 02, 4th Floor, Unit 3, Building 1, 2, 3, Contemporary China Venture Center, No. 20, Guannanyuan 1st Road, East Lake New Technology Development Zone, Wuhan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HAN Wei</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170" w:lineRule="exact"/>
        <w:rPr>
          <w:sz w:val="20"/>
          <w:szCs w:val="20"/>
          <w:color w:val="auto"/>
        </w:rPr>
      </w:pPr>
    </w:p>
    <w:p>
      <w:pPr>
        <w:ind w:left="420" w:hanging="420"/>
        <w:spacing w:after="0"/>
        <w:tabs>
          <w:tab w:leader="none" w:pos="4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165" w:lineRule="exact"/>
        <w:rPr>
          <w:rFonts w:ascii="Arial" w:cs="Arial" w:eastAsia="Arial" w:hAnsi="Arial"/>
          <w:sz w:val="17"/>
          <w:szCs w:val="17"/>
          <w:color w:val="auto"/>
        </w:rPr>
      </w:pPr>
    </w:p>
    <w:p>
      <w:pPr>
        <w:ind w:left="420" w:hanging="420"/>
        <w:spacing w:after="0"/>
        <w:tabs>
          <w:tab w:leader="none" w:pos="4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Party C is a limited liability company legally incorporated and existing under the law of the PRC.</w:t>
      </w:r>
    </w:p>
    <w:p>
      <w:pPr>
        <w:spacing w:after="0" w:line="165" w:lineRule="exact"/>
        <w:rPr>
          <w:rFonts w:ascii="Arial" w:cs="Arial" w:eastAsia="Arial" w:hAnsi="Arial"/>
          <w:sz w:val="17"/>
          <w:szCs w:val="17"/>
          <w:color w:val="auto"/>
        </w:rPr>
      </w:pPr>
    </w:p>
    <w:p>
      <w:pPr>
        <w:ind w:left="420" w:hanging="420"/>
        <w:spacing w:after="0"/>
        <w:tabs>
          <w:tab w:leader="none" w:pos="4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Pledgors as a whole holds one hundred (100) percent of the equity of Party C, with the shareholding structure be listed in Annex II hereto.</w:t>
      </w:r>
    </w:p>
    <w:p>
      <w:pPr>
        <w:spacing w:after="0" w:line="165" w:lineRule="exact"/>
        <w:rPr>
          <w:rFonts w:ascii="Arial" w:cs="Arial" w:eastAsia="Arial" w:hAnsi="Arial"/>
          <w:sz w:val="17"/>
          <w:szCs w:val="17"/>
          <w:color w:val="auto"/>
        </w:rPr>
      </w:pPr>
    </w:p>
    <w:p>
      <w:pPr>
        <w:ind w:left="420" w:right="40" w:hanging="420"/>
        <w:spacing w:after="0" w:line="265" w:lineRule="auto"/>
        <w:tabs>
          <w:tab w:leader="none" w:pos="4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Exclusive Technical Consultation and Service Agreement, the Business Operation Agreement and the Option Agreement were made as of 10</w:t>
      </w:r>
      <w:r>
        <w:rPr>
          <w:rFonts w:ascii="Arial" w:cs="Arial" w:eastAsia="Arial" w:hAnsi="Arial"/>
          <w:sz w:val="14"/>
          <w:szCs w:val="14"/>
          <w:color w:val="auto"/>
        </w:rPr>
        <w:t>th</w:t>
      </w:r>
      <w:r>
        <w:rPr>
          <w:rFonts w:ascii="Arial" w:cs="Arial" w:eastAsia="Arial" w:hAnsi="Arial"/>
          <w:sz w:val="17"/>
          <w:szCs w:val="17"/>
          <w:color w:val="auto"/>
        </w:rPr>
        <w:t xml:space="preserve"> day of September, 2019 by and among the Pledgee, the Pledgors and Party C.</w:t>
      </w:r>
    </w:p>
    <w:p>
      <w:pPr>
        <w:spacing w:after="0" w:line="129" w:lineRule="exact"/>
        <w:rPr>
          <w:rFonts w:ascii="Arial" w:cs="Arial" w:eastAsia="Arial" w:hAnsi="Arial"/>
          <w:sz w:val="17"/>
          <w:szCs w:val="17"/>
          <w:color w:val="auto"/>
        </w:rPr>
      </w:pPr>
    </w:p>
    <w:p>
      <w:pPr>
        <w:jc w:val="both"/>
        <w:ind w:left="420" w:right="40" w:hanging="420"/>
        <w:spacing w:after="0" w:line="254" w:lineRule="auto"/>
        <w:tabs>
          <w:tab w:leader="none" w:pos="4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For the purpose of guaranteeing the collection by the Pledgee from Party C the service costs under the Exclusive Technical Consultation and Service Agreement and guaranteeing the performance of Individual Agreements (defined below), the Pledgors jointly and severally use all of the equity they hold in Party C as the pledge security for such Agreement, and the Pledgee shall be Party A.</w:t>
      </w:r>
    </w:p>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39" w:lineRule="exact"/>
        <w:rPr>
          <w:sz w:val="20"/>
          <w:szCs w:val="20"/>
          <w:color w:val="auto"/>
        </w:rPr>
      </w:pPr>
    </w:p>
    <w:p>
      <w:pPr>
        <w:ind w:left="860" w:hanging="860"/>
        <w:spacing w:after="0"/>
        <w:tabs>
          <w:tab w:leader="none" w:pos="860" w:val="left"/>
        </w:tabs>
        <w:numPr>
          <w:ilvl w:val="0"/>
          <w:numId w:val="545"/>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shall be interpreted as defined below unless otherwise provided herein: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rPr>
              <w:t xml:space="preserve">Pledge Right </w:t>
            </w:r>
            <w:r>
              <w:rPr>
                <w:rFonts w:ascii="Arial" w:cs="Arial" w:eastAsia="Arial" w:hAnsi="Arial"/>
                <w:sz w:val="17"/>
                <w:szCs w:val="17"/>
                <w:color w:val="auto"/>
              </w:rPr>
              <w:t>shall refer to all the contents as described in Section 2 below.</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89"/>
              </w:rPr>
              <w:t xml:space="preserve">Equity </w:t>
            </w:r>
            <w:r>
              <w:rPr>
                <w:rFonts w:ascii="Arial" w:cs="Arial" w:eastAsia="Arial" w:hAnsi="Arial"/>
                <w:sz w:val="17"/>
                <w:szCs w:val="17"/>
                <w:color w:val="auto"/>
                <w:w w:val="89"/>
              </w:rPr>
              <w:t>shall refer to the one hundred (100) percent of the equity legally held by the Pledgors as a whole and any and all the current and future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rights and benefits arising out of the foregoing.</w:t>
            </w:r>
          </w:p>
        </w:tc>
      </w:tr>
      <w:tr>
        <w:trPr>
          <w:trHeight w:val="598"/>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1</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486" w:name="page487"/>
    <w:bookmarkEnd w:id="486"/>
    <w:tbl>
      <w:tblPr>
        <w:tblLayout w:type="fixed"/>
        <w:tblInd w:w="860" w:type="dxa"/>
        <w:tblCellMar>
          <w:top w:w="0" w:type="dxa"/>
          <w:left w:w="0" w:type="dxa"/>
          <w:bottom w:w="0" w:type="dxa"/>
          <w:right w:w="0" w:type="dxa"/>
        </w:tblCellMar>
      </w:tblPr>
      <w:tr>
        <w:trPr>
          <w:trHeight w:val="203"/>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840" w:type="dxa"/>
            <w:vAlign w:val="bottom"/>
          </w:tcPr>
          <w:p>
            <w:pPr>
              <w:ind w:left="320"/>
              <w:spacing w:after="0"/>
              <w:rPr>
                <w:sz w:val="20"/>
                <w:szCs w:val="20"/>
                <w:color w:val="auto"/>
              </w:rPr>
            </w:pPr>
            <w:r>
              <w:rPr>
                <w:rFonts w:ascii="Arial" w:cs="Arial" w:eastAsia="Arial" w:hAnsi="Arial"/>
                <w:sz w:val="17"/>
                <w:szCs w:val="17"/>
                <w:b w:val="1"/>
                <w:bCs w:val="1"/>
                <w:color w:val="auto"/>
                <w:w w:val="90"/>
              </w:rPr>
              <w:t xml:space="preserve">Individual Agreements </w:t>
            </w:r>
            <w:r>
              <w:rPr>
                <w:rFonts w:ascii="Arial" w:cs="Arial" w:eastAsia="Arial" w:hAnsi="Arial"/>
                <w:sz w:val="17"/>
                <w:szCs w:val="17"/>
                <w:color w:val="auto"/>
                <w:w w:val="90"/>
              </w:rPr>
              <w:t>shall refer to the Exclusive Technical Consultation and Service Agreement, the Business Operation Agreement and</w:t>
            </w:r>
          </w:p>
        </w:tc>
      </w:tr>
      <w:tr>
        <w:trPr>
          <w:trHeight w:val="213"/>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the Option Agreement made as of the 10</w:t>
            </w:r>
            <w:r>
              <w:rPr>
                <w:rFonts w:ascii="Arial" w:cs="Arial" w:eastAsia="Arial" w:hAnsi="Arial"/>
                <w:sz w:val="14"/>
                <w:szCs w:val="14"/>
                <w:color w:val="auto"/>
              </w:rPr>
              <w:t>th</w:t>
            </w:r>
            <w:r>
              <w:rPr>
                <w:rFonts w:ascii="Arial" w:cs="Arial" w:eastAsia="Arial" w:hAnsi="Arial"/>
                <w:sz w:val="17"/>
                <w:szCs w:val="17"/>
                <w:color w:val="auto"/>
              </w:rPr>
              <w:t xml:space="preserve"> day of September, 2019 by and among the Pledgee, Party C and other parties.</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840" w:type="dxa"/>
            <w:vAlign w:val="bottom"/>
          </w:tcPr>
          <w:p>
            <w:pPr>
              <w:ind w:left="320"/>
              <w:spacing w:after="0"/>
              <w:rPr>
                <w:sz w:val="20"/>
                <w:szCs w:val="20"/>
                <w:color w:val="auto"/>
              </w:rPr>
            </w:pPr>
            <w:r>
              <w:rPr>
                <w:rFonts w:ascii="Arial" w:cs="Arial" w:eastAsia="Arial" w:hAnsi="Arial"/>
                <w:sz w:val="17"/>
                <w:szCs w:val="17"/>
                <w:b w:val="1"/>
                <w:bCs w:val="1"/>
                <w:color w:val="auto"/>
              </w:rPr>
              <w:t xml:space="preserve">A Default Event </w:t>
            </w:r>
            <w:r>
              <w:rPr>
                <w:rFonts w:ascii="Arial" w:cs="Arial" w:eastAsia="Arial" w:hAnsi="Arial"/>
                <w:sz w:val="17"/>
                <w:szCs w:val="17"/>
                <w:color w:val="auto"/>
              </w:rPr>
              <w:t>shall refer to any of the circumstances described in Section 7 below.</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840" w:type="dxa"/>
            <w:vAlign w:val="bottom"/>
          </w:tcPr>
          <w:p>
            <w:pPr>
              <w:ind w:left="320"/>
              <w:spacing w:after="0"/>
              <w:rPr>
                <w:sz w:val="20"/>
                <w:szCs w:val="20"/>
                <w:color w:val="auto"/>
              </w:rPr>
            </w:pPr>
            <w:r>
              <w:rPr>
                <w:rFonts w:ascii="Arial" w:cs="Arial" w:eastAsia="Arial" w:hAnsi="Arial"/>
                <w:sz w:val="17"/>
                <w:szCs w:val="17"/>
                <w:b w:val="1"/>
                <w:bCs w:val="1"/>
                <w:color w:val="auto"/>
              </w:rPr>
              <w:t xml:space="preserve">Default Notice </w:t>
            </w:r>
            <w:r>
              <w:rPr>
                <w:rFonts w:ascii="Arial" w:cs="Arial" w:eastAsia="Arial" w:hAnsi="Arial"/>
                <w:sz w:val="17"/>
                <w:szCs w:val="17"/>
                <w:color w:val="auto"/>
              </w:rPr>
              <w:t>shall refer to a notice declaring a Default Event which is issued by a Pledgor pursuant to this Agreement.</w:t>
            </w:r>
          </w:p>
        </w:tc>
      </w:tr>
    </w:tbl>
    <w:p>
      <w:pPr>
        <w:spacing w:after="0" w:line="170" w:lineRule="exact"/>
        <w:rPr>
          <w:sz w:val="20"/>
          <w:szCs w:val="20"/>
          <w:color w:val="auto"/>
        </w:rPr>
      </w:pPr>
    </w:p>
    <w:p>
      <w:pPr>
        <w:ind w:left="860" w:hanging="860"/>
        <w:spacing w:after="0"/>
        <w:tabs>
          <w:tab w:leader="none" w:pos="860" w:val="left"/>
        </w:tabs>
        <w:numPr>
          <w:ilvl w:val="0"/>
          <w:numId w:val="546"/>
        </w:numPr>
        <w:rPr>
          <w:rFonts w:ascii="Arial" w:cs="Arial" w:eastAsia="Arial" w:hAnsi="Arial"/>
          <w:sz w:val="17"/>
          <w:szCs w:val="17"/>
          <w:b w:val="1"/>
          <w:bCs w:val="1"/>
          <w:color w:val="auto"/>
        </w:rPr>
      </w:pPr>
      <w:r>
        <w:rPr>
          <w:rFonts w:ascii="Arial" w:cs="Arial" w:eastAsia="Arial" w:hAnsi="Arial"/>
          <w:sz w:val="17"/>
          <w:szCs w:val="17"/>
          <w:b w:val="1"/>
          <w:bCs w:val="1"/>
          <w:color w:val="auto"/>
        </w:rPr>
        <w:t>Pledge</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Pledgors pledge to the Pledgee as the security of the Pledgee’s rights and benefits under the Individual Agreements all the Equity owned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by the Pledgors and the dividends which arise from the Equity during the effective term of this 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scope guaranteed by the pledge of the Equity hereunder shall be all fees, costs and expenses (including legal costs) payable by Party C</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and/or the Pledgors, and the losses, interest, liquidated damages, compensation, the costs for realizing the claims, and the liability that Party C</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and/or the Pledgors shall bear in case of entire or partial invalidation of any of Individual Agreements for any reason.</w:t>
            </w:r>
          </w:p>
        </w:tc>
      </w:tr>
    </w:tbl>
    <w:p>
      <w:pPr>
        <w:spacing w:after="0" w:line="149" w:lineRule="exact"/>
        <w:rPr>
          <w:sz w:val="20"/>
          <w:szCs w:val="20"/>
          <w:color w:val="auto"/>
        </w:rPr>
      </w:pPr>
    </w:p>
    <w:p>
      <w:pPr>
        <w:jc w:val="both"/>
        <w:ind w:left="860" w:right="40"/>
        <w:spacing w:after="0" w:line="269" w:lineRule="auto"/>
        <w:rPr>
          <w:sz w:val="20"/>
          <w:szCs w:val="20"/>
          <w:color w:val="auto"/>
        </w:rPr>
      </w:pPr>
      <w:r>
        <w:rPr>
          <w:rFonts w:ascii="Arial" w:cs="Arial" w:eastAsia="Arial" w:hAnsi="Arial"/>
          <w:sz w:val="16"/>
          <w:szCs w:val="16"/>
          <w:color w:val="auto"/>
        </w:rPr>
        <w:t>In case the competent industrial and commercial administration expressly requires a definite amount of the guaranteed claims during the handling of the Equity pledge registration process, the parties hereto agree, for the sole purpose of handling the Equity pledge registration, to register as the amount of the claims under the Individual Agreements CNY 5,000,000 and any and all breach-of-contract liability and damages under the related agreements. The parties further acknowledge that for the purpose of handling the Equity pledge registration, the foregoing amount shall not diminish or limit any rights or interest that Party A has under the Individual Agreements and this Equity Pledge Agreement.</w:t>
      </w:r>
    </w:p>
    <w:p>
      <w:pPr>
        <w:spacing w:after="0" w:line="14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The Pledge Rights hereunder shall refer to the rights for the Pledgee to be paid from in priority the money gained from the conversion into</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money, auction or sale of the Equity pledged by the Pledgors to the Pledgee.</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After this Agreement takes effect, unless expressly agreed by the Pledgee in writing, the pledge hereunder may be relieved only after Party C</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and the Pledgors have properly and fully performed all of their obligations under the Individual Agreements and the performance thereof has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been recognized by the Pledgee in writing. In case Party C or any of the Pledgors fails to fully perform any of its obligations under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Individual Agreements upon expiration of the period described thereunder, the Pledgors shall still has the Pledge Rights herein; and the pledge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will be relieved until the foregoing obligations and liability have been fully performed to the Pledgee’s satisfaction.</w:t>
            </w:r>
          </w:p>
        </w:tc>
      </w:tr>
    </w:tbl>
    <w:p>
      <w:pPr>
        <w:spacing w:after="0" w:line="145" w:lineRule="exact"/>
        <w:rPr>
          <w:sz w:val="20"/>
          <w:szCs w:val="20"/>
          <w:color w:val="auto"/>
        </w:rPr>
      </w:pPr>
    </w:p>
    <w:p>
      <w:pPr>
        <w:ind w:left="860" w:hanging="860"/>
        <w:spacing w:after="0"/>
        <w:tabs>
          <w:tab w:leader="none" w:pos="860" w:val="left"/>
        </w:tabs>
        <w:numPr>
          <w:ilvl w:val="0"/>
          <w:numId w:val="547"/>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This Agreement shall be formed and take effect as of the date of being signed and/or sealed by the parties hereto. The Pledge Rights hereunder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shall be set up and take effect as of the date when the registration formalities regarding the Equity pledge have been completed at Party C’s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competent industrial and commercial administration.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During the effective term of this Agreement, in case Party C fails to pay the service costs subject to the Exclusive Technical Consultation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Service Agreement or perform any other obligations thereunder, the Pledgee shall have the right to exercise the Pledge Rights hereunder after</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issuing a reasonable notice.</w:t>
            </w:r>
          </w:p>
        </w:tc>
      </w:tr>
    </w:tbl>
    <w:p>
      <w:pPr>
        <w:spacing w:after="0" w:line="145" w:lineRule="exact"/>
        <w:rPr>
          <w:sz w:val="20"/>
          <w:szCs w:val="20"/>
          <w:color w:val="auto"/>
        </w:rPr>
      </w:pPr>
    </w:p>
    <w:p>
      <w:pPr>
        <w:ind w:left="860" w:hanging="860"/>
        <w:spacing w:after="0"/>
        <w:tabs>
          <w:tab w:leader="none" w:pos="860" w:val="left"/>
        </w:tabs>
        <w:numPr>
          <w:ilvl w:val="0"/>
          <w:numId w:val="548"/>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and Custody of the Pledge Rights Receipts; Registration of Pledge Rights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The Pledgors shall, within Ten (10) business days after the execution of this Agreement or any other date mutually negotiated and fixed by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Parties hereto, deliver to the Pledgee the Equity Contribution Certificate (Original) for the pledge’s custody, submit to the Pledgee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certification</w:t>
            </w:r>
          </w:p>
        </w:tc>
      </w:tr>
      <w:tr>
        <w:trPr>
          <w:trHeight w:val="585"/>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4" w:right="299" w:bottom="1440" w:gutter="0" w:footer="0" w:header="0"/>
        </w:sectPr>
      </w:pPr>
    </w:p>
    <w:bookmarkStart w:id="487" w:name="page488"/>
    <w:bookmarkEnd w:id="487"/>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that the pledge hereunder has been properly registered in Party C’s Shareholders’ Register, and handle any and all examinations and approvals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and registration and filing formalities (including but not limited to, handling the Equity pledge registration formalities at Party C’s competent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industrial and commercial administration subject to the laws of China) required by the laws and regulations of China.</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change of particulars and the registration needs to be legally changed accordingly, the Pledgee and the Pledgors shall, within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Five (5) business days as of the date of change of particulars, carry out the change of registration accordingly, submit the applicable change of</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registration documents and handle the applicable change registration formalities at Party C’s competent industrial and commercial</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administration.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During the Equity pledge period, the Pledgors shall instruct Party C not to distribute any dividend or bonus or approve any profit distribution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program; or in case the Pledgors shall obtain any economic interest of any nature from the pledged Equity other than dividend or bonus or any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other profit distribution program, the Pledgors shall remit, as required and instructed by the Pledgee, to the banking account specified by the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Pledgee the applicable (realized) amount, which shall not be used by the Pledgors without the Pledgee’s prior written consent.</w:t>
            </w:r>
          </w:p>
        </w:tc>
      </w:tr>
      <w:tr>
        <w:trPr>
          <w:trHeight w:val="345"/>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During the Equity pledge period, in case the any of the Pledgors subscribe for or purchase any of Party C’s new registered capital or any of</w:t>
            </w:r>
          </w:p>
        </w:tc>
      </w:tr>
      <w:tr>
        <w:trPr>
          <w:trHeight w:val="203"/>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Party C’s Equity held by any other Pledgor (the “</w:t>
            </w:r>
            <w:r>
              <w:rPr>
                <w:rFonts w:ascii="Arial" w:cs="Arial" w:eastAsia="Arial" w:hAnsi="Arial"/>
                <w:sz w:val="17"/>
                <w:szCs w:val="17"/>
                <w:b w:val="1"/>
                <w:bCs w:val="1"/>
                <w:color w:val="auto"/>
                <w:w w:val="95"/>
              </w:rPr>
              <w:t>New Equity</w:t>
            </w:r>
            <w:r>
              <w:rPr>
                <w:rFonts w:ascii="Arial" w:cs="Arial" w:eastAsia="Arial" w:hAnsi="Arial"/>
                <w:sz w:val="17"/>
                <w:szCs w:val="17"/>
                <w:color w:val="auto"/>
                <w:w w:val="95"/>
              </w:rPr>
              <w:t>”), the New Equity will then automatically form part of the pledged Equity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hereunder, and such Pledgor shall complete any and all formalities regarding the pledge of the New Equity within Ten (10) business days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following its acquisition of the New Equity. In case the Pledgor fails to complete the applicable formalities as required in the preceding</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sentence, the Pledgee may promptly have the Pledge Rights realized pursuant to Section 8 below.</w:t>
            </w:r>
          </w:p>
        </w:tc>
      </w:tr>
    </w:tbl>
    <w:p>
      <w:pPr>
        <w:spacing w:after="0" w:line="145" w:lineRule="exact"/>
        <w:rPr>
          <w:sz w:val="20"/>
          <w:szCs w:val="20"/>
          <w:color w:val="auto"/>
        </w:rPr>
      </w:pPr>
    </w:p>
    <w:p>
      <w:pPr>
        <w:ind w:left="860" w:hanging="860"/>
        <w:spacing w:after="0"/>
        <w:tabs>
          <w:tab w:leader="none" w:pos="860" w:val="left"/>
        </w:tabs>
        <w:numPr>
          <w:ilvl w:val="0"/>
          <w:numId w:val="549"/>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Pledgors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Upon the execution of this Agreement, the Pledgors make to the Pledgee the following representations and warranties and confirm that this Agreement is signed and performed by the Pledgee by them in reliance of such representations and warranties: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9"/>
              </w:rPr>
              <w:t>The Pledgors lawfully hold the Equity hereunder and have the right to use such Equity to provide pledge security to the Pledgee.</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After this Agreement is executed, during the period when the Pledgee has the Pledge Rights subject to Section 2.4 above, when the Pledgee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exercises, at any time, its rights or has the Pledge Rights realized pursuant to this Agreement, there shall be no lawful claim or proper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intervention from or by any third party.</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5.3</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The Pledgee shall have the right to exercise the Pledge Rights as per the method described herein or otherwise permitted by the laws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regulations.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5.4</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The Pledgors have obtained all necessary corporate authorization to sign this Agreement and perform its obligations hereunder, which does not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violate any provisions of any applicable laws and regulations. The authorized representative signatories of this Agreement have obtained legal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effective authorization.</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5.5</w:t>
            </w: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There is no encumbrance or security interest of any nature for any third person (including but not limited to pledge) except for the pledge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hereunder in connection with the Equity held by the Pledgors.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5.6</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There are no pending or threatened civil, administrative or criminal proceedings, administrative punishment or arbitration in connection with</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the Equity.</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5.7</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There are no tax or fee due but unpaid, or legal procedures or formalities that should have been completed but have not been completed, in</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connection with the Equity.</w:t>
            </w:r>
          </w:p>
        </w:tc>
      </w:tr>
      <w:tr>
        <w:trPr>
          <w:trHeight w:val="585"/>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3</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488" w:name="page489"/>
    <w:bookmarkEnd w:id="488"/>
    <w:p>
      <w:pPr>
        <w:ind w:left="860"/>
        <w:spacing w:after="0"/>
        <w:tabs>
          <w:tab w:leader="none" w:pos="170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5"/>
          <w:szCs w:val="15"/>
          <w:color w:val="auto"/>
        </w:rPr>
        <w:t>Any and all provisions hereof are the expression of the Pledgors’ true intention and are binding upon the Pledgors.</w:t>
      </w:r>
    </w:p>
    <w:p>
      <w:pPr>
        <w:spacing w:after="0" w:line="187" w:lineRule="exact"/>
        <w:rPr>
          <w:sz w:val="20"/>
          <w:szCs w:val="20"/>
          <w:color w:val="auto"/>
        </w:rPr>
      </w:pPr>
    </w:p>
    <w:p>
      <w:pPr>
        <w:ind w:left="860" w:hanging="860"/>
        <w:spacing w:after="0"/>
        <w:tabs>
          <w:tab w:leader="none" w:pos="860" w:val="left"/>
        </w:tabs>
        <w:numPr>
          <w:ilvl w:val="0"/>
          <w:numId w:val="550"/>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 of the Pledgors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6.1</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During the effective term of this Agreement, the Pledgors undertake to the Pledgee that the Pledgors:</w:t>
            </w:r>
          </w:p>
        </w:tc>
      </w:tr>
      <w:tr>
        <w:trPr>
          <w:trHeight w:val="374"/>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6.1.1</w:t>
            </w:r>
          </w:p>
        </w:tc>
        <w:tc>
          <w:tcPr>
            <w:tcW w:w="8960" w:type="dxa"/>
            <w:vAlign w:val="bottom"/>
          </w:tcPr>
          <w:p>
            <w:pPr>
              <w:ind w:left="260"/>
              <w:spacing w:after="0"/>
              <w:rPr>
                <w:sz w:val="20"/>
                <w:szCs w:val="20"/>
                <w:color w:val="auto"/>
              </w:rPr>
            </w:pPr>
            <w:r>
              <w:rPr>
                <w:rFonts w:ascii="Arial" w:cs="Arial" w:eastAsia="Arial" w:hAnsi="Arial"/>
                <w:sz w:val="17"/>
                <w:szCs w:val="17"/>
                <w:color w:val="auto"/>
                <w:w w:val="89"/>
              </w:rPr>
              <w:t>Except for the transfer of the Equity to the Pledgee or any other person specified by the Pledgee as required by the Pledgee, prior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to the full performance of their obligations thereunder, without the Pledgee’s prior written consent, will not transfer the Equity 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88"/>
              </w:rPr>
              <w:t>create, or permit, any pledge or any other encumbrance that may affect the Pledgee’s rights or interest or any third-person security</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interest of any form. Without the Pledgee’s prior written consent, the Pledgors shall not take any action which will or may result</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in change to the Equity or any rights incidental to the Equity, which will or may then result in substantially adverse effects upon</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the Pledgee’s rights.</w:t>
            </w:r>
          </w:p>
        </w:tc>
      </w:tr>
      <w:tr>
        <w:trPr>
          <w:trHeight w:val="349"/>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6.1.2</w:t>
            </w:r>
          </w:p>
        </w:tc>
        <w:tc>
          <w:tcPr>
            <w:tcW w:w="8960" w:type="dxa"/>
            <w:vAlign w:val="bottom"/>
          </w:tcPr>
          <w:p>
            <w:pPr>
              <w:ind w:left="260"/>
              <w:spacing w:after="0"/>
              <w:rPr>
                <w:sz w:val="20"/>
                <w:szCs w:val="20"/>
                <w:color w:val="auto"/>
              </w:rPr>
            </w:pPr>
            <w:r>
              <w:rPr>
                <w:rFonts w:ascii="Arial" w:cs="Arial" w:eastAsia="Arial" w:hAnsi="Arial"/>
                <w:sz w:val="17"/>
                <w:szCs w:val="17"/>
                <w:color w:val="auto"/>
                <w:w w:val="90"/>
              </w:rPr>
              <w:t>Comply with and implement the provisions of all applicable laws and regulations, and within Five (5) business days upon receipt</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of any notice, order or suggestion issued or prepared by the relevant competent authority in connection with the Pledge Rights,</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produce to the Pledgee such notice, order or suggestion and take action as reasonably instructed by the Pledgee.</w:t>
            </w:r>
          </w:p>
        </w:tc>
      </w:tr>
      <w:tr>
        <w:trPr>
          <w:trHeight w:val="349"/>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6.1.3</w:t>
            </w:r>
          </w:p>
        </w:tc>
        <w:tc>
          <w:tcPr>
            <w:tcW w:w="8960" w:type="dxa"/>
            <w:vAlign w:val="bottom"/>
          </w:tcPr>
          <w:p>
            <w:pPr>
              <w:ind w:left="260"/>
              <w:spacing w:after="0"/>
              <w:rPr>
                <w:sz w:val="20"/>
                <w:szCs w:val="20"/>
                <w:color w:val="auto"/>
              </w:rPr>
            </w:pPr>
            <w:r>
              <w:rPr>
                <w:rFonts w:ascii="Arial" w:cs="Arial" w:eastAsia="Arial" w:hAnsi="Arial"/>
                <w:sz w:val="17"/>
                <w:szCs w:val="17"/>
                <w:color w:val="auto"/>
                <w:w w:val="89"/>
              </w:rPr>
              <w:t>Timely notify the Pledgee any event or notice received that may affect the Pledgors’ Equity or other rights hereunder, any event 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3"/>
              </w:rPr>
              <w:t>notice received that may affect any of the Pledgors’ obligations hereunder or affect the Pledgors’ performance of any of their</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obligations hereunder, and take action as reasonably instructed by the Pledgee.</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6.2</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agree that they will procure that the exercise by the Pledgee of any of its rights pursuant to the provisions of this Agreement will</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not be interrupted or prevented by the Pledgors or their successors or assignees or any other persons.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6.3</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The Pledgors warrant to the Pledgee that for the purpose of protecting or perfecting the security of the Pledgors and/or Party C’s obligations</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4"/>
              </w:rPr>
              <w:t>under the Individual Agreements, the Pledgors will make all necessary amendments to Party C’s Articles of Association (if applicable),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honestly sign, and procure any other persons who has interest in Pledge Rights to sign all title or right certificates and deeds as requested by</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2"/>
              </w:rPr>
              <w:t>the Pledgee, and/or perform, and procure any other persons who has interest therein to perform, the acts as reasonably requested by the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Pledgee, facilitate the exercise by the Pledgee of the Pledge Rights, sign all documents related to the Equity certificate change with the Pledgee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1"/>
              </w:rPr>
              <w:t>or any third party appointed by the Pledgee, and provide to the Pledgee within a reasonable period all the documents related to the Pledge</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Rights as needed by the Pledgee.</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6.4</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warrant to the Pledgee that for the protection of the Pledgee’s interest, the Pledgors will comply with and perform all warranties,</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undertaking, covenants and representations. In case the Pledgors fail to perform, or partially perform, their warranties, undertaking, covenants</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8"/>
              </w:rPr>
              <w:t>or representations, the Pledgors shall indemnify all the loss suffered by the Pledgee arising out thereof or in connection therewith.</w:t>
            </w:r>
          </w:p>
        </w:tc>
      </w:tr>
      <w:tr>
        <w:trPr>
          <w:trHeight w:val="598"/>
        </w:trPr>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60" w:type="dxa"/>
            <w:vAlign w:val="bottom"/>
          </w:tcPr>
          <w:p>
            <w:pPr>
              <w:ind w:left="3260"/>
              <w:spacing w:after="0"/>
              <w:rPr>
                <w:sz w:val="20"/>
                <w:szCs w:val="20"/>
                <w:color w:val="auto"/>
              </w:rPr>
            </w:pPr>
            <w:r>
              <w:rPr>
                <w:rFonts w:ascii="Arial" w:cs="Arial" w:eastAsia="Arial" w:hAnsi="Arial"/>
                <w:sz w:val="17"/>
                <w:szCs w:val="17"/>
                <w:color w:val="auto"/>
              </w:rPr>
              <w:t>4</w:t>
            </w:r>
          </w:p>
        </w:tc>
      </w:tr>
      <w:tr>
        <w:trPr>
          <w:trHeight w:val="104"/>
        </w:trPr>
        <w:tc>
          <w:tcPr>
            <w:tcW w:w="1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489" w:name="page490"/>
    <w:bookmarkEnd w:id="489"/>
    <w:p>
      <w:pPr>
        <w:ind w:left="860" w:hanging="860"/>
        <w:spacing w:after="0"/>
        <w:tabs>
          <w:tab w:leader="none" w:pos="860" w:val="left"/>
        </w:tabs>
        <w:numPr>
          <w:ilvl w:val="0"/>
          <w:numId w:val="551"/>
        </w:numPr>
        <w:rPr>
          <w:rFonts w:ascii="Arial" w:cs="Arial" w:eastAsia="Arial" w:hAnsi="Arial"/>
          <w:sz w:val="17"/>
          <w:szCs w:val="17"/>
          <w:b w:val="1"/>
          <w:bCs w:val="1"/>
          <w:color w:val="auto"/>
        </w:rPr>
      </w:pPr>
      <w:r>
        <w:rPr>
          <w:rFonts w:ascii="Arial" w:cs="Arial" w:eastAsia="Arial" w:hAnsi="Arial"/>
          <w:sz w:val="17"/>
          <w:szCs w:val="17"/>
          <w:b w:val="1"/>
          <w:bCs w:val="1"/>
          <w:color w:val="auto"/>
        </w:rPr>
        <w:t>Default Event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7.1</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Any of the following events will be deemed to be a Default Event:</w:t>
            </w:r>
          </w:p>
        </w:tc>
      </w:tr>
      <w:tr>
        <w:trPr>
          <w:trHeight w:val="374"/>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w:t>
            </w:r>
          </w:p>
        </w:tc>
        <w:tc>
          <w:tcPr>
            <w:tcW w:w="8920" w:type="dxa"/>
            <w:vAlign w:val="bottom"/>
          </w:tcPr>
          <w:p>
            <w:pPr>
              <w:ind w:left="220"/>
              <w:spacing w:after="0"/>
              <w:rPr>
                <w:sz w:val="20"/>
                <w:szCs w:val="20"/>
                <w:color w:val="auto"/>
              </w:rPr>
            </w:pPr>
            <w:r>
              <w:rPr>
                <w:rFonts w:ascii="Arial" w:cs="Arial" w:eastAsia="Arial" w:hAnsi="Arial"/>
                <w:sz w:val="17"/>
                <w:szCs w:val="17"/>
                <w:color w:val="auto"/>
                <w:w w:val="88"/>
              </w:rPr>
              <w:t>Party C or any of its successors or assignees fails to fully pay on schedule any amounts payable under the Individual Agreements,</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w w:val="96"/>
              </w:rPr>
              <w:t>or the Pledgors or their successors or assignees fail to perform any of their obligations under the Individual Agreements.</w:t>
            </w:r>
          </w:p>
        </w:tc>
      </w:tr>
      <w:tr>
        <w:trPr>
          <w:trHeight w:val="34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7.1.2</w:t>
            </w:r>
          </w:p>
        </w:tc>
        <w:tc>
          <w:tcPr>
            <w:tcW w:w="8920" w:type="dxa"/>
            <w:vAlign w:val="bottom"/>
          </w:tcPr>
          <w:p>
            <w:pPr>
              <w:ind w:left="220"/>
              <w:spacing w:after="0"/>
              <w:rPr>
                <w:sz w:val="20"/>
                <w:szCs w:val="20"/>
                <w:color w:val="auto"/>
              </w:rPr>
            </w:pPr>
            <w:r>
              <w:rPr>
                <w:rFonts w:ascii="Arial" w:cs="Arial" w:eastAsia="Arial" w:hAnsi="Arial"/>
                <w:sz w:val="17"/>
                <w:szCs w:val="17"/>
                <w:color w:val="auto"/>
                <w:w w:val="93"/>
              </w:rPr>
              <w:t>Any representation, warranty or undertaking made by the Pledgors under Section 5 or 6 above is substantially misleading or</w:t>
            </w:r>
          </w:p>
        </w:tc>
      </w:tr>
      <w:tr>
        <w:trPr>
          <w:trHeight w:val="199"/>
        </w:trPr>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w w:val="91"/>
              </w:rPr>
              <w:t>incorrect, and/or the Pledgors violates any representation, warranty or undertaking made by the Pledgors under Section 5 or 6</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above.</w:t>
            </w:r>
          </w:p>
        </w:tc>
      </w:tr>
      <w:tr>
        <w:trPr>
          <w:trHeight w:val="361"/>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7.1.3</w:t>
            </w:r>
          </w:p>
        </w:tc>
        <w:tc>
          <w:tcPr>
            <w:tcW w:w="8920" w:type="dxa"/>
            <w:vAlign w:val="bottom"/>
          </w:tcPr>
          <w:p>
            <w:pPr>
              <w:ind w:left="220"/>
              <w:spacing w:after="0"/>
              <w:rPr>
                <w:sz w:val="20"/>
                <w:szCs w:val="20"/>
                <w:color w:val="auto"/>
              </w:rPr>
            </w:pPr>
            <w:r>
              <w:rPr>
                <w:rFonts w:ascii="Arial" w:cs="Arial" w:eastAsia="Arial" w:hAnsi="Arial"/>
                <w:sz w:val="17"/>
                <w:szCs w:val="17"/>
                <w:color w:val="auto"/>
              </w:rPr>
              <w:t>The Pledgors or Party C violates any provision of this Agreement.</w:t>
            </w:r>
          </w:p>
        </w:tc>
      </w:tr>
      <w:tr>
        <w:trPr>
          <w:trHeight w:val="374"/>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7.1.4</w:t>
            </w:r>
          </w:p>
        </w:tc>
        <w:tc>
          <w:tcPr>
            <w:tcW w:w="8920" w:type="dxa"/>
            <w:vAlign w:val="bottom"/>
          </w:tcPr>
          <w:p>
            <w:pPr>
              <w:ind w:left="220"/>
              <w:spacing w:after="0"/>
              <w:rPr>
                <w:sz w:val="20"/>
                <w:szCs w:val="20"/>
                <w:color w:val="auto"/>
              </w:rPr>
            </w:pPr>
            <w:r>
              <w:rPr>
                <w:rFonts w:ascii="Arial" w:cs="Arial" w:eastAsia="Arial" w:hAnsi="Arial"/>
                <w:sz w:val="17"/>
                <w:szCs w:val="17"/>
                <w:color w:val="auto"/>
                <w:w w:val="92"/>
              </w:rPr>
              <w:t>Except as otherwise agreed in Section 6.1.1 above, the Pledgors transfer or otherwise dispose the pledged Equity without the</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Pledgee’s written consent.</w:t>
            </w:r>
          </w:p>
        </w:tc>
      </w:tr>
      <w:tr>
        <w:trPr>
          <w:trHeight w:val="34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7.1.5</w:t>
            </w:r>
          </w:p>
        </w:tc>
        <w:tc>
          <w:tcPr>
            <w:tcW w:w="8920" w:type="dxa"/>
            <w:vAlign w:val="bottom"/>
          </w:tcPr>
          <w:p>
            <w:pPr>
              <w:ind w:left="220"/>
              <w:spacing w:after="0"/>
              <w:rPr>
                <w:sz w:val="20"/>
                <w:szCs w:val="20"/>
                <w:color w:val="auto"/>
              </w:rPr>
            </w:pPr>
            <w:r>
              <w:rPr>
                <w:rFonts w:ascii="Arial" w:cs="Arial" w:eastAsia="Arial" w:hAnsi="Arial"/>
                <w:sz w:val="17"/>
                <w:szCs w:val="17"/>
                <w:color w:val="auto"/>
                <w:w w:val="96"/>
              </w:rPr>
              <w:t>Any of the Pledgors’ external borrowings, security, compensation, undertaking or other debt or liability shall be repaid or</w:t>
            </w:r>
          </w:p>
        </w:tc>
      </w:tr>
      <w:tr>
        <w:trPr>
          <w:trHeight w:val="199"/>
        </w:trPr>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w w:val="89"/>
              </w:rPr>
              <w:t>performed in advance or is due but cannot be repaid or performed on schedule, which makes the Pledgee reasonably believe that</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the Pledgors’ ability to perform any of their obligations is affected, which further affect the Pledgee’s interest.</w:t>
            </w:r>
          </w:p>
        </w:tc>
      </w:tr>
      <w:tr>
        <w:trPr>
          <w:trHeight w:val="361"/>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7.1.6</w:t>
            </w:r>
          </w:p>
        </w:tc>
        <w:tc>
          <w:tcPr>
            <w:tcW w:w="8920" w:type="dxa"/>
            <w:vAlign w:val="bottom"/>
          </w:tcPr>
          <w:p>
            <w:pPr>
              <w:ind w:left="220"/>
              <w:spacing w:after="0"/>
              <w:rPr>
                <w:sz w:val="20"/>
                <w:szCs w:val="20"/>
                <w:color w:val="auto"/>
              </w:rPr>
            </w:pPr>
            <w:r>
              <w:rPr>
                <w:rFonts w:ascii="Arial" w:cs="Arial" w:eastAsia="Arial" w:hAnsi="Arial"/>
                <w:sz w:val="17"/>
                <w:szCs w:val="17"/>
                <w:color w:val="auto"/>
              </w:rPr>
              <w:t>The Pledgors cannot perform any of their general debt or other debt, which further affects the Pledgee’s interest.</w:t>
            </w:r>
          </w:p>
        </w:tc>
      </w:tr>
      <w:tr>
        <w:trPr>
          <w:trHeight w:val="374"/>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7.1.7</w:t>
            </w:r>
          </w:p>
        </w:tc>
        <w:tc>
          <w:tcPr>
            <w:tcW w:w="8920" w:type="dxa"/>
            <w:vAlign w:val="bottom"/>
          </w:tcPr>
          <w:p>
            <w:pPr>
              <w:ind w:left="220"/>
              <w:spacing w:after="0"/>
              <w:rPr>
                <w:sz w:val="20"/>
                <w:szCs w:val="20"/>
                <w:color w:val="auto"/>
              </w:rPr>
            </w:pPr>
            <w:r>
              <w:rPr>
                <w:rFonts w:ascii="Arial" w:cs="Arial" w:eastAsia="Arial" w:hAnsi="Arial"/>
                <w:sz w:val="17"/>
                <w:szCs w:val="17"/>
                <w:color w:val="auto"/>
                <w:w w:val="91"/>
              </w:rPr>
              <w:t>The promulgation of any law results in invalidation of this Agreement or inability of the Pledgors to continuously perform any of</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their obligations hereunder.</w:t>
            </w:r>
          </w:p>
        </w:tc>
      </w:tr>
      <w:tr>
        <w:trPr>
          <w:trHeight w:val="34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7.1.8</w:t>
            </w:r>
          </w:p>
        </w:tc>
        <w:tc>
          <w:tcPr>
            <w:tcW w:w="8920" w:type="dxa"/>
            <w:vAlign w:val="bottom"/>
          </w:tcPr>
          <w:p>
            <w:pPr>
              <w:ind w:left="220"/>
              <w:spacing w:after="0"/>
              <w:rPr>
                <w:sz w:val="20"/>
                <w:szCs w:val="20"/>
                <w:color w:val="auto"/>
              </w:rPr>
            </w:pPr>
            <w:r>
              <w:rPr>
                <w:rFonts w:ascii="Arial" w:cs="Arial" w:eastAsia="Arial" w:hAnsi="Arial"/>
                <w:sz w:val="17"/>
                <w:szCs w:val="17"/>
                <w:color w:val="auto"/>
                <w:w w:val="92"/>
              </w:rPr>
              <w:t>The consent, permit, approval or authorization of any governmental department necessary to legalize, validate or enforce this</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Agreement is withdrawn, suspended, invalidated or substantially amended.</w:t>
            </w:r>
          </w:p>
        </w:tc>
      </w:tr>
      <w:tr>
        <w:trPr>
          <w:trHeight w:val="34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7.1.9</w:t>
            </w:r>
          </w:p>
        </w:tc>
        <w:tc>
          <w:tcPr>
            <w:tcW w:w="8920" w:type="dxa"/>
            <w:vAlign w:val="bottom"/>
          </w:tcPr>
          <w:p>
            <w:pPr>
              <w:ind w:left="220"/>
              <w:spacing w:after="0"/>
              <w:rPr>
                <w:sz w:val="20"/>
                <w:szCs w:val="20"/>
                <w:color w:val="auto"/>
              </w:rPr>
            </w:pPr>
            <w:r>
              <w:rPr>
                <w:rFonts w:ascii="Arial" w:cs="Arial" w:eastAsia="Arial" w:hAnsi="Arial"/>
                <w:sz w:val="17"/>
                <w:szCs w:val="17"/>
                <w:color w:val="auto"/>
                <w:w w:val="88"/>
              </w:rPr>
              <w:t>There occurs any adverse change to any of the assets owned by the Pledgors, which makes the Pledgee believe that the Pledgors’</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ability to perform any of their obligations is affected.</w:t>
            </w:r>
          </w:p>
        </w:tc>
      </w:tr>
      <w:tr>
        <w:trPr>
          <w:trHeight w:val="361"/>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7.1.10</w:t>
            </w:r>
          </w:p>
        </w:tc>
        <w:tc>
          <w:tcPr>
            <w:tcW w:w="8920" w:type="dxa"/>
            <w:vAlign w:val="bottom"/>
          </w:tcPr>
          <w:p>
            <w:pPr>
              <w:ind w:left="220"/>
              <w:spacing w:after="0"/>
              <w:rPr>
                <w:sz w:val="20"/>
                <w:szCs w:val="20"/>
                <w:color w:val="auto"/>
              </w:rPr>
            </w:pPr>
            <w:r>
              <w:rPr>
                <w:rFonts w:ascii="Arial" w:cs="Arial" w:eastAsia="Arial" w:hAnsi="Arial"/>
                <w:sz w:val="17"/>
                <w:szCs w:val="17"/>
                <w:color w:val="auto"/>
                <w:w w:val="97"/>
              </w:rPr>
              <w:t>Any other event that the Pledgee cannot exercise or otherwise dispose of the Pledge Rights under the applicable laws.</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7.2</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and/or Party C shall immediately notify the Pledgee in writing any of the events described in Section 7.1 above or the occurrence</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or potential occurrence thereof the Pledgors and/or Party C becomes aware of or discovers.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7.3</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2"/>
              </w:rPr>
              <w:t>Unless the default events listed in Section 7.1 above have been perfectly settled to the Pledgee’s satisfaction, the Pledgee may, upon the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occurrence of such default event or at any time following the occurrence thereof, issue a written default notice to the Pledgors and/or Party C,</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requesting the Pledgors and/or Party C to immediately pay the money owned or other payables under the Exclusive Technical Consultation and</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4"/>
              </w:rPr>
              <w:t>Service Agreement or to timely perform the obligations under the Individual Agreements. In case the Pledgors or Party C fails to timely</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correct their defaults, or take necessary remedies, within Ten (10) business days following the issuance of such written notice, the Pledgee may</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exercise the Pledge Rights pursuant to Section 8 below.</w:t>
            </w:r>
          </w:p>
        </w:tc>
      </w:tr>
      <w:tr>
        <w:trPr>
          <w:trHeight w:val="598"/>
        </w:trPr>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920" w:type="dxa"/>
            <w:vAlign w:val="bottom"/>
          </w:tcPr>
          <w:p>
            <w:pPr>
              <w:ind w:left="3220"/>
              <w:spacing w:after="0"/>
              <w:rPr>
                <w:sz w:val="20"/>
                <w:szCs w:val="20"/>
                <w:color w:val="auto"/>
              </w:rPr>
            </w:pPr>
            <w:r>
              <w:rPr>
                <w:rFonts w:ascii="Arial" w:cs="Arial" w:eastAsia="Arial" w:hAnsi="Arial"/>
                <w:sz w:val="17"/>
                <w:szCs w:val="17"/>
                <w:color w:val="auto"/>
              </w:rPr>
              <w:t>5</w:t>
            </w:r>
          </w:p>
        </w:tc>
      </w:tr>
      <w:tr>
        <w:trPr>
          <w:trHeight w:val="104"/>
        </w:trPr>
        <w:tc>
          <w:tcPr>
            <w:tcW w:w="14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4" w:right="299" w:bottom="1440" w:gutter="0" w:footer="0" w:header="0"/>
        </w:sectPr>
      </w:pPr>
    </w:p>
    <w:bookmarkStart w:id="490" w:name="page491"/>
    <w:bookmarkEnd w:id="490"/>
    <w:p>
      <w:pPr>
        <w:ind w:left="860" w:hanging="860"/>
        <w:spacing w:after="0"/>
        <w:tabs>
          <w:tab w:leader="none" w:pos="860" w:val="left"/>
        </w:tabs>
        <w:numPr>
          <w:ilvl w:val="0"/>
          <w:numId w:val="552"/>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Pledge Rights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The Pledgee shall issue a default notice to the Pledgors as described in Section 7.3 above upon its exercise of the Pledge Rights.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Subject to Section 7.3 above, the Pledgee may exercise the Pledge Rights at any time following its issuance of the default notice as described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in Section 7.3.</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Pledgee shall have the right to convert into money and sell all or part of the Equity hereunder subject to the statutory procedures, or to be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paid in priority from the money gained from auction or sale of such Equity, until full offset of the service costs and other payables unpaid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under the Individual Agreements and full performance of other obligations under the Individual Agreements.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When the Pledgee exercises the Pledge Rights pursuant to this Agreement, the Pledgors and/or Party C shall not create any barrier or hindrance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but shall offer necessary assistance, so as to facilitate the Pledgee’s realization of its Pledge Rights.</w:t>
            </w:r>
          </w:p>
        </w:tc>
      </w:tr>
    </w:tbl>
    <w:p>
      <w:pPr>
        <w:spacing w:after="0" w:line="145" w:lineRule="exact"/>
        <w:rPr>
          <w:sz w:val="20"/>
          <w:szCs w:val="20"/>
          <w:color w:val="auto"/>
        </w:rPr>
      </w:pPr>
    </w:p>
    <w:p>
      <w:pPr>
        <w:ind w:left="860" w:hanging="860"/>
        <w:spacing w:after="0"/>
        <w:tabs>
          <w:tab w:leader="none" w:pos="860" w:val="left"/>
        </w:tabs>
        <w:numPr>
          <w:ilvl w:val="0"/>
          <w:numId w:val="553"/>
        </w:numPr>
        <w:rPr>
          <w:rFonts w:ascii="Arial" w:cs="Arial" w:eastAsia="Arial" w:hAnsi="Arial"/>
          <w:sz w:val="17"/>
          <w:szCs w:val="17"/>
          <w:b w:val="1"/>
          <w:bCs w:val="1"/>
          <w:color w:val="auto"/>
        </w:rPr>
      </w:pPr>
      <w:r>
        <w:rPr>
          <w:rFonts w:ascii="Arial" w:cs="Arial" w:eastAsia="Arial" w:hAnsi="Arial"/>
          <w:sz w:val="17"/>
          <w:szCs w:val="17"/>
          <w:b w:val="1"/>
          <w:bCs w:val="1"/>
          <w:color w:val="auto"/>
        </w:rPr>
        <w:t>Transfer</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9.1</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The Pledgors shall not transfer to any third party any of their rights or obligations hereunder without the Pledgee’s prior written and explicit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consent.</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shall be binding upon the Pledgors and their successors and the Pledgee and its successors or assignees.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9.3</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The Pledgee may at any time transfer any or all of its rights or obligations under the Individual Agreements to any third party it specified,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under which circumstance, the assignee shall accordingly have and bear the rights and obligations which the Pledgee have and bear hereunder.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Upon the transfer by the Pledgee of the rights or obligations hereunder, the Pledgors shall, as requested by the Pledgee, sign the corresponding</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agreements and/or documents regarding the transfer thereof.</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In case there is a change of the Pledgee due to the transfer of the rights or obligations as described in Section 9.3 above, the substitute Pledgee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and the Pledgors shall re-sign the pledge agreement and the Pledgors shall be responsible for handling all applicable registration formalities.</w:t>
            </w:r>
          </w:p>
        </w:tc>
      </w:tr>
    </w:tbl>
    <w:p>
      <w:pPr>
        <w:spacing w:after="0" w:line="145" w:lineRule="exact"/>
        <w:rPr>
          <w:sz w:val="20"/>
          <w:szCs w:val="20"/>
          <w:color w:val="auto"/>
        </w:rPr>
      </w:pPr>
    </w:p>
    <w:p>
      <w:pPr>
        <w:ind w:left="860" w:hanging="860"/>
        <w:spacing w:after="0"/>
        <w:tabs>
          <w:tab w:leader="none" w:pos="860" w:val="left"/>
        </w:tabs>
        <w:numPr>
          <w:ilvl w:val="0"/>
          <w:numId w:val="554"/>
        </w:numPr>
        <w:rPr>
          <w:rFonts w:ascii="Arial" w:cs="Arial" w:eastAsia="Arial" w:hAnsi="Arial"/>
          <w:sz w:val="17"/>
          <w:szCs w:val="17"/>
          <w:b w:val="1"/>
          <w:bCs w:val="1"/>
          <w:color w:val="auto"/>
        </w:rPr>
      </w:pPr>
      <w:r>
        <w:rPr>
          <w:rFonts w:ascii="Arial" w:cs="Arial" w:eastAsia="Arial" w:hAnsi="Arial"/>
          <w:sz w:val="17"/>
          <w:szCs w:val="17"/>
          <w:b w:val="1"/>
          <w:bCs w:val="1"/>
          <w:color w:val="auto"/>
        </w:rPr>
        <w:t>Charges and Other Costs</w:t>
      </w:r>
    </w:p>
    <w:p>
      <w:pPr>
        <w:spacing w:after="0" w:line="169" w:lineRule="exact"/>
        <w:rPr>
          <w:rFonts w:ascii="Arial" w:cs="Arial" w:eastAsia="Arial" w:hAnsi="Arial"/>
          <w:sz w:val="17"/>
          <w:szCs w:val="17"/>
          <w:b w:val="1"/>
          <w:bCs w:val="1"/>
          <w:color w:val="auto"/>
        </w:rPr>
      </w:pPr>
    </w:p>
    <w:p>
      <w:pPr>
        <w:ind w:left="860" w:right="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All costs and actual expenses related to this Agreement, including but not limited to the legal costs, print costs, stamp duty and any other tax and charges, shall be equally borne by the Pledgee and Party C.</w:t>
      </w:r>
    </w:p>
    <w:p>
      <w:pPr>
        <w:spacing w:after="0" w:line="138" w:lineRule="exact"/>
        <w:rPr>
          <w:rFonts w:ascii="Arial" w:cs="Arial" w:eastAsia="Arial" w:hAnsi="Arial"/>
          <w:sz w:val="17"/>
          <w:szCs w:val="17"/>
          <w:b w:val="1"/>
          <w:bCs w:val="1"/>
          <w:color w:val="auto"/>
        </w:rPr>
      </w:pPr>
    </w:p>
    <w:p>
      <w:pPr>
        <w:ind w:left="860" w:hanging="860"/>
        <w:spacing w:after="0"/>
        <w:tabs>
          <w:tab w:leader="none" w:pos="860" w:val="left"/>
        </w:tabs>
        <w:numPr>
          <w:ilvl w:val="0"/>
          <w:numId w:val="554"/>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165" w:lineRule="exact"/>
        <w:rPr>
          <w:rFonts w:ascii="Arial" w:cs="Arial" w:eastAsia="Arial" w:hAnsi="Arial"/>
          <w:sz w:val="17"/>
          <w:szCs w:val="17"/>
          <w:b w:val="1"/>
          <w:bCs w:val="1"/>
          <w:color w:val="auto"/>
        </w:rPr>
      </w:pPr>
    </w:p>
    <w:p>
      <w:pPr>
        <w:ind w:left="1720" w:right="40" w:hanging="86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11.1</w:t>
      </w:r>
      <w:r>
        <w:rPr>
          <w:rFonts w:ascii="Arial" w:cs="Arial" w:eastAsia="Arial" w:hAnsi="Arial"/>
          <w:sz w:val="16"/>
          <w:szCs w:val="16"/>
          <w:color w:val="auto"/>
        </w:rPr>
        <w:t>“</w:t>
      </w:r>
      <w:r>
        <w:rPr>
          <w:rFonts w:ascii="Arial" w:cs="Arial" w:eastAsia="Arial" w:hAnsi="Arial"/>
          <w:sz w:val="16"/>
          <w:szCs w:val="16"/>
          <w:b w:val="1"/>
          <w:bCs w:val="1"/>
          <w:color w:val="auto"/>
        </w:rPr>
        <w:t>Force Majeure Events</w:t>
      </w:r>
      <w:r>
        <w:rPr>
          <w:rFonts w:ascii="Arial" w:cs="Arial" w:eastAsia="Arial" w:hAnsi="Arial"/>
          <w:sz w:val="16"/>
          <w:szCs w:val="16"/>
          <w:color w:val="auto"/>
        </w:rPr>
        <w:t>” mean any events beyond the reasonable control of one Party that are unavoidable by the affected Party with reasonable care, including but not limited to any acts of government, natural force, fire, explosion, storm, flood, earthquake, tide, lightning or war, provided that any credit, capital or financing shortage shall not be deemed to be the event beyond the reasonable control of one Party. The Party affected by any Force Majeure Events (hereinafter referred to as “</w:t>
      </w:r>
      <w:r>
        <w:rPr>
          <w:rFonts w:ascii="Arial" w:cs="Arial" w:eastAsia="Arial" w:hAnsi="Arial"/>
          <w:sz w:val="16"/>
          <w:szCs w:val="16"/>
          <w:b w:val="1"/>
          <w:bCs w:val="1"/>
          <w:color w:val="auto"/>
        </w:rPr>
        <w:t>Affected Party</w:t>
      </w:r>
      <w:r>
        <w:rPr>
          <w:rFonts w:ascii="Arial" w:cs="Arial" w:eastAsia="Arial" w:hAnsi="Arial"/>
          <w:sz w:val="16"/>
          <w:szCs w:val="16"/>
          <w:color w:val="auto"/>
        </w:rPr>
        <w:t>”) shall be exempted from its responsibility in whole or in part according to the effects of such Force Majeure Events on this Agreement, and the Affected Party who seeks exemption from its responsibility for the performance of this Agreement due to such Force Majeure Events shall notify the other Party of such Force Majeure Events not later than Ten (10) days after occurrence of such Force Majeure Events so that the Parties hereto negotiate about the amendment to this Agreement according to the effects of such Force Majeure Events and exempt in whole or in part the Affected Party from its obligations under this Agreement.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40" w:type="dxa"/>
            <w:vAlign w:val="bottom"/>
          </w:tcPr>
          <w:p>
            <w:pPr>
              <w:jc w:val="right"/>
              <w:ind w:right="217"/>
              <w:spacing w:after="0"/>
              <w:rPr>
                <w:sz w:val="20"/>
                <w:szCs w:val="20"/>
                <w:color w:val="auto"/>
              </w:rPr>
            </w:pPr>
            <w:r>
              <w:rPr>
                <w:rFonts w:ascii="Arial" w:cs="Arial" w:eastAsia="Arial" w:hAnsi="Arial"/>
                <w:sz w:val="17"/>
                <w:szCs w:val="17"/>
                <w:color w:val="auto"/>
              </w:rPr>
              <w:t>11.2</w:t>
            </w:r>
          </w:p>
        </w:tc>
        <w:tc>
          <w:tcPr>
            <w:tcW w:w="9840" w:type="dxa"/>
            <w:vAlign w:val="bottom"/>
          </w:tcPr>
          <w:p>
            <w:pPr>
              <w:ind w:left="280"/>
              <w:spacing w:after="0"/>
              <w:rPr>
                <w:sz w:val="20"/>
                <w:szCs w:val="20"/>
                <w:color w:val="auto"/>
              </w:rPr>
            </w:pPr>
            <w:r>
              <w:rPr>
                <w:rFonts w:ascii="Arial" w:cs="Arial" w:eastAsia="Arial" w:hAnsi="Arial"/>
                <w:sz w:val="17"/>
                <w:szCs w:val="17"/>
                <w:color w:val="auto"/>
                <w:w w:val="89"/>
              </w:rPr>
              <w:t>The Affected Party shall take appropriate measures to reduce or eliminate the effects of such Force Majeure Events and shall try to restore the</w:t>
            </w:r>
          </w:p>
        </w:tc>
      </w:tr>
      <w:tr>
        <w:trPr>
          <w:trHeight w:val="199"/>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88"/>
              </w:rPr>
              <w:t>performance of its obligations delayed or hindered by such Force Majeure Events. Once such Force Majeure Events are eliminated, the Parties</w:t>
            </w:r>
          </w:p>
        </w:tc>
      </w:tr>
      <w:tr>
        <w:trPr>
          <w:trHeight w:val="212"/>
        </w:trPr>
        <w:tc>
          <w:tcPr>
            <w:tcW w:w="1440" w:type="dxa"/>
            <w:vAlign w:val="bottom"/>
          </w:tcPr>
          <w:p>
            <w:pPr>
              <w:spacing w:after="0"/>
              <w:rPr>
                <w:sz w:val="18"/>
                <w:szCs w:val="18"/>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rPr>
              <w:t>hereto</w:t>
            </w:r>
          </w:p>
        </w:tc>
      </w:tr>
      <w:tr>
        <w:trPr>
          <w:trHeight w:val="585"/>
        </w:trPr>
        <w:tc>
          <w:tcPr>
            <w:tcW w:w="1440" w:type="dxa"/>
            <w:vAlign w:val="bottom"/>
          </w:tcPr>
          <w:p>
            <w:pPr>
              <w:spacing w:after="0"/>
              <w:rPr>
                <w:sz w:val="24"/>
                <w:szCs w:val="24"/>
                <w:color w:val="auto"/>
              </w:rPr>
            </w:pPr>
          </w:p>
        </w:tc>
        <w:tc>
          <w:tcPr>
            <w:tcW w:w="9840" w:type="dxa"/>
            <w:vAlign w:val="bottom"/>
          </w:tcPr>
          <w:p>
            <w:pPr>
              <w:jc w:val="right"/>
              <w:ind w:right="5537"/>
              <w:spacing w:after="0"/>
              <w:rPr>
                <w:sz w:val="20"/>
                <w:szCs w:val="20"/>
                <w:color w:val="auto"/>
              </w:rPr>
            </w:pPr>
            <w:r>
              <w:rPr>
                <w:rFonts w:ascii="Arial" w:cs="Arial" w:eastAsia="Arial" w:hAnsi="Arial"/>
                <w:sz w:val="17"/>
                <w:szCs w:val="17"/>
                <w:color w:val="auto"/>
              </w:rPr>
              <w:t>6</w:t>
            </w:r>
          </w:p>
        </w:tc>
      </w:tr>
      <w:tr>
        <w:trPr>
          <w:trHeight w:val="104"/>
        </w:trPr>
        <w:tc>
          <w:tcPr>
            <w:tcW w:w="1440" w:type="dxa"/>
            <w:vAlign w:val="bottom"/>
            <w:tcBorders>
              <w:bottom w:val="single" w:sz="8" w:color="9A9A9A"/>
            </w:tcBorders>
          </w:tcPr>
          <w:p>
            <w:pPr>
              <w:spacing w:after="0"/>
              <w:rPr>
                <w:sz w:val="9"/>
                <w:szCs w:val="9"/>
                <w:color w:val="auto"/>
              </w:rPr>
            </w:pPr>
          </w:p>
        </w:tc>
        <w:tc>
          <w:tcPr>
            <w:tcW w:w="9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4" w:right="299" w:bottom="1440" w:gutter="0" w:footer="0" w:header="0"/>
        </w:sectPr>
      </w:pPr>
    </w:p>
    <w:bookmarkStart w:id="491" w:name="page492"/>
    <w:bookmarkEnd w:id="491"/>
    <w:p>
      <w:pPr>
        <w:ind w:left="1720"/>
        <w:spacing w:after="0"/>
        <w:rPr>
          <w:sz w:val="20"/>
          <w:szCs w:val="20"/>
          <w:color w:val="auto"/>
        </w:rPr>
      </w:pPr>
      <w:r>
        <w:rPr>
          <w:rFonts w:ascii="Arial" w:cs="Arial" w:eastAsia="Arial" w:hAnsi="Arial"/>
          <w:sz w:val="17"/>
          <w:szCs w:val="17"/>
          <w:color w:val="auto"/>
        </w:rPr>
        <w:t>agree that they shall use their best efforts to restore the performance of their rights and obligations under this Agreement.</w:t>
      </w:r>
    </w:p>
    <w:p>
      <w:pPr>
        <w:spacing w:after="0" w:line="187" w:lineRule="exact"/>
        <w:rPr>
          <w:sz w:val="20"/>
          <w:szCs w:val="20"/>
          <w:color w:val="auto"/>
        </w:rPr>
      </w:pPr>
    </w:p>
    <w:p>
      <w:pPr>
        <w:ind w:left="860" w:hanging="860"/>
        <w:spacing w:after="0"/>
        <w:tabs>
          <w:tab w:leader="none" w:pos="860" w:val="left"/>
        </w:tabs>
        <w:numPr>
          <w:ilvl w:val="0"/>
          <w:numId w:val="555"/>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Settlement</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12.1</w:t>
            </w:r>
          </w:p>
        </w:tc>
        <w:tc>
          <w:tcPr>
            <w:tcW w:w="9800" w:type="dxa"/>
            <w:vAlign w:val="bottom"/>
          </w:tcPr>
          <w:p>
            <w:pPr>
              <w:ind w:left="28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tc>
      </w:tr>
      <w:tr>
        <w:trPr>
          <w:trHeight w:val="374"/>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12.2</w:t>
            </w: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89"/>
              </w:rPr>
              <w:t>resolve such disputes through consultation in good faith. If such disputes cannot be resolved through consultation, any Party may submit such</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Section shall be affected by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any termination or cancellation of this Agreement.</w:t>
            </w:r>
          </w:p>
        </w:tc>
      </w:tr>
      <w:tr>
        <w:trPr>
          <w:trHeight w:val="34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12.3</w:t>
            </w:r>
          </w:p>
        </w:tc>
        <w:tc>
          <w:tcPr>
            <w:tcW w:w="9800" w:type="dxa"/>
            <w:vAlign w:val="bottom"/>
          </w:tcPr>
          <w:p>
            <w:pPr>
              <w:ind w:left="28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45" w:lineRule="exact"/>
        <w:rPr>
          <w:sz w:val="20"/>
          <w:szCs w:val="20"/>
          <w:color w:val="auto"/>
        </w:rPr>
      </w:pPr>
    </w:p>
    <w:p>
      <w:pPr>
        <w:ind w:left="860" w:hanging="860"/>
        <w:spacing w:after="0"/>
        <w:tabs>
          <w:tab w:leader="none" w:pos="860" w:val="left"/>
        </w:tabs>
        <w:numPr>
          <w:ilvl w:val="0"/>
          <w:numId w:val="556"/>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69" w:lineRule="exact"/>
        <w:rPr>
          <w:rFonts w:ascii="Arial" w:cs="Arial" w:eastAsia="Arial" w:hAnsi="Arial"/>
          <w:sz w:val="17"/>
          <w:szCs w:val="17"/>
          <w:b w:val="1"/>
          <w:bCs w:val="1"/>
          <w:color w:val="auto"/>
        </w:rPr>
      </w:pPr>
    </w:p>
    <w:p>
      <w:pPr>
        <w:jc w:val="both"/>
        <w:ind w:left="8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276"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Party A,</w:t>
      </w:r>
    </w:p>
    <w:p>
      <w:pPr>
        <w:spacing w:after="0" w:line="178"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Address: Building 6, No. 36 Yard, Laiguangying Chuangyuan Road, Chaoyang District, Beijing</w:t>
      </w:r>
    </w:p>
    <w:p>
      <w:pPr>
        <w:spacing w:after="0" w:line="165"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Tel.: [•]</w:t>
      </w:r>
    </w:p>
    <w:p>
      <w:pPr>
        <w:spacing w:after="0" w:line="165"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LIU Tong bo</w:t>
      </w:r>
    </w:p>
    <w:p>
      <w:pPr>
        <w:spacing w:after="0" w:line="302"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Party B and Party C:</w:t>
      </w:r>
    </w:p>
    <w:p>
      <w:pPr>
        <w:spacing w:after="0" w:line="178" w:lineRule="exact"/>
        <w:rPr>
          <w:rFonts w:ascii="Arial" w:cs="Arial" w:eastAsia="Arial" w:hAnsi="Arial"/>
          <w:sz w:val="17"/>
          <w:szCs w:val="17"/>
          <w:b w:val="1"/>
          <w:bCs w:val="1"/>
          <w:color w:val="auto"/>
        </w:rPr>
      </w:pPr>
    </w:p>
    <w:p>
      <w:pPr>
        <w:ind w:left="8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Address: Room 02, 4th Floor, Unit 3, Building 1, 2, 3, Contemporary China Venture Center, No. 20, Guannanyuan 1st Road, East Lake New Technology Development Zone, Wuhan</w:t>
      </w:r>
    </w:p>
    <w:p>
      <w:pPr>
        <w:spacing w:after="0" w:line="130"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Tel.: [•]</w:t>
      </w:r>
    </w:p>
    <w:p>
      <w:pPr>
        <w:spacing w:after="0" w:line="165"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HAN Wei</w:t>
      </w:r>
    </w:p>
    <w:p>
      <w:pPr>
        <w:spacing w:after="0" w:line="174" w:lineRule="exact"/>
        <w:rPr>
          <w:rFonts w:ascii="Arial" w:cs="Arial" w:eastAsia="Arial" w:hAnsi="Arial"/>
          <w:sz w:val="17"/>
          <w:szCs w:val="17"/>
          <w:b w:val="1"/>
          <w:bCs w:val="1"/>
          <w:color w:val="auto"/>
        </w:rPr>
      </w:pPr>
    </w:p>
    <w:p>
      <w:pPr>
        <w:ind w:left="800" w:hanging="800"/>
        <w:spacing w:after="0"/>
        <w:tabs>
          <w:tab w:leader="none" w:pos="800" w:val="left"/>
        </w:tabs>
        <w:numPr>
          <w:ilvl w:val="0"/>
          <w:numId w:val="556"/>
        </w:numPr>
        <w:rPr>
          <w:rFonts w:ascii="Arial" w:cs="Arial" w:eastAsia="Arial" w:hAnsi="Arial"/>
          <w:sz w:val="17"/>
          <w:szCs w:val="17"/>
          <w:b w:val="1"/>
          <w:bCs w:val="1"/>
          <w:color w:val="auto"/>
        </w:rPr>
      </w:pPr>
      <w:r>
        <w:rPr>
          <w:rFonts w:ascii="Arial" w:cs="Arial" w:eastAsia="Arial" w:hAnsi="Arial"/>
          <w:sz w:val="17"/>
          <w:szCs w:val="17"/>
          <w:b w:val="1"/>
          <w:bCs w:val="1"/>
          <w:color w:val="auto"/>
        </w:rPr>
        <w:t>Annex</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annexes hereto shall form part of this Agreement.</w:t>
      </w:r>
    </w:p>
    <w:p>
      <w:pPr>
        <w:spacing w:after="0" w:line="162" w:lineRule="exact"/>
        <w:rPr>
          <w:sz w:val="20"/>
          <w:szCs w:val="20"/>
          <w:color w:val="auto"/>
        </w:rPr>
      </w:pPr>
    </w:p>
    <w:p>
      <w:pPr>
        <w:ind w:left="800" w:hanging="800"/>
        <w:spacing w:after="0"/>
        <w:tabs>
          <w:tab w:leader="none" w:pos="800" w:val="left"/>
        </w:tabs>
        <w:numPr>
          <w:ilvl w:val="0"/>
          <w:numId w:val="557"/>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182" w:lineRule="exact"/>
        <w:rPr>
          <w:sz w:val="20"/>
          <w:szCs w:val="20"/>
          <w:color w:val="auto"/>
        </w:rPr>
      </w:pPr>
    </w:p>
    <w:p>
      <w:pPr>
        <w:jc w:val="both"/>
        <w:ind w:left="880"/>
        <w:spacing w:after="0" w:line="254" w:lineRule="auto"/>
        <w:rPr>
          <w:sz w:val="20"/>
          <w:szCs w:val="20"/>
          <w:color w:val="auto"/>
        </w:rPr>
      </w:pPr>
      <w:r>
        <w:rPr>
          <w:rFonts w:ascii="Arial" w:cs="Arial" w:eastAsia="Arial" w:hAnsi="Arial"/>
          <w:sz w:val="17"/>
          <w:szCs w:val="17"/>
          <w:color w:val="auto"/>
        </w:rPr>
        <w:t>The Pledgee’s failure to exercise or delayed exercise of any rights, remedies, powers or privileges hereunder shall not be deemed to be waiver of such rights, remedies, powers or privileges. The Pledgee’s single or partial exercise of any rights, remedies, powers or privileges shall not exclude its exercise of any other rights, remedies, powers or privileges.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rights, remedies, powers and privileges hereunder are cumulative and in addition to any other rights, remedies, powers and privileges under any law.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492" w:name="page493"/>
    <w:bookmarkEnd w:id="492"/>
    <w:p>
      <w:pPr>
        <w:ind w:left="800" w:hanging="800"/>
        <w:spacing w:after="0"/>
        <w:tabs>
          <w:tab w:leader="none" w:pos="800" w:val="left"/>
        </w:tabs>
        <w:numPr>
          <w:ilvl w:val="0"/>
          <w:numId w:val="55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82" w:lineRule="exact"/>
        <w:rPr>
          <w:sz w:val="20"/>
          <w:szCs w:val="20"/>
          <w:color w:val="auto"/>
        </w:rPr>
      </w:pPr>
    </w:p>
    <w:p>
      <w:pPr>
        <w:jc w:val="both"/>
        <w:ind w:left="1720" w:hanging="859"/>
        <w:spacing w:after="0" w:line="264" w:lineRule="auto"/>
        <w:tabs>
          <w:tab w:leader="none" w:pos="170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7"/>
          <w:szCs w:val="17"/>
          <w:color w:val="auto"/>
        </w:rPr>
        <w:t>Any modification or supplementation of or amendment to this Agreement shall be in writing and be effective only after being sealed and signed by the Parties hereto.</w:t>
      </w:r>
    </w:p>
    <w:p>
      <w:pPr>
        <w:spacing w:after="0" w:line="131" w:lineRule="exact"/>
        <w:rPr>
          <w:sz w:val="20"/>
          <w:szCs w:val="20"/>
          <w:color w:val="auto"/>
        </w:rPr>
      </w:pPr>
    </w:p>
    <w:p>
      <w:pPr>
        <w:jc w:val="both"/>
        <w:ind w:left="1720" w:hanging="859"/>
        <w:spacing w:after="0" w:line="251" w:lineRule="auto"/>
        <w:tabs>
          <w:tab w:leader="none" w:pos="170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7"/>
          <w:szCs w:val="17"/>
          <w:color w:val="auto"/>
        </w:rPr>
        <w:t>The Parties hereby acknowledge that this Agreement shall be a fair and reasonable agreement reached by the Parties hereto on the basis of equality and mutual benefit. In case any provision hereof becomes invalid or cannot be enforced due to conflict with any applicable law, such provision shall be invalid or unenforceable to the sole extent of the jurisdiction of such applicable law and shall in no way influence the legal force of the remaining provisions of this Agreement.</w:t>
      </w:r>
    </w:p>
    <w:p>
      <w:pPr>
        <w:spacing w:after="0" w:line="141" w:lineRule="exact"/>
        <w:rPr>
          <w:sz w:val="20"/>
          <w:szCs w:val="20"/>
          <w:color w:val="auto"/>
        </w:rPr>
      </w:pPr>
    </w:p>
    <w:p>
      <w:pPr>
        <w:jc w:val="both"/>
        <w:ind w:left="1720" w:hanging="859"/>
        <w:spacing w:after="0" w:line="251" w:lineRule="auto"/>
        <w:tabs>
          <w:tab w:leader="none" w:pos="170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7"/>
          <w:szCs w:val="17"/>
          <w:color w:val="auto"/>
        </w:rPr>
        <w:t>The Parties hereto agree that in case of any change to Party C’s shareholding structure or any addition or deduction of any of Party C’s shareholders, Party A, Party C and Party C’s then-current shareholders shall re-sign this Agreement, and as of the effective date of the Equity Interest Pledge Agreement re-entered into by and among the foregoing parties, this Agreement will automatically terminate and become invalid.</w:t>
      </w:r>
    </w:p>
    <w:p>
      <w:pPr>
        <w:spacing w:after="0" w:line="14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5"/>
          <w:szCs w:val="15"/>
          <w:color w:val="auto"/>
        </w:rPr>
        <w:t>This Agreement is written in Chinese and is executed in Four (4) original copies.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93" w:name="page494"/>
    <w:bookmarkEnd w:id="493"/>
    <w:p>
      <w:pPr>
        <w:jc w:val="right"/>
        <w:ind w:right="1919"/>
        <w:spacing w:after="0"/>
        <w:rPr>
          <w:sz w:val="20"/>
          <w:szCs w:val="20"/>
          <w:color w:val="auto"/>
        </w:rPr>
      </w:pPr>
      <w:r>
        <w:rPr>
          <w:rFonts w:ascii="Arial" w:cs="Arial" w:eastAsia="Arial" w:hAnsi="Arial"/>
          <w:sz w:val="17"/>
          <w:szCs w:val="17"/>
          <w:b w:val="1"/>
          <w:bCs w:val="1"/>
          <w:color w:val="auto"/>
        </w:rPr>
        <w:t>[This page is the signature page to the Equity Interest Pledge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HAN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HAN Wei</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HAN Wei</w:t>
      </w:r>
      <w:r>
        <w:rPr>
          <w:rFonts w:ascii="Arial" w:cs="Arial" w:eastAsia="Arial" w:hAnsi="Arial"/>
          <w:sz w:val="17"/>
          <w:szCs w:val="17"/>
          <w:color w:val="auto"/>
        </w:rPr>
        <w:t xml:space="preserve">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Equity Interest Pledge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569595</wp:posOffset>
            </wp:positionV>
            <wp:extent cx="7184390" cy="412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494" w:name="page495"/>
    <w:bookmarkEnd w:id="494"/>
    <w:p>
      <w:pPr>
        <w:jc w:val="center"/>
        <w:ind w:right="40"/>
        <w:spacing w:after="0"/>
        <w:rPr>
          <w:sz w:val="20"/>
          <w:szCs w:val="20"/>
          <w:color w:val="auto"/>
        </w:rPr>
      </w:pPr>
      <w:r>
        <w:rPr>
          <w:rFonts w:ascii="Arial" w:cs="Arial" w:eastAsia="Arial" w:hAnsi="Arial"/>
          <w:sz w:val="17"/>
          <w:szCs w:val="17"/>
          <w:b w:val="1"/>
          <w:bCs w:val="1"/>
          <w:color w:val="auto"/>
        </w:rPr>
        <w:t>Annex I Pledgor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ID Card No.</w:t>
            </w:r>
          </w:p>
        </w:tc>
        <w:tc>
          <w:tcPr>
            <w:tcW w:w="2840" w:type="dxa"/>
            <w:vAlign w:val="bottom"/>
          </w:tcPr>
          <w:p>
            <w:pPr>
              <w:spacing w:after="0"/>
              <w:rPr>
                <w:sz w:val="20"/>
                <w:szCs w:val="20"/>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HAN Wei</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LI Yanjun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1293"/>
        </w:trPr>
        <w:tc>
          <w:tcPr>
            <w:tcW w:w="2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495" w:name="page496"/>
    <w:bookmarkEnd w:id="495"/>
    <w:p>
      <w:pPr>
        <w:jc w:val="center"/>
        <w:ind w:right="40"/>
        <w:spacing w:after="0"/>
        <w:rPr>
          <w:sz w:val="20"/>
          <w:szCs w:val="20"/>
          <w:color w:val="auto"/>
        </w:rPr>
      </w:pPr>
      <w:r>
        <w:rPr>
          <w:rFonts w:ascii="Arial" w:cs="Arial" w:eastAsia="Arial" w:hAnsi="Arial"/>
          <w:sz w:val="17"/>
          <w:szCs w:val="17"/>
          <w:b w:val="1"/>
          <w:bCs w:val="1"/>
          <w:color w:val="auto"/>
        </w:rPr>
        <w:t>Annex II Shareholding Structure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Amount of Contribution</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20"/>
                <w:szCs w:val="20"/>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HAN Wei</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190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LI Yanjun</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Total</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200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93"/>
        </w:trPr>
        <w:tc>
          <w:tcPr>
            <w:tcW w:w="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496" w:name="page497"/>
    <w:bookmarkEnd w:id="496"/>
    <w:p>
      <w:pPr>
        <w:ind w:left="3780"/>
        <w:spacing w:after="0"/>
        <w:rPr>
          <w:sz w:val="20"/>
          <w:szCs w:val="20"/>
          <w:color w:val="auto"/>
        </w:rPr>
      </w:pPr>
      <w:r>
        <w:rPr>
          <w:rFonts w:ascii="Arial" w:cs="Arial" w:eastAsia="Arial" w:hAnsi="Arial"/>
          <w:sz w:val="17"/>
          <w:szCs w:val="17"/>
          <w:b w:val="1"/>
          <w:bCs w:val="1"/>
          <w:color w:val="auto"/>
        </w:rPr>
        <w:t>Annex III Form of Party C’s Shareholders’ Register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Company: Tianjin Shangde Online Education Technology Co., Ltd.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02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Full name of the</w:t>
            </w:r>
          </w:p>
        </w:tc>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right w:val="single" w:sz="8" w:color="auto"/>
            </w:tcBorders>
          </w:tcPr>
          <w:p>
            <w:pPr>
              <w:jc w:val="center"/>
              <w:ind w:right="257"/>
              <w:spacing w:after="0"/>
              <w:rPr>
                <w:sz w:val="20"/>
                <w:szCs w:val="20"/>
                <w:color w:val="auto"/>
              </w:rPr>
            </w:pPr>
            <w:r>
              <w:rPr>
                <w:rFonts w:ascii="Arial" w:cs="Arial" w:eastAsia="Arial" w:hAnsi="Arial"/>
                <w:sz w:val="17"/>
                <w:szCs w:val="17"/>
                <w:b w:val="1"/>
                <w:bCs w:val="1"/>
                <w:color w:val="auto"/>
                <w:w w:val="96"/>
              </w:rPr>
              <w:t>[HAN Wei]</w:t>
            </w:r>
          </w:p>
        </w:tc>
        <w:tc>
          <w:tcPr>
            <w:tcW w:w="160" w:type="dxa"/>
            <w:vAlign w:val="bottom"/>
            <w:tcBorders>
              <w:top w:val="single" w:sz="8" w:color="auto"/>
            </w:tcBorders>
          </w:tcPr>
          <w:p>
            <w:pPr>
              <w:spacing w:after="0"/>
              <w:rPr>
                <w:sz w:val="21"/>
                <w:szCs w:val="21"/>
                <w:color w:val="auto"/>
              </w:rPr>
            </w:pPr>
          </w:p>
        </w:tc>
        <w:tc>
          <w:tcPr>
            <w:tcW w:w="2080" w:type="dxa"/>
            <w:vAlign w:val="bottom"/>
            <w:tcBorders>
              <w:top w:val="single" w:sz="8" w:color="auto"/>
              <w:right w:val="single" w:sz="8" w:color="auto"/>
            </w:tcBorders>
            <w:gridSpan w:val="3"/>
          </w:tcPr>
          <w:p>
            <w:pPr>
              <w:jc w:val="center"/>
              <w:ind w:right="117"/>
              <w:spacing w:after="0"/>
              <w:rPr>
                <w:sz w:val="20"/>
                <w:szCs w:val="20"/>
                <w:color w:val="auto"/>
              </w:rPr>
            </w:pPr>
            <w:r>
              <w:rPr>
                <w:rFonts w:ascii="Arial" w:cs="Arial" w:eastAsia="Arial" w:hAnsi="Arial"/>
                <w:sz w:val="17"/>
                <w:szCs w:val="17"/>
                <w:b w:val="1"/>
                <w:bCs w:val="1"/>
                <w:color w:val="auto"/>
                <w:w w:val="91"/>
              </w:rPr>
              <w:t>ID Card No./ Registration</w:t>
            </w: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right w:val="single" w:sz="8" w:color="auto"/>
            </w:tcBorders>
            <w:gridSpan w:val="3"/>
          </w:tcPr>
          <w:p>
            <w:pPr>
              <w:jc w:val="center"/>
              <w:ind w:right="97"/>
              <w:spacing w:after="0"/>
              <w:rPr>
                <w:sz w:val="20"/>
                <w:szCs w:val="20"/>
                <w:color w:val="auto"/>
              </w:rPr>
            </w:pPr>
            <w:r>
              <w:rPr>
                <w:rFonts w:ascii="Arial" w:cs="Arial" w:eastAsia="Arial" w:hAnsi="Arial"/>
                <w:sz w:val="17"/>
                <w:szCs w:val="17"/>
                <w:b w:val="1"/>
                <w:bCs w:val="1"/>
                <w:color w:val="auto"/>
                <w:w w:val="90"/>
              </w:rPr>
              <w:t>[[•]]Occupa</w:t>
            </w:r>
          </w:p>
        </w:tc>
        <w:tc>
          <w:tcPr>
            <w:tcW w:w="15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7"/>
                <w:szCs w:val="17"/>
                <w:b w:val="1"/>
                <w:bCs w:val="1"/>
                <w:color w:val="auto"/>
              </w:rPr>
              <w:t>Identity</w:t>
            </w:r>
          </w:p>
        </w:tc>
        <w:tc>
          <w:tcPr>
            <w:tcW w:w="2480" w:type="dxa"/>
            <w:vAlign w:val="bottom"/>
            <w:tcBorders>
              <w:top w:val="single" w:sz="8" w:color="auto"/>
              <w:right w:val="single" w:sz="8" w:color="auto"/>
            </w:tcBorders>
            <w:gridSpan w:val="2"/>
          </w:tcPr>
          <w:p>
            <w:pPr>
              <w:jc w:val="right"/>
              <w:ind w:right="517"/>
              <w:spacing w:after="0"/>
              <w:rPr>
                <w:sz w:val="20"/>
                <w:szCs w:val="20"/>
                <w:color w:val="auto"/>
              </w:rPr>
            </w:pPr>
            <w:r>
              <w:rPr>
                <w:rFonts w:ascii="Arial" w:cs="Arial" w:eastAsia="Arial" w:hAnsi="Arial"/>
                <w:sz w:val="17"/>
                <w:szCs w:val="17"/>
                <w:b w:val="1"/>
                <w:bCs w:val="1"/>
                <w:color w:val="auto"/>
              </w:rPr>
              <w:t>Executive Director</w:t>
            </w: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Shareholder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left="17"/>
              <w:spacing w:after="0"/>
              <w:rPr>
                <w:sz w:val="20"/>
                <w:szCs w:val="20"/>
                <w:color w:val="auto"/>
              </w:rPr>
            </w:pPr>
            <w:r>
              <w:rPr>
                <w:rFonts w:ascii="Arial" w:cs="Arial" w:eastAsia="Arial" w:hAnsi="Arial"/>
                <w:sz w:val="17"/>
                <w:szCs w:val="17"/>
                <w:b w:val="1"/>
                <w:bCs w:val="1"/>
                <w:color w:val="auto"/>
                <w:w w:val="87"/>
              </w:rPr>
              <w:t>No.</w:t>
            </w:r>
          </w:p>
        </w:tc>
        <w:tc>
          <w:tcPr>
            <w:tcW w:w="5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gridSpan w:val="2"/>
          </w:tcPr>
          <w:p>
            <w:pPr>
              <w:jc w:val="center"/>
              <w:ind w:right="397"/>
              <w:spacing w:after="0"/>
              <w:rPr>
                <w:sz w:val="20"/>
                <w:szCs w:val="20"/>
                <w:color w:val="auto"/>
              </w:rPr>
            </w:pPr>
            <w:r>
              <w:rPr>
                <w:rFonts w:ascii="Arial" w:cs="Arial" w:eastAsia="Arial" w:hAnsi="Arial"/>
                <w:sz w:val="17"/>
                <w:szCs w:val="17"/>
                <w:b w:val="1"/>
                <w:bCs w:val="1"/>
                <w:color w:val="auto"/>
                <w:w w:val="91"/>
              </w:rPr>
              <w:t>tion/]</w:t>
            </w:r>
          </w:p>
        </w:tc>
        <w:tc>
          <w:tcPr>
            <w:tcW w:w="156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50"/>
        </w:trPr>
        <w:tc>
          <w:tcPr>
            <w:tcW w:w="202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42"/>
        </w:trPr>
        <w:tc>
          <w:tcPr>
            <w:tcW w:w="2020" w:type="dxa"/>
            <w:vAlign w:val="bottom"/>
            <w:tcBorders>
              <w:left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97"/>
              </w:rPr>
              <w:t>Address of Domicile</w:t>
            </w:r>
          </w:p>
        </w:tc>
        <w:tc>
          <w:tcPr>
            <w:tcW w:w="160" w:type="dxa"/>
            <w:vAlign w:val="bottom"/>
            <w:tcBorders>
              <w:right w:val="single" w:sz="8" w:color="auto"/>
            </w:tcBorders>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737"/>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42"/>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2900" w:type="dxa"/>
            <w:vAlign w:val="bottom"/>
            <w:gridSpan w:val="5"/>
          </w:tcPr>
          <w:p>
            <w:pPr>
              <w:jc w:val="center"/>
              <w:ind w:left="177"/>
              <w:spacing w:after="0"/>
              <w:rPr>
                <w:sz w:val="20"/>
                <w:szCs w:val="20"/>
                <w:color w:val="auto"/>
              </w:rPr>
            </w:pPr>
            <w:r>
              <w:rPr>
                <w:rFonts w:ascii="Arial" w:cs="Arial" w:eastAsia="Arial" w:hAnsi="Arial"/>
                <w:sz w:val="17"/>
                <w:szCs w:val="17"/>
                <w:b w:val="1"/>
                <w:bCs w:val="1"/>
                <w:color w:val="auto"/>
                <w:w w:val="89"/>
              </w:rPr>
              <w:t>Contribution Amount/ Consideration</w:t>
            </w:r>
          </w:p>
        </w:tc>
        <w:tc>
          <w:tcPr>
            <w:tcW w:w="280" w:type="dxa"/>
            <w:vAlign w:val="bottom"/>
            <w:tcBorders>
              <w:right w:val="single" w:sz="8" w:color="auto"/>
            </w:tcBorders>
          </w:tcPr>
          <w:p>
            <w:pPr>
              <w:spacing w:after="0"/>
              <w:rPr>
                <w:sz w:val="21"/>
                <w:szCs w:val="21"/>
                <w:color w:val="auto"/>
              </w:rPr>
            </w:pPr>
          </w:p>
        </w:tc>
        <w:tc>
          <w:tcPr>
            <w:tcW w:w="2240" w:type="dxa"/>
            <w:vAlign w:val="bottom"/>
            <w:gridSpan w:val="4"/>
          </w:tcPr>
          <w:p>
            <w:pPr>
              <w:ind w:left="440"/>
              <w:spacing w:after="0"/>
              <w:rPr>
                <w:sz w:val="20"/>
                <w:szCs w:val="20"/>
                <w:color w:val="auto"/>
              </w:rPr>
            </w:pPr>
            <w:r>
              <w:rPr>
                <w:rFonts w:ascii="Arial" w:cs="Arial" w:eastAsia="Arial" w:hAnsi="Arial"/>
                <w:sz w:val="17"/>
                <w:szCs w:val="17"/>
                <w:b w:val="1"/>
                <w:bCs w:val="1"/>
                <w:color w:val="auto"/>
                <w:w w:val="86"/>
              </w:rPr>
              <w:t>Shareholding Percentage</w:t>
            </w:r>
          </w:p>
        </w:tc>
        <w:tc>
          <w:tcPr>
            <w:tcW w:w="46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80" w:type="dxa"/>
            <w:vAlign w:val="bottom"/>
          </w:tcPr>
          <w:p>
            <w:pPr>
              <w:jc w:val="center"/>
              <w:ind w:right="457"/>
              <w:spacing w:after="0"/>
              <w:rPr>
                <w:sz w:val="20"/>
                <w:szCs w:val="20"/>
                <w:color w:val="auto"/>
              </w:rPr>
            </w:pPr>
            <w:r>
              <w:rPr>
                <w:rFonts w:ascii="Arial" w:cs="Arial" w:eastAsia="Arial" w:hAnsi="Arial"/>
                <w:sz w:val="17"/>
                <w:szCs w:val="17"/>
                <w:b w:val="1"/>
                <w:bCs w:val="1"/>
                <w:color w:val="auto"/>
                <w:w w:val="84"/>
              </w:rPr>
              <w:t>Note</w:t>
            </w:r>
          </w:p>
        </w:tc>
        <w:tc>
          <w:tcPr>
            <w:tcW w:w="150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gridSpan w:val="2"/>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gridSpan w:val="4"/>
          </w:tcPr>
          <w:p>
            <w:pPr>
              <w:jc w:val="center"/>
              <w:ind w:right="860"/>
              <w:spacing w:after="0"/>
              <w:rPr>
                <w:sz w:val="20"/>
                <w:szCs w:val="20"/>
                <w:color w:val="auto"/>
              </w:rPr>
            </w:pPr>
            <w:r>
              <w:rPr>
                <w:rFonts w:ascii="Arial" w:cs="Arial" w:eastAsia="Arial" w:hAnsi="Arial"/>
                <w:sz w:val="17"/>
                <w:szCs w:val="17"/>
                <w:color w:val="auto"/>
                <w:w w:val="96"/>
              </w:rPr>
              <w:t>CNY [190]</w:t>
            </w:r>
          </w:p>
        </w:tc>
        <w:tc>
          <w:tcPr>
            <w:tcW w:w="280" w:type="dxa"/>
            <w:vAlign w:val="bottom"/>
            <w:tcBorders>
              <w:right w:val="single" w:sz="8" w:color="auto"/>
            </w:tcBorders>
          </w:tcPr>
          <w:p>
            <w:pPr>
              <w:spacing w:after="0"/>
              <w:rPr>
                <w:sz w:val="19"/>
                <w:szCs w:val="19"/>
                <w:color w:val="auto"/>
              </w:rPr>
            </w:pPr>
          </w:p>
        </w:tc>
        <w:tc>
          <w:tcPr>
            <w:tcW w:w="12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3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4"/>
          </w:tcPr>
          <w:p>
            <w:pPr>
              <w:jc w:val="center"/>
              <w:spacing w:after="0"/>
              <w:rPr>
                <w:sz w:val="20"/>
                <w:szCs w:val="20"/>
                <w:color w:val="auto"/>
              </w:rPr>
            </w:pPr>
            <w:r>
              <w:rPr>
                <w:rFonts w:ascii="Arial" w:cs="Arial" w:eastAsia="Arial" w:hAnsi="Arial"/>
                <w:sz w:val="17"/>
                <w:szCs w:val="17"/>
                <w:color w:val="auto"/>
                <w:w w:val="91"/>
              </w:rPr>
              <w:t>100% of the equity being pledged to [  Wuhan Studyvip Online</w:t>
            </w: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2"/>
          </w:tcPr>
          <w:p>
            <w:pPr>
              <w:ind w:left="800"/>
              <w:spacing w:after="0"/>
              <w:rPr>
                <w:sz w:val="20"/>
                <w:szCs w:val="20"/>
                <w:color w:val="auto"/>
              </w:rPr>
            </w:pPr>
            <w:r>
              <w:rPr>
                <w:rFonts w:ascii="Arial" w:cs="Arial" w:eastAsia="Arial" w:hAnsi="Arial"/>
                <w:sz w:val="17"/>
                <w:szCs w:val="17"/>
                <w:color w:val="auto"/>
              </w:rPr>
              <w:t>Education Co., Limited</w:t>
            </w:r>
          </w:p>
        </w:tc>
        <w:tc>
          <w:tcPr>
            <w:tcW w:w="1500" w:type="dxa"/>
            <w:vAlign w:val="bottom"/>
            <w:tcBorders>
              <w:right w:val="single" w:sz="8" w:color="auto"/>
            </w:tcBorders>
          </w:tcPr>
          <w:p>
            <w:pPr>
              <w:jc w:val="right"/>
              <w:ind w:right="1197"/>
              <w:spacing w:after="0"/>
              <w:rPr>
                <w:sz w:val="20"/>
                <w:szCs w:val="20"/>
                <w:color w:val="auto"/>
              </w:rPr>
            </w:pPr>
            <w:r>
              <w:rPr>
                <w:rFonts w:ascii="Arial" w:cs="Arial" w:eastAsia="Arial" w:hAnsi="Arial"/>
                <w:sz w:val="17"/>
                <w:szCs w:val="17"/>
                <w:color w:val="auto"/>
              </w:rPr>
              <w:t>]</w:t>
            </w: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02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Full name of the</w:t>
            </w:r>
          </w:p>
        </w:tc>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right w:val="single" w:sz="8" w:color="auto"/>
            </w:tcBorders>
          </w:tcPr>
          <w:p>
            <w:pPr>
              <w:jc w:val="center"/>
              <w:ind w:right="257"/>
              <w:spacing w:after="0"/>
              <w:rPr>
                <w:sz w:val="20"/>
                <w:szCs w:val="20"/>
                <w:color w:val="auto"/>
              </w:rPr>
            </w:pPr>
            <w:r>
              <w:rPr>
                <w:rFonts w:ascii="Arial" w:cs="Arial" w:eastAsia="Arial" w:hAnsi="Arial"/>
                <w:sz w:val="17"/>
                <w:szCs w:val="17"/>
                <w:b w:val="1"/>
                <w:bCs w:val="1"/>
                <w:color w:val="auto"/>
                <w:w w:val="95"/>
              </w:rPr>
              <w:t>[LI Yanjun]</w:t>
            </w:r>
          </w:p>
        </w:tc>
        <w:tc>
          <w:tcPr>
            <w:tcW w:w="160" w:type="dxa"/>
            <w:vAlign w:val="bottom"/>
            <w:tcBorders>
              <w:top w:val="single" w:sz="8" w:color="auto"/>
            </w:tcBorders>
          </w:tcPr>
          <w:p>
            <w:pPr>
              <w:spacing w:after="0"/>
              <w:rPr>
                <w:sz w:val="21"/>
                <w:szCs w:val="21"/>
                <w:color w:val="auto"/>
              </w:rPr>
            </w:pPr>
          </w:p>
        </w:tc>
        <w:tc>
          <w:tcPr>
            <w:tcW w:w="2080" w:type="dxa"/>
            <w:vAlign w:val="bottom"/>
            <w:tcBorders>
              <w:top w:val="single" w:sz="8" w:color="auto"/>
              <w:right w:val="single" w:sz="8" w:color="auto"/>
            </w:tcBorders>
            <w:gridSpan w:val="3"/>
          </w:tcPr>
          <w:p>
            <w:pPr>
              <w:jc w:val="center"/>
              <w:ind w:right="117"/>
              <w:spacing w:after="0"/>
              <w:rPr>
                <w:sz w:val="20"/>
                <w:szCs w:val="20"/>
                <w:color w:val="auto"/>
              </w:rPr>
            </w:pPr>
            <w:r>
              <w:rPr>
                <w:rFonts w:ascii="Arial" w:cs="Arial" w:eastAsia="Arial" w:hAnsi="Arial"/>
                <w:sz w:val="17"/>
                <w:szCs w:val="17"/>
                <w:b w:val="1"/>
                <w:bCs w:val="1"/>
                <w:color w:val="auto"/>
                <w:w w:val="91"/>
              </w:rPr>
              <w:t>ID Card No./ Registration</w:t>
            </w:r>
          </w:p>
        </w:tc>
        <w:tc>
          <w:tcPr>
            <w:tcW w:w="4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w w:val="99"/>
              </w:rPr>
              <w:t>[ [•] ]</w:t>
            </w:r>
          </w:p>
        </w:tc>
        <w:tc>
          <w:tcPr>
            <w:tcW w:w="440" w:type="dxa"/>
            <w:vAlign w:val="bottom"/>
            <w:tcBorders>
              <w:top w:val="single" w:sz="8" w:color="auto"/>
              <w:right w:val="single" w:sz="8" w:color="auto"/>
            </w:tcBorders>
          </w:tcPr>
          <w:p>
            <w:pPr>
              <w:spacing w:after="0"/>
              <w:rPr>
                <w:sz w:val="21"/>
                <w:szCs w:val="21"/>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Occupation/</w:t>
            </w:r>
          </w:p>
        </w:tc>
        <w:tc>
          <w:tcPr>
            <w:tcW w:w="760" w:type="dxa"/>
            <w:vAlign w:val="bottom"/>
            <w:tcBorders>
              <w:top w:val="single" w:sz="8" w:color="auto"/>
            </w:tcBorders>
          </w:tcPr>
          <w:p>
            <w:pPr>
              <w:spacing w:after="0"/>
              <w:rPr>
                <w:sz w:val="21"/>
                <w:szCs w:val="21"/>
                <w:color w:val="auto"/>
              </w:rPr>
            </w:pPr>
          </w:p>
        </w:tc>
        <w:tc>
          <w:tcPr>
            <w:tcW w:w="1720" w:type="dxa"/>
            <w:vAlign w:val="bottom"/>
            <w:tcBorders>
              <w:top w:val="single" w:sz="8" w:color="auto"/>
              <w:right w:val="single" w:sz="8" w:color="auto"/>
            </w:tcBorders>
          </w:tcPr>
          <w:p>
            <w:pPr>
              <w:spacing w:after="0"/>
              <w:rPr>
                <w:sz w:val="21"/>
                <w:szCs w:val="2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Shareholder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7"/>
              </w:rPr>
              <w:t>No.</w:t>
            </w:r>
          </w:p>
        </w:tc>
        <w:tc>
          <w:tcPr>
            <w:tcW w:w="5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Identity</w:t>
            </w:r>
          </w:p>
        </w:tc>
        <w:tc>
          <w:tcPr>
            <w:tcW w:w="76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50"/>
        </w:trPr>
        <w:tc>
          <w:tcPr>
            <w:tcW w:w="202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42"/>
        </w:trPr>
        <w:tc>
          <w:tcPr>
            <w:tcW w:w="2020" w:type="dxa"/>
            <w:vAlign w:val="bottom"/>
            <w:tcBorders>
              <w:left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97"/>
              </w:rPr>
              <w:t>Address of Domicile</w:t>
            </w:r>
          </w:p>
        </w:tc>
        <w:tc>
          <w:tcPr>
            <w:tcW w:w="160" w:type="dxa"/>
            <w:vAlign w:val="bottom"/>
            <w:tcBorders>
              <w:right w:val="single" w:sz="8" w:color="auto"/>
            </w:tcBorders>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737"/>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42"/>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2900" w:type="dxa"/>
            <w:vAlign w:val="bottom"/>
            <w:gridSpan w:val="5"/>
          </w:tcPr>
          <w:p>
            <w:pPr>
              <w:jc w:val="center"/>
              <w:ind w:left="177"/>
              <w:spacing w:after="0"/>
              <w:rPr>
                <w:sz w:val="20"/>
                <w:szCs w:val="20"/>
                <w:color w:val="auto"/>
              </w:rPr>
            </w:pPr>
            <w:r>
              <w:rPr>
                <w:rFonts w:ascii="Arial" w:cs="Arial" w:eastAsia="Arial" w:hAnsi="Arial"/>
                <w:sz w:val="17"/>
                <w:szCs w:val="17"/>
                <w:b w:val="1"/>
                <w:bCs w:val="1"/>
                <w:color w:val="auto"/>
                <w:w w:val="89"/>
              </w:rPr>
              <w:t>Contribution Amount/ Consideration</w:t>
            </w:r>
          </w:p>
        </w:tc>
        <w:tc>
          <w:tcPr>
            <w:tcW w:w="280" w:type="dxa"/>
            <w:vAlign w:val="bottom"/>
            <w:tcBorders>
              <w:right w:val="single" w:sz="8" w:color="auto"/>
            </w:tcBorders>
          </w:tcPr>
          <w:p>
            <w:pPr>
              <w:spacing w:after="0"/>
              <w:rPr>
                <w:sz w:val="21"/>
                <w:szCs w:val="21"/>
                <w:color w:val="auto"/>
              </w:rPr>
            </w:pPr>
          </w:p>
        </w:tc>
        <w:tc>
          <w:tcPr>
            <w:tcW w:w="22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Shareholding Percentage</w:t>
            </w:r>
          </w:p>
        </w:tc>
        <w:tc>
          <w:tcPr>
            <w:tcW w:w="46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Arial" w:cs="Arial" w:eastAsia="Arial" w:hAnsi="Arial"/>
                <w:sz w:val="17"/>
                <w:szCs w:val="17"/>
                <w:b w:val="1"/>
                <w:bCs w:val="1"/>
                <w:color w:val="auto"/>
              </w:rPr>
              <w:t>Note</w:t>
            </w:r>
          </w:p>
        </w:tc>
        <w:tc>
          <w:tcPr>
            <w:tcW w:w="172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gridSpan w:val="4"/>
          </w:tcPr>
          <w:p>
            <w:pPr>
              <w:jc w:val="center"/>
              <w:ind w:right="860"/>
              <w:spacing w:after="0"/>
              <w:rPr>
                <w:sz w:val="20"/>
                <w:szCs w:val="20"/>
                <w:color w:val="auto"/>
              </w:rPr>
            </w:pPr>
            <w:r>
              <w:rPr>
                <w:rFonts w:ascii="Arial" w:cs="Arial" w:eastAsia="Arial" w:hAnsi="Arial"/>
                <w:sz w:val="17"/>
                <w:szCs w:val="17"/>
                <w:color w:val="auto"/>
                <w:w w:val="98"/>
              </w:rPr>
              <w:t>CNY [10]</w:t>
            </w:r>
          </w:p>
        </w:tc>
        <w:tc>
          <w:tcPr>
            <w:tcW w:w="280" w:type="dxa"/>
            <w:vAlign w:val="bottom"/>
            <w:tcBorders>
              <w:right w:val="single" w:sz="8" w:color="auto"/>
            </w:tcBorders>
          </w:tcPr>
          <w:p>
            <w:pPr>
              <w:spacing w:after="0"/>
              <w:rPr>
                <w:sz w:val="19"/>
                <w:szCs w:val="19"/>
                <w:color w:val="auto"/>
              </w:rPr>
            </w:pPr>
          </w:p>
        </w:tc>
        <w:tc>
          <w:tcPr>
            <w:tcW w:w="12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5 ]%</w:t>
            </w:r>
          </w:p>
        </w:tc>
        <w:tc>
          <w:tcPr>
            <w:tcW w:w="460" w:type="dxa"/>
            <w:vAlign w:val="bottom"/>
            <w:tcBorders>
              <w:right w:val="single" w:sz="8" w:color="auto"/>
            </w:tcBorders>
          </w:tcPr>
          <w:p>
            <w:pPr>
              <w:spacing w:after="0"/>
              <w:rPr>
                <w:sz w:val="19"/>
                <w:szCs w:val="19"/>
                <w:color w:val="auto"/>
              </w:rPr>
            </w:pPr>
          </w:p>
        </w:tc>
        <w:tc>
          <w:tcPr>
            <w:tcW w:w="2760" w:type="dxa"/>
            <w:vAlign w:val="bottom"/>
            <w:gridSpan w:val="3"/>
          </w:tcPr>
          <w:p>
            <w:pPr>
              <w:ind w:left="60"/>
              <w:spacing w:after="0"/>
              <w:rPr>
                <w:sz w:val="20"/>
                <w:szCs w:val="20"/>
                <w:color w:val="auto"/>
              </w:rPr>
            </w:pPr>
            <w:r>
              <w:rPr>
                <w:rFonts w:ascii="Arial" w:cs="Arial" w:eastAsia="Arial" w:hAnsi="Arial"/>
                <w:sz w:val="17"/>
                <w:szCs w:val="17"/>
                <w:color w:val="auto"/>
                <w:w w:val="95"/>
              </w:rPr>
              <w:t>100% of the equity being pledged to [</w:t>
            </w:r>
          </w:p>
        </w:tc>
        <w:tc>
          <w:tcPr>
            <w:tcW w:w="1720" w:type="dxa"/>
            <w:vAlign w:val="bottom"/>
            <w:tcBorders>
              <w:right w:val="single" w:sz="8" w:color="auto"/>
            </w:tcBorders>
          </w:tcPr>
          <w:p>
            <w:pPr>
              <w:jc w:val="right"/>
              <w:ind w:right="17"/>
              <w:spacing w:after="0"/>
              <w:rPr>
                <w:sz w:val="20"/>
                <w:szCs w:val="20"/>
                <w:color w:val="auto"/>
              </w:rPr>
            </w:pPr>
            <w:r>
              <w:rPr>
                <w:rFonts w:ascii="Arial" w:cs="Arial" w:eastAsia="Arial" w:hAnsi="Arial"/>
                <w:sz w:val="17"/>
                <w:szCs w:val="17"/>
                <w:color w:val="auto"/>
                <w:w w:val="90"/>
              </w:rPr>
              <w:t>Wuhan Studyvip Online</w:t>
            </w: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2"/>
          </w:tcPr>
          <w:p>
            <w:pPr>
              <w:ind w:left="760"/>
              <w:spacing w:after="0"/>
              <w:rPr>
                <w:sz w:val="20"/>
                <w:szCs w:val="20"/>
                <w:color w:val="auto"/>
              </w:rPr>
            </w:pPr>
            <w:r>
              <w:rPr>
                <w:rFonts w:ascii="Arial" w:cs="Arial" w:eastAsia="Arial" w:hAnsi="Arial"/>
                <w:sz w:val="17"/>
                <w:szCs w:val="17"/>
                <w:color w:val="auto"/>
                <w:w w:val="90"/>
              </w:rPr>
              <w:t>Education Co., Limited</w:t>
            </w:r>
          </w:p>
        </w:tc>
        <w:tc>
          <w:tcPr>
            <w:tcW w:w="1720" w:type="dxa"/>
            <w:vAlign w:val="bottom"/>
            <w:tcBorders>
              <w:right w:val="single" w:sz="8" w:color="auto"/>
            </w:tcBorders>
          </w:tcPr>
          <w:p>
            <w:pPr>
              <w:jc w:val="right"/>
              <w:ind w:right="1157"/>
              <w:spacing w:after="0"/>
              <w:rPr>
                <w:sz w:val="20"/>
                <w:szCs w:val="20"/>
                <w:color w:val="auto"/>
              </w:rPr>
            </w:pPr>
            <w:r>
              <w:rPr>
                <w:rFonts w:ascii="Arial" w:cs="Arial" w:eastAsia="Arial" w:hAnsi="Arial"/>
                <w:sz w:val="17"/>
                <w:szCs w:val="17"/>
                <w:color w:val="auto"/>
              </w:rPr>
              <w:t>]</w:t>
            </w: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Annotation:</w:t>
      </w:r>
    </w:p>
    <w:p>
      <w:pPr>
        <w:spacing w:after="0" w:line="203" w:lineRule="exact"/>
        <w:rPr>
          <w:sz w:val="20"/>
          <w:szCs w:val="20"/>
          <w:color w:val="auto"/>
        </w:rPr>
      </w:pPr>
    </w:p>
    <w:p>
      <w:pPr>
        <w:ind w:right="240"/>
        <w:spacing w:after="0" w:line="257" w:lineRule="auto"/>
        <w:tabs>
          <w:tab w:leader="none" w:pos="166" w:val="left"/>
        </w:tabs>
        <w:numPr>
          <w:ilvl w:val="0"/>
          <w:numId w:val="559"/>
        </w:numPr>
        <w:rPr>
          <w:rFonts w:ascii="Arial" w:cs="Arial" w:eastAsia="Arial" w:hAnsi="Arial"/>
          <w:sz w:val="17"/>
          <w:szCs w:val="17"/>
          <w:b w:val="1"/>
          <w:bCs w:val="1"/>
          <w:color w:val="auto"/>
        </w:rPr>
      </w:pPr>
      <w:r>
        <w:rPr>
          <w:rFonts w:ascii="Arial" w:cs="Arial" w:eastAsia="Arial" w:hAnsi="Arial"/>
          <w:sz w:val="17"/>
          <w:szCs w:val="17"/>
          <w:b w:val="1"/>
          <w:bCs w:val="1"/>
          <w:color w:val="auto"/>
        </w:rPr>
        <w:t>This Shareholders’ Register is prepared as per the Articles of Association of Wuhan Xiaoyan Technology Co., Ltd. and the Equity Interest Pledge Agreement (the “Pledge Agreement”) was made as of the 10</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of September, 2019 and entered into by and among Wuhan Xiaoyan Technology Co., Ltd. and its shareholders and Wuhan Studyvip Online Education Co., Limited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w:t>
      </w:r>
    </w:p>
    <w:p>
      <w:pPr>
        <w:spacing w:after="0" w:line="20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This Shareholders’ Register is made in ONE (1) original and ONE (1) true and same photocopy of such original. Such ONE (1) original is placed at Tianjin Shangde Online</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Education Technology Co., Ltd.; and such ONE (1) photocopy being sealed by Tianjin Shangde Online Education Technology Co., Ltd. is handed over to Wuhan Studyvip Online Education Co., Limited for custody.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Xiaoyan Technology Co., Ltd. (Seal)</w:t>
      </w:r>
    </w:p>
    <w:p>
      <w:pPr>
        <w:spacing w:after="0" w:line="207" w:lineRule="exact"/>
        <w:rPr>
          <w:sz w:val="20"/>
          <w:szCs w:val="20"/>
          <w:color w:val="auto"/>
        </w:rPr>
      </w:pPr>
    </w:p>
    <w:p>
      <w:pPr>
        <w:spacing w:after="0"/>
        <w:tabs>
          <w:tab w:leader="none" w:pos="3140" w:val="left"/>
        </w:tabs>
        <w:rPr>
          <w:sz w:val="20"/>
          <w:szCs w:val="20"/>
          <w:color w:val="auto"/>
        </w:rPr>
      </w:pPr>
      <w:r>
        <w:rPr>
          <w:rFonts w:ascii="Arial" w:cs="Arial" w:eastAsia="Arial" w:hAnsi="Arial"/>
          <w:sz w:val="17"/>
          <w:szCs w:val="17"/>
          <w:color w:val="auto"/>
        </w:rPr>
        <w:t>Legal Representative (Signature):</w:t>
      </w:r>
      <w:r>
        <w:rPr>
          <w:sz w:val="20"/>
          <w:szCs w:val="20"/>
          <w:color w:val="auto"/>
        </w:rPr>
        <w:tab/>
      </w:r>
      <w:r>
        <w:rPr>
          <w:rFonts w:ascii="Arial" w:cs="Arial" w:eastAsia="Arial" w:hAnsi="Arial"/>
          <w:sz w:val="15"/>
          <w:szCs w:val="15"/>
          <w:color w:val="auto"/>
        </w:rPr>
        <w:t>/s/ HAN Wei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10160</wp:posOffset>
            </wp:positionV>
            <wp:extent cx="234950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8">
                      <a:extLst>
                        <a:ext uri="{28A0092B-C50C-407E-A947-70E740481C1C}"/>
                      </a:extLst>
                    </a:blip>
                    <a:srcRect/>
                    <a:stretch>
                      <a:fillRect/>
                    </a:stretch>
                  </pic:blipFill>
                  <pic:spPr bwMode="auto">
                    <a:xfrm>
                      <a:off x="0" y="0"/>
                      <a:ext cx="234950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448310</wp:posOffset>
            </wp:positionV>
            <wp:extent cx="7184390" cy="412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97" w:name="page498"/>
    <w:bookmarkEnd w:id="497"/>
    <w:p>
      <w:pPr>
        <w:jc w:val="center"/>
        <w:ind w:right="40"/>
        <w:spacing w:after="0"/>
        <w:rPr>
          <w:sz w:val="20"/>
          <w:szCs w:val="20"/>
          <w:color w:val="auto"/>
        </w:rPr>
      </w:pPr>
      <w:r>
        <w:rPr>
          <w:rFonts w:ascii="Arial" w:cs="Arial" w:eastAsia="Arial" w:hAnsi="Arial"/>
          <w:sz w:val="17"/>
          <w:szCs w:val="17"/>
          <w:b w:val="1"/>
          <w:bCs w:val="1"/>
          <w:color w:val="auto"/>
        </w:rPr>
        <w:t>Equity Interest Pledge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This Equity Interest Pledge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10th day of September, 2019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 (hereinafter referred to as the “</w:t>
      </w:r>
      <w:r>
        <w:rPr>
          <w:rFonts w:ascii="Arial" w:cs="Arial" w:eastAsia="Arial" w:hAnsi="Arial"/>
          <w:sz w:val="17"/>
          <w:szCs w:val="17"/>
          <w:b w:val="1"/>
          <w:bCs w:val="1"/>
          <w:color w:val="auto"/>
        </w:rPr>
        <w:t>Pledgors</w:t>
      </w: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LI Yanjun, ID No: [•]</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Wuhan Xiaoyan Technology Co., Ltd.</w:t>
      </w: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Registered Address: Room 02, 4th Floor, Unit 3, Building 1, 2, 3, Contemporary China Venture Center, No. 20, Guannanyuan 1st Road, East Lake New Technology Development Zone, Wuhan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HAN Wei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0" w:lineRule="exact"/>
        <w:rPr>
          <w:sz w:val="20"/>
          <w:szCs w:val="20"/>
          <w:color w:val="auto"/>
        </w:rPr>
      </w:pPr>
    </w:p>
    <w:p>
      <w:pPr>
        <w:spacing w:after="0" w:line="206" w:lineRule="exact"/>
        <w:rPr>
          <w:sz w:val="20"/>
          <w:szCs w:val="20"/>
          <w:color w:val="auto"/>
        </w:rPr>
      </w:pPr>
    </w:p>
    <w:p>
      <w:pPr>
        <w:ind w:left="420" w:hanging="420"/>
        <w:spacing w:after="0"/>
        <w:tabs>
          <w:tab w:leader="none" w:pos="42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165" w:lineRule="exact"/>
        <w:rPr>
          <w:rFonts w:ascii="Arial" w:cs="Arial" w:eastAsia="Arial" w:hAnsi="Arial"/>
          <w:sz w:val="17"/>
          <w:szCs w:val="17"/>
          <w:color w:val="auto"/>
        </w:rPr>
      </w:pPr>
    </w:p>
    <w:p>
      <w:pPr>
        <w:ind w:left="420" w:hanging="420"/>
        <w:spacing w:after="0"/>
        <w:tabs>
          <w:tab w:leader="none" w:pos="42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Party C is a limited liability company legally incorporated and existing under the law of the PRC.</w:t>
      </w:r>
    </w:p>
    <w:p>
      <w:pPr>
        <w:spacing w:after="0" w:line="165" w:lineRule="exact"/>
        <w:rPr>
          <w:rFonts w:ascii="Arial" w:cs="Arial" w:eastAsia="Arial" w:hAnsi="Arial"/>
          <w:sz w:val="17"/>
          <w:szCs w:val="17"/>
          <w:color w:val="auto"/>
        </w:rPr>
      </w:pPr>
    </w:p>
    <w:p>
      <w:pPr>
        <w:ind w:left="420" w:hanging="420"/>
        <w:spacing w:after="0"/>
        <w:tabs>
          <w:tab w:leader="none" w:pos="42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The Pledgors as a whole holds one hundred (100) percent of the equity of Party C, with the shareholding structure be listed in Annex II hereto.</w:t>
      </w:r>
    </w:p>
    <w:p>
      <w:pPr>
        <w:spacing w:after="0" w:line="165" w:lineRule="exact"/>
        <w:rPr>
          <w:rFonts w:ascii="Arial" w:cs="Arial" w:eastAsia="Arial" w:hAnsi="Arial"/>
          <w:sz w:val="17"/>
          <w:szCs w:val="17"/>
          <w:color w:val="auto"/>
        </w:rPr>
      </w:pPr>
    </w:p>
    <w:p>
      <w:pPr>
        <w:ind w:left="420" w:right="620" w:hanging="420"/>
        <w:spacing w:after="0" w:line="265" w:lineRule="auto"/>
        <w:tabs>
          <w:tab w:leader="none" w:pos="42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The Exclusive Technical Consultation and Service Agreement, the Business Operation Agreement and the Option Agreement were made as of 10</w:t>
      </w:r>
      <w:r>
        <w:rPr>
          <w:rFonts w:ascii="Arial" w:cs="Arial" w:eastAsia="Arial" w:hAnsi="Arial"/>
          <w:sz w:val="14"/>
          <w:szCs w:val="14"/>
          <w:color w:val="auto"/>
        </w:rPr>
        <w:t>th</w:t>
      </w:r>
      <w:r>
        <w:rPr>
          <w:rFonts w:ascii="Arial" w:cs="Arial" w:eastAsia="Arial" w:hAnsi="Arial"/>
          <w:sz w:val="17"/>
          <w:szCs w:val="17"/>
          <w:color w:val="auto"/>
        </w:rPr>
        <w:t xml:space="preserve"> day of September, 2019 by and among the Pledgee, the Pledgors and Party C.</w:t>
      </w:r>
    </w:p>
    <w:p>
      <w:pPr>
        <w:spacing w:after="0" w:line="129" w:lineRule="exact"/>
        <w:rPr>
          <w:rFonts w:ascii="Arial" w:cs="Arial" w:eastAsia="Arial" w:hAnsi="Arial"/>
          <w:sz w:val="17"/>
          <w:szCs w:val="17"/>
          <w:color w:val="auto"/>
        </w:rPr>
      </w:pPr>
    </w:p>
    <w:p>
      <w:pPr>
        <w:ind w:left="420" w:right="200" w:hanging="420"/>
        <w:spacing w:after="0" w:line="254" w:lineRule="auto"/>
        <w:tabs>
          <w:tab w:leader="none" w:pos="42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For the purpose of guaranteeing the collection by the Pledgee from Party C the service costs under the Exclusive Technical Consultation and Service Agreement and guaranteeing the performance of Individual Agreements (defined below), the Pledgors jointly and severally use all of the equity they hold in Party C as the pledge security for such Agreement, and the Pledgee shall be Party A.</w:t>
      </w:r>
    </w:p>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39" w:lineRule="exact"/>
        <w:rPr>
          <w:sz w:val="20"/>
          <w:szCs w:val="20"/>
          <w:color w:val="auto"/>
        </w:rPr>
      </w:pPr>
    </w:p>
    <w:p>
      <w:pPr>
        <w:ind w:left="720" w:hanging="720"/>
        <w:spacing w:after="0"/>
        <w:tabs>
          <w:tab w:leader="none" w:pos="720" w:val="left"/>
        </w:tabs>
        <w:numPr>
          <w:ilvl w:val="0"/>
          <w:numId w:val="561"/>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shall be interpreted as defined below unless otherwise provided herein: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rPr>
              <w:t xml:space="preserve">Pledge Right </w:t>
            </w:r>
            <w:r>
              <w:rPr>
                <w:rFonts w:ascii="Arial" w:cs="Arial" w:eastAsia="Arial" w:hAnsi="Arial"/>
                <w:sz w:val="17"/>
                <w:szCs w:val="17"/>
                <w:color w:val="auto"/>
              </w:rPr>
              <w:t>shall refer to all the contents as described in Section 2 below.</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89"/>
              </w:rPr>
              <w:t xml:space="preserve">Equity </w:t>
            </w:r>
            <w:r>
              <w:rPr>
                <w:rFonts w:ascii="Arial" w:cs="Arial" w:eastAsia="Arial" w:hAnsi="Arial"/>
                <w:sz w:val="17"/>
                <w:szCs w:val="17"/>
                <w:color w:val="auto"/>
                <w:w w:val="89"/>
              </w:rPr>
              <w:t>shall refer to the one hundred (100) percent of the equity legally held by the Pledgors as a whole and any and all the current and future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rights and benefits arising out of the foregoing.</w:t>
            </w:r>
          </w:p>
        </w:tc>
      </w:tr>
      <w:tr>
        <w:trPr>
          <w:trHeight w:val="598"/>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1</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498" w:name="page499"/>
    <w:bookmarkEnd w:id="498"/>
    <w:tbl>
      <w:tblPr>
        <w:tblLayout w:type="fixed"/>
        <w:tblInd w:w="860" w:type="dxa"/>
        <w:tblCellMar>
          <w:top w:w="0" w:type="dxa"/>
          <w:left w:w="0" w:type="dxa"/>
          <w:bottom w:w="0" w:type="dxa"/>
          <w:right w:w="0" w:type="dxa"/>
        </w:tblCellMar>
      </w:tblPr>
      <w:tr>
        <w:trPr>
          <w:trHeight w:val="203"/>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620" w:type="dxa"/>
            <w:vAlign w:val="bottom"/>
          </w:tcPr>
          <w:p>
            <w:pPr>
              <w:ind w:left="320"/>
              <w:spacing w:after="0"/>
              <w:rPr>
                <w:sz w:val="20"/>
                <w:szCs w:val="20"/>
                <w:color w:val="auto"/>
              </w:rPr>
            </w:pPr>
            <w:r>
              <w:rPr>
                <w:rFonts w:ascii="Arial" w:cs="Arial" w:eastAsia="Arial" w:hAnsi="Arial"/>
                <w:sz w:val="17"/>
                <w:szCs w:val="17"/>
                <w:b w:val="1"/>
                <w:bCs w:val="1"/>
                <w:color w:val="auto"/>
                <w:w w:val="88"/>
              </w:rPr>
              <w:t xml:space="preserve">Individual Agreements </w:t>
            </w:r>
            <w:r>
              <w:rPr>
                <w:rFonts w:ascii="Arial" w:cs="Arial" w:eastAsia="Arial" w:hAnsi="Arial"/>
                <w:sz w:val="17"/>
                <w:szCs w:val="17"/>
                <w:color w:val="auto"/>
                <w:w w:val="88"/>
              </w:rPr>
              <w:t>shall refer to the Exclusive Technical Consultation and Service Agreement, the Business Operation Agreement and</w:t>
            </w:r>
          </w:p>
        </w:tc>
      </w:tr>
      <w:tr>
        <w:trPr>
          <w:trHeight w:val="213"/>
        </w:trPr>
        <w:tc>
          <w:tcPr>
            <w:tcW w:w="540" w:type="dxa"/>
            <w:vAlign w:val="bottom"/>
          </w:tcPr>
          <w:p>
            <w:pPr>
              <w:spacing w:after="0"/>
              <w:rPr>
                <w:sz w:val="18"/>
                <w:szCs w:val="18"/>
                <w:color w:val="auto"/>
              </w:rPr>
            </w:pPr>
          </w:p>
        </w:tc>
        <w:tc>
          <w:tcPr>
            <w:tcW w:w="9620" w:type="dxa"/>
            <w:vAlign w:val="bottom"/>
          </w:tcPr>
          <w:p>
            <w:pPr>
              <w:ind w:left="320"/>
              <w:spacing w:after="0"/>
              <w:rPr>
                <w:sz w:val="20"/>
                <w:szCs w:val="20"/>
                <w:color w:val="auto"/>
              </w:rPr>
            </w:pPr>
            <w:r>
              <w:rPr>
                <w:rFonts w:ascii="Arial" w:cs="Arial" w:eastAsia="Arial" w:hAnsi="Arial"/>
                <w:sz w:val="17"/>
                <w:szCs w:val="17"/>
                <w:color w:val="auto"/>
              </w:rPr>
              <w:t>the Option Agreement made as of the 10</w:t>
            </w:r>
            <w:r>
              <w:rPr>
                <w:rFonts w:ascii="Arial" w:cs="Arial" w:eastAsia="Arial" w:hAnsi="Arial"/>
                <w:sz w:val="14"/>
                <w:szCs w:val="14"/>
                <w:color w:val="auto"/>
              </w:rPr>
              <w:t>th</w:t>
            </w:r>
            <w:r>
              <w:rPr>
                <w:rFonts w:ascii="Arial" w:cs="Arial" w:eastAsia="Arial" w:hAnsi="Arial"/>
                <w:sz w:val="17"/>
                <w:szCs w:val="17"/>
                <w:color w:val="auto"/>
              </w:rPr>
              <w:t xml:space="preserve"> day of September, 2019 by and among the Pledgee, Party C and other parties.</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620" w:type="dxa"/>
            <w:vAlign w:val="bottom"/>
          </w:tcPr>
          <w:p>
            <w:pPr>
              <w:ind w:left="320"/>
              <w:spacing w:after="0"/>
              <w:rPr>
                <w:sz w:val="20"/>
                <w:szCs w:val="20"/>
                <w:color w:val="auto"/>
              </w:rPr>
            </w:pPr>
            <w:r>
              <w:rPr>
                <w:rFonts w:ascii="Arial" w:cs="Arial" w:eastAsia="Arial" w:hAnsi="Arial"/>
                <w:sz w:val="17"/>
                <w:szCs w:val="17"/>
                <w:b w:val="1"/>
                <w:bCs w:val="1"/>
                <w:color w:val="auto"/>
              </w:rPr>
              <w:t xml:space="preserve">A Default Event </w:t>
            </w:r>
            <w:r>
              <w:rPr>
                <w:rFonts w:ascii="Arial" w:cs="Arial" w:eastAsia="Arial" w:hAnsi="Arial"/>
                <w:sz w:val="17"/>
                <w:szCs w:val="17"/>
                <w:color w:val="auto"/>
              </w:rPr>
              <w:t>shall refer to any of the circumstances described in Section 7 below.</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620" w:type="dxa"/>
            <w:vAlign w:val="bottom"/>
          </w:tcPr>
          <w:p>
            <w:pPr>
              <w:ind w:left="320"/>
              <w:spacing w:after="0"/>
              <w:rPr>
                <w:sz w:val="20"/>
                <w:szCs w:val="20"/>
                <w:color w:val="auto"/>
              </w:rPr>
            </w:pPr>
            <w:r>
              <w:rPr>
                <w:rFonts w:ascii="Arial" w:cs="Arial" w:eastAsia="Arial" w:hAnsi="Arial"/>
                <w:sz w:val="17"/>
                <w:szCs w:val="17"/>
                <w:b w:val="1"/>
                <w:bCs w:val="1"/>
                <w:color w:val="auto"/>
              </w:rPr>
              <w:t xml:space="preserve">Default Notice </w:t>
            </w:r>
            <w:r>
              <w:rPr>
                <w:rFonts w:ascii="Arial" w:cs="Arial" w:eastAsia="Arial" w:hAnsi="Arial"/>
                <w:sz w:val="17"/>
                <w:szCs w:val="17"/>
                <w:color w:val="auto"/>
              </w:rPr>
              <w:t>shall refer to a notice declaring a Default Event which is issued by a Pledgor pursuant to this Agreement.</w:t>
            </w:r>
          </w:p>
        </w:tc>
      </w:tr>
    </w:tbl>
    <w:p>
      <w:pPr>
        <w:spacing w:after="0" w:line="170" w:lineRule="exact"/>
        <w:rPr>
          <w:sz w:val="20"/>
          <w:szCs w:val="20"/>
          <w:color w:val="auto"/>
        </w:rPr>
      </w:pPr>
    </w:p>
    <w:p>
      <w:pPr>
        <w:ind w:left="720" w:hanging="720"/>
        <w:spacing w:after="0"/>
        <w:tabs>
          <w:tab w:leader="none" w:pos="720" w:val="left"/>
        </w:tabs>
        <w:numPr>
          <w:ilvl w:val="0"/>
          <w:numId w:val="562"/>
        </w:numPr>
        <w:rPr>
          <w:rFonts w:ascii="Arial" w:cs="Arial" w:eastAsia="Arial" w:hAnsi="Arial"/>
          <w:sz w:val="17"/>
          <w:szCs w:val="17"/>
          <w:b w:val="1"/>
          <w:bCs w:val="1"/>
          <w:color w:val="auto"/>
        </w:rPr>
      </w:pPr>
      <w:r>
        <w:rPr>
          <w:rFonts w:ascii="Arial" w:cs="Arial" w:eastAsia="Arial" w:hAnsi="Arial"/>
          <w:sz w:val="17"/>
          <w:szCs w:val="17"/>
          <w:b w:val="1"/>
          <w:bCs w:val="1"/>
          <w:color w:val="auto"/>
        </w:rPr>
        <w:t>Pledge</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9760" w:type="dxa"/>
            <w:vAlign w:val="bottom"/>
          </w:tcPr>
          <w:p>
            <w:pPr>
              <w:ind w:left="320"/>
              <w:spacing w:after="0"/>
              <w:rPr>
                <w:sz w:val="20"/>
                <w:szCs w:val="20"/>
                <w:color w:val="auto"/>
              </w:rPr>
            </w:pPr>
            <w:r>
              <w:rPr>
                <w:rFonts w:ascii="Arial" w:cs="Arial" w:eastAsia="Arial" w:hAnsi="Arial"/>
                <w:sz w:val="17"/>
                <w:szCs w:val="17"/>
                <w:color w:val="auto"/>
                <w:w w:val="88"/>
              </w:rPr>
              <w:t>The Pledgors pledge to the Pledgee as the security of the Pledgee’s rights and benefits under the Individual Agreements all the Equity owned</w:t>
            </w:r>
          </w:p>
        </w:tc>
      </w:tr>
      <w:tr>
        <w:trPr>
          <w:trHeight w:val="212"/>
        </w:trPr>
        <w:tc>
          <w:tcPr>
            <w:tcW w:w="54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rPr>
              <w:t>by the Pledgors and the dividends which arise from the Equity during the effective term of this 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9760" w:type="dxa"/>
            <w:vAlign w:val="bottom"/>
          </w:tcPr>
          <w:p>
            <w:pPr>
              <w:ind w:left="320"/>
              <w:spacing w:after="0"/>
              <w:rPr>
                <w:sz w:val="20"/>
                <w:szCs w:val="20"/>
                <w:color w:val="auto"/>
              </w:rPr>
            </w:pPr>
            <w:r>
              <w:rPr>
                <w:rFonts w:ascii="Arial" w:cs="Arial" w:eastAsia="Arial" w:hAnsi="Arial"/>
                <w:sz w:val="17"/>
                <w:szCs w:val="17"/>
                <w:color w:val="auto"/>
                <w:w w:val="89"/>
              </w:rPr>
              <w:t>The scope guaranteed by the pledge of the Equity hereunder shall be all fees, costs and expenses (including legal costs) payable by Party C</w:t>
            </w:r>
          </w:p>
        </w:tc>
      </w:tr>
      <w:tr>
        <w:trPr>
          <w:trHeight w:val="199"/>
        </w:trPr>
        <w:tc>
          <w:tcPr>
            <w:tcW w:w="54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w w:val="87"/>
              </w:rPr>
              <w:t>and/or the Pledgors, and the losses, interest, liquidated damages, compensation, the costs for realizing the claims, and the liability that Party C</w:t>
            </w:r>
          </w:p>
        </w:tc>
      </w:tr>
      <w:tr>
        <w:trPr>
          <w:trHeight w:val="212"/>
        </w:trPr>
        <w:tc>
          <w:tcPr>
            <w:tcW w:w="54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7"/>
                <w:szCs w:val="17"/>
                <w:color w:val="auto"/>
              </w:rPr>
              <w:t>and/or the Pledgors shall bear in case of entire or partial invalidation of any of Individual Agreements for any reason.</w:t>
            </w:r>
          </w:p>
        </w:tc>
      </w:tr>
    </w:tbl>
    <w:p>
      <w:pPr>
        <w:spacing w:after="0" w:line="149" w:lineRule="exact"/>
        <w:rPr>
          <w:sz w:val="20"/>
          <w:szCs w:val="20"/>
          <w:color w:val="auto"/>
        </w:rPr>
      </w:pPr>
    </w:p>
    <w:p>
      <w:pPr>
        <w:jc w:val="both"/>
        <w:ind w:left="880" w:right="40"/>
        <w:spacing w:after="0" w:line="269" w:lineRule="auto"/>
        <w:rPr>
          <w:sz w:val="20"/>
          <w:szCs w:val="20"/>
          <w:color w:val="auto"/>
        </w:rPr>
      </w:pPr>
      <w:r>
        <w:rPr>
          <w:rFonts w:ascii="Arial" w:cs="Arial" w:eastAsia="Arial" w:hAnsi="Arial"/>
          <w:sz w:val="16"/>
          <w:szCs w:val="16"/>
          <w:color w:val="auto"/>
        </w:rPr>
        <w:t>In case the competent industrial and commercial administration expressly requires a definite amount of the guaranteed claims during the handling of the Equity pledge registration process, the parties hereto agree, for the sole purpose of handling the Equity pledge registration, to register as the amount of the claims under the Individual Agreements CNY 5,000,000 and any and all breach-of-contract liability and damages under the related agreements. The parties further acknowledge that for the purpose of handling the Equity pledge registration, the foregoing amount shall not diminish or limit any rights or interest that Party A has under the Individual Agreements and this Equity Pledge Agreement.</w:t>
      </w:r>
    </w:p>
    <w:p>
      <w:pPr>
        <w:spacing w:after="0" w:line="12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2.3</w:t>
            </w: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The Pledge Rights hereunder shall refer to the rights for the Pledgee to be paid from in priority the money gained from the conversion into</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money, auction or sale of the Equity pledged by the Pledgors to the Pledgee.</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After this Agreement takes effect, unless expressly agreed by the Pledgee in writing, the pledge hereunder may be relieved only after Party C</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and the Pledgors have properly and fully performed all of their obligations under the Individual Agreements and the performance thereof has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been recognized by the Pledgee in writing. In case Party C or any of the Pledgors fails to fully perform any of its obligations under the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Individual Agreements upon expiration of the period described thereunder, the Pledgors shall still has the Pledge Rights herein; and the pledge</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will be relieved until the foregoing obligations and liability have been fully performed to the Pledgee’s satisfaction.</w:t>
            </w:r>
          </w:p>
        </w:tc>
      </w:tr>
    </w:tbl>
    <w:p>
      <w:pPr>
        <w:spacing w:after="0" w:line="145" w:lineRule="exact"/>
        <w:rPr>
          <w:sz w:val="20"/>
          <w:szCs w:val="20"/>
          <w:color w:val="auto"/>
        </w:rPr>
      </w:pPr>
    </w:p>
    <w:p>
      <w:pPr>
        <w:ind w:left="720" w:hanging="720"/>
        <w:spacing w:after="0"/>
        <w:tabs>
          <w:tab w:leader="none" w:pos="720" w:val="left"/>
        </w:tabs>
        <w:numPr>
          <w:ilvl w:val="0"/>
          <w:numId w:val="563"/>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00" w:type="dxa"/>
            <w:vAlign w:val="bottom"/>
          </w:tcPr>
          <w:p>
            <w:pPr>
              <w:ind w:left="320"/>
              <w:spacing w:after="0"/>
              <w:rPr>
                <w:sz w:val="20"/>
                <w:szCs w:val="20"/>
                <w:color w:val="auto"/>
              </w:rPr>
            </w:pPr>
            <w:r>
              <w:rPr>
                <w:rFonts w:ascii="Arial" w:cs="Arial" w:eastAsia="Arial" w:hAnsi="Arial"/>
                <w:sz w:val="17"/>
                <w:szCs w:val="17"/>
                <w:color w:val="auto"/>
                <w:w w:val="87"/>
              </w:rPr>
              <w:t>This Agreement shall be formed and take effect as of the date of being signed and/or sealed by the parties hereto. The Pledge Rights hereunder</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0"/>
              </w:rPr>
              <w:t>shall be set up and take effect as of the date when the registration formalities regarding the Equity pledge have been completed at Party C’s</w:t>
            </w:r>
          </w:p>
        </w:tc>
      </w:tr>
      <w:tr>
        <w:trPr>
          <w:trHeight w:val="212"/>
        </w:trPr>
        <w:tc>
          <w:tcPr>
            <w:tcW w:w="540" w:type="dxa"/>
            <w:vAlign w:val="bottom"/>
          </w:tcPr>
          <w:p>
            <w:pPr>
              <w:spacing w:after="0"/>
              <w:rPr>
                <w:sz w:val="18"/>
                <w:szCs w:val="18"/>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rPr>
              <w:t>competent industrial and commercial administration.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00" w:type="dxa"/>
            <w:vAlign w:val="bottom"/>
          </w:tcPr>
          <w:p>
            <w:pPr>
              <w:ind w:left="320"/>
              <w:spacing w:after="0"/>
              <w:rPr>
                <w:sz w:val="20"/>
                <w:szCs w:val="20"/>
                <w:color w:val="auto"/>
              </w:rPr>
            </w:pPr>
            <w:r>
              <w:rPr>
                <w:rFonts w:ascii="Arial" w:cs="Arial" w:eastAsia="Arial" w:hAnsi="Arial"/>
                <w:sz w:val="17"/>
                <w:szCs w:val="17"/>
                <w:color w:val="auto"/>
                <w:w w:val="89"/>
              </w:rPr>
              <w:t>During the effective term of this Agreement, in case Party C fails to pay the service costs subject to the Exclusive Technical Consultation and</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88"/>
              </w:rPr>
              <w:t>Service Agreement or perform any other obligations thereunder, the Pledgee shall have the right to exercise the Pledge Rights hereunder after</w:t>
            </w:r>
          </w:p>
        </w:tc>
      </w:tr>
      <w:tr>
        <w:trPr>
          <w:trHeight w:val="212"/>
        </w:trPr>
        <w:tc>
          <w:tcPr>
            <w:tcW w:w="540" w:type="dxa"/>
            <w:vAlign w:val="bottom"/>
          </w:tcPr>
          <w:p>
            <w:pPr>
              <w:spacing w:after="0"/>
              <w:rPr>
                <w:sz w:val="18"/>
                <w:szCs w:val="18"/>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rPr>
              <w:t>issuing a reasonable notice.</w:t>
            </w:r>
          </w:p>
        </w:tc>
      </w:tr>
    </w:tbl>
    <w:p>
      <w:pPr>
        <w:spacing w:after="0" w:line="145" w:lineRule="exact"/>
        <w:rPr>
          <w:sz w:val="20"/>
          <w:szCs w:val="20"/>
          <w:color w:val="auto"/>
        </w:rPr>
      </w:pPr>
    </w:p>
    <w:p>
      <w:pPr>
        <w:ind w:left="720" w:hanging="720"/>
        <w:spacing w:after="0"/>
        <w:tabs>
          <w:tab w:leader="none" w:pos="720" w:val="left"/>
        </w:tabs>
        <w:numPr>
          <w:ilvl w:val="0"/>
          <w:numId w:val="564"/>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and Custody of the Pledge Rights Receipts; Registration of Pledge Rights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4.1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The Pledgors shall, within Ten (10) business days after the execution of this Agreement or any other date mutually negotiated and fixed by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Parties hereto, deliver to the Pledgee the Equity</w:t>
            </w:r>
          </w:p>
        </w:tc>
      </w:tr>
      <w:tr>
        <w:trPr>
          <w:trHeight w:val="585"/>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3" w:right="299" w:bottom="1440" w:gutter="0" w:footer="0" w:header="0"/>
        </w:sectPr>
      </w:pPr>
    </w:p>
    <w:bookmarkStart w:id="499" w:name="page500"/>
    <w:bookmarkEnd w:id="499"/>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Contribution Certificate (Original) for the pledge’s custody, submit to the Pledgee the certification that the pledge hereunder has been properly</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registered in Party C’s Shareholders’ Register, and handle any and all examinations and approvals and registration and filing formalities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8"/>
              </w:rPr>
              <w:t>(including but not limited to, handling the Equity pledge registration formalities at Party C’s competent industrial and commercial</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administration subject to the laws of China) required by the laws and regulations of China.</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In case of any change of particulars and the registration needs to be legally changed accordingly, the Pledgee and the Pledgors shall, within</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Five (5) business days as of the date of change of particulars, carry out the change of registration accordingly, submit the applicable change of</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6"/>
              </w:rPr>
              <w:t>registration documents and handle the applicable change registration formalities at Party C’s competent industrial and commercial</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administration.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4.3</w:t>
            </w: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During the Equity pledge period, the Pledgors shall instruct Party C not to distribute any dividend or bonus or approve any profit distribution</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program; or in case the Pledgors shall obtain any economic interest of any nature from the pledged Equity other than dividend or bonus or any</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other profit distribution program, the Pledgors shall remit, as required and instructed by the Pledgee, to the banking account specified by the</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9"/>
              </w:rPr>
              <w:t>Pledgee the applicable (realized) amount, which shall not be used by the Pledgors without the Pledgee’s prior written consent.</w:t>
            </w:r>
          </w:p>
        </w:tc>
      </w:tr>
      <w:tr>
        <w:trPr>
          <w:trHeight w:val="345"/>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4.4</w:t>
            </w: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During the Equity pledge period, in case the any of the Pledgors subscribe for or purchase any of Party C’s new registered capital or any of</w:t>
            </w:r>
          </w:p>
        </w:tc>
      </w:tr>
      <w:tr>
        <w:trPr>
          <w:trHeight w:val="203"/>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Party C’s Equity held by any other Pledgor (the “</w:t>
            </w:r>
            <w:r>
              <w:rPr>
                <w:rFonts w:ascii="Arial" w:cs="Arial" w:eastAsia="Arial" w:hAnsi="Arial"/>
                <w:sz w:val="17"/>
                <w:szCs w:val="17"/>
                <w:b w:val="1"/>
                <w:bCs w:val="1"/>
                <w:color w:val="auto"/>
                <w:w w:val="94"/>
              </w:rPr>
              <w:t>New Equity</w:t>
            </w:r>
            <w:r>
              <w:rPr>
                <w:rFonts w:ascii="Arial" w:cs="Arial" w:eastAsia="Arial" w:hAnsi="Arial"/>
                <w:sz w:val="17"/>
                <w:szCs w:val="17"/>
                <w:color w:val="auto"/>
                <w:w w:val="94"/>
              </w:rPr>
              <w:t>”), the New Equity will then automatically form part of the pledged Equity</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hereunder, and such Pledgor shall complete any and all formalities regarding the pledge of the New Equity within Ten (10) business days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following its acquisition of the New Equity. In case the Pledgor fails to complete the applicable formalities as required in the preceding</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sentence, the Pledgee may promptly have the Pledge Rights realized pursuant to Section 8 below.</w:t>
            </w:r>
          </w:p>
        </w:tc>
      </w:tr>
    </w:tbl>
    <w:p>
      <w:pPr>
        <w:spacing w:after="0" w:line="145" w:lineRule="exact"/>
        <w:rPr>
          <w:sz w:val="20"/>
          <w:szCs w:val="20"/>
          <w:color w:val="auto"/>
        </w:rPr>
      </w:pPr>
    </w:p>
    <w:p>
      <w:pPr>
        <w:ind w:left="720" w:hanging="720"/>
        <w:spacing w:after="0"/>
        <w:tabs>
          <w:tab w:leader="none" w:pos="720" w:val="left"/>
        </w:tabs>
        <w:numPr>
          <w:ilvl w:val="0"/>
          <w:numId w:val="565"/>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Pledgors</w:t>
      </w:r>
    </w:p>
    <w:p>
      <w:pPr>
        <w:spacing w:after="0" w:line="18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Upon the execution of this Agreement, the Pledgors make to the Pledgee the following representations and warranties and confirm that this Agreement is signed and performed by the Pledgee by them in reliance of such representations and warranties: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9"/>
              </w:rPr>
              <w:t>The Pledgors lawfully hold the Equity hereunder and have the right to use such Equity to provide pledge security to the Pledgee.</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After this Agreement is executed, during the period when the Pledgee has the Pledge Rights subject to Section 2.4 above, when the Pledgee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exercises, at any time, its rights or has the Pledge Rights realized pursuant to this Agreement, there shall be no lawful claim or proper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intervention from or by any third party.</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5.3</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The Pledgee shall have the right to exercise the Pledge Rights as per the method described herein or otherwise permitted by the laws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regulations.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5.4</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The Pledgors have obtained all necessary corporate authorization to sign this Agreement and perform its obligations hereunder, which does not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violate any provisions of any applicable laws and regulations. The authorized representative signatories of this Agreement have obtained legal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effective authorization.</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5.5</w:t>
            </w: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There is no encumbrance or security interest of any nature for any third person (including but not limited to pledge) except for the pledge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hereunder in connection with the Equity held by the Pledgors.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5.6</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There are no pending or threatened civil, administrative or criminal proceedings, administrative punishment or arbitration in connection with</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the Equity.</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3</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500" w:name="page501"/>
    <w:bookmarkEnd w:id="500"/>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5.7</w:t>
            </w:r>
          </w:p>
        </w:tc>
        <w:tc>
          <w:tcPr>
            <w:tcW w:w="9540" w:type="dxa"/>
            <w:vAlign w:val="bottom"/>
          </w:tcPr>
          <w:p>
            <w:pPr>
              <w:ind w:left="320"/>
              <w:spacing w:after="0"/>
              <w:rPr>
                <w:sz w:val="20"/>
                <w:szCs w:val="20"/>
                <w:color w:val="auto"/>
              </w:rPr>
            </w:pPr>
            <w:r>
              <w:rPr>
                <w:rFonts w:ascii="Arial" w:cs="Arial" w:eastAsia="Arial" w:hAnsi="Arial"/>
                <w:sz w:val="17"/>
                <w:szCs w:val="17"/>
                <w:color w:val="auto"/>
                <w:w w:val="87"/>
              </w:rPr>
              <w:t>There are no tax or fee due but unpaid, or legal procedures or formalities that should have been completed but have not been completed, in</w:t>
            </w:r>
          </w:p>
        </w:tc>
      </w:tr>
      <w:tr>
        <w:trPr>
          <w:trHeight w:val="212"/>
        </w:trPr>
        <w:tc>
          <w:tcPr>
            <w:tcW w:w="540" w:type="dxa"/>
            <w:vAlign w:val="bottom"/>
          </w:tcPr>
          <w:p>
            <w:pPr>
              <w:spacing w:after="0"/>
              <w:rPr>
                <w:sz w:val="18"/>
                <w:szCs w:val="18"/>
                <w:color w:val="auto"/>
              </w:rPr>
            </w:pPr>
          </w:p>
        </w:tc>
        <w:tc>
          <w:tcPr>
            <w:tcW w:w="9540" w:type="dxa"/>
            <w:vAlign w:val="bottom"/>
          </w:tcPr>
          <w:p>
            <w:pPr>
              <w:ind w:left="320"/>
              <w:spacing w:after="0"/>
              <w:rPr>
                <w:sz w:val="20"/>
                <w:szCs w:val="20"/>
                <w:color w:val="auto"/>
              </w:rPr>
            </w:pPr>
            <w:r>
              <w:rPr>
                <w:rFonts w:ascii="Arial" w:cs="Arial" w:eastAsia="Arial" w:hAnsi="Arial"/>
                <w:sz w:val="17"/>
                <w:szCs w:val="17"/>
                <w:color w:val="auto"/>
              </w:rPr>
              <w:t>connection with the Equity.</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5.8</w:t>
            </w:r>
          </w:p>
        </w:tc>
        <w:tc>
          <w:tcPr>
            <w:tcW w:w="9540" w:type="dxa"/>
            <w:vAlign w:val="bottom"/>
          </w:tcPr>
          <w:p>
            <w:pPr>
              <w:ind w:left="320"/>
              <w:spacing w:after="0"/>
              <w:rPr>
                <w:sz w:val="20"/>
                <w:szCs w:val="20"/>
                <w:color w:val="auto"/>
              </w:rPr>
            </w:pPr>
            <w:r>
              <w:rPr>
                <w:rFonts w:ascii="Arial" w:cs="Arial" w:eastAsia="Arial" w:hAnsi="Arial"/>
                <w:sz w:val="17"/>
                <w:szCs w:val="17"/>
                <w:color w:val="auto"/>
              </w:rPr>
              <w:t>Any and all provisions hereof are the expression of the Pledgors’ true intention and are binding upon the Pledgors.</w:t>
            </w:r>
          </w:p>
        </w:tc>
      </w:tr>
    </w:tbl>
    <w:p>
      <w:pPr>
        <w:spacing w:after="0" w:line="170" w:lineRule="exact"/>
        <w:rPr>
          <w:sz w:val="20"/>
          <w:szCs w:val="20"/>
          <w:color w:val="auto"/>
        </w:rPr>
      </w:pPr>
    </w:p>
    <w:p>
      <w:pPr>
        <w:ind w:left="720" w:hanging="720"/>
        <w:spacing w:after="0"/>
        <w:tabs>
          <w:tab w:leader="none" w:pos="720" w:val="left"/>
        </w:tabs>
        <w:numPr>
          <w:ilvl w:val="0"/>
          <w:numId w:val="566"/>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 of the Pledgors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6.1</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During the effective term of this Agreement, the Pledgors undertake to the Pledgee that the Pledgors:</w:t>
            </w:r>
          </w:p>
        </w:tc>
      </w:tr>
      <w:tr>
        <w:trPr>
          <w:trHeight w:val="374"/>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6.1.1</w:t>
            </w:r>
          </w:p>
        </w:tc>
        <w:tc>
          <w:tcPr>
            <w:tcW w:w="8960" w:type="dxa"/>
            <w:vAlign w:val="bottom"/>
          </w:tcPr>
          <w:p>
            <w:pPr>
              <w:ind w:left="260"/>
              <w:spacing w:after="0"/>
              <w:rPr>
                <w:sz w:val="20"/>
                <w:szCs w:val="20"/>
                <w:color w:val="auto"/>
              </w:rPr>
            </w:pPr>
            <w:r>
              <w:rPr>
                <w:rFonts w:ascii="Arial" w:cs="Arial" w:eastAsia="Arial" w:hAnsi="Arial"/>
                <w:sz w:val="17"/>
                <w:szCs w:val="17"/>
                <w:color w:val="auto"/>
                <w:w w:val="89"/>
              </w:rPr>
              <w:t>Except for the transfer of the Equity to the Pledgee or any other person specified by the Pledgee as required by the Pledgee, prior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to the full performance of their obligations thereunder, without the Pledgee’s prior written consent, will not transfer the Equity 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88"/>
              </w:rPr>
              <w:t>create, or permit, any pledge or any other encumbrance that may affect the Pledgee’s rights or interest or any third-person security</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interest of any form. Without the Pledgee’s prior written consent, the Pledgors shall not take any action which will or may result</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in change to the Equity or any rights incidental to the Equity, which will or may then result in substantially adverse effects upon</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the Pledgee’s rights.</w:t>
            </w:r>
          </w:p>
        </w:tc>
      </w:tr>
      <w:tr>
        <w:trPr>
          <w:trHeight w:val="349"/>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6.1.2</w:t>
            </w:r>
          </w:p>
        </w:tc>
        <w:tc>
          <w:tcPr>
            <w:tcW w:w="8960" w:type="dxa"/>
            <w:vAlign w:val="bottom"/>
          </w:tcPr>
          <w:p>
            <w:pPr>
              <w:ind w:left="260"/>
              <w:spacing w:after="0"/>
              <w:rPr>
                <w:sz w:val="20"/>
                <w:szCs w:val="20"/>
                <w:color w:val="auto"/>
              </w:rPr>
            </w:pPr>
            <w:r>
              <w:rPr>
                <w:rFonts w:ascii="Arial" w:cs="Arial" w:eastAsia="Arial" w:hAnsi="Arial"/>
                <w:sz w:val="17"/>
                <w:szCs w:val="17"/>
                <w:color w:val="auto"/>
                <w:w w:val="90"/>
              </w:rPr>
              <w:t>Comply with and implement the provisions of all applicable laws and regulations, and within Five (5) business days upon receipt</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of any notice, order or suggestion issued or prepared by the relevant competent authority in connection with the Pledge Rights,</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produce to the Pledgee such notice, order or suggestion and take action as reasonably instructed by the Pledgee.</w:t>
            </w:r>
          </w:p>
        </w:tc>
      </w:tr>
      <w:tr>
        <w:trPr>
          <w:trHeight w:val="349"/>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6.1.3</w:t>
            </w:r>
          </w:p>
        </w:tc>
        <w:tc>
          <w:tcPr>
            <w:tcW w:w="8960" w:type="dxa"/>
            <w:vAlign w:val="bottom"/>
          </w:tcPr>
          <w:p>
            <w:pPr>
              <w:ind w:left="260"/>
              <w:spacing w:after="0"/>
              <w:rPr>
                <w:sz w:val="20"/>
                <w:szCs w:val="20"/>
                <w:color w:val="auto"/>
              </w:rPr>
            </w:pPr>
            <w:r>
              <w:rPr>
                <w:rFonts w:ascii="Arial" w:cs="Arial" w:eastAsia="Arial" w:hAnsi="Arial"/>
                <w:sz w:val="17"/>
                <w:szCs w:val="17"/>
                <w:color w:val="auto"/>
                <w:w w:val="89"/>
              </w:rPr>
              <w:t>Timely notify the Pledgee any event or notice received that may affect the Pledgors’ Equity or other rights hereunder, any event 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3"/>
              </w:rPr>
              <w:t>notice received that may affect any of the Pledgors’ obligations hereunder or affect the Pledgors’ performance of any of their</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obligations hereunder, and take action as reasonably instructed by the Pledgee.</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6.2</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agree that they will procure that the exercise by the Pledgee of any of its rights pursuant to the provisions of this Agreement will</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not be interrupted or prevented by the Pledgors or their successors or assignees or any other persons.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6.3</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The Pledgors warrant to the Pledgee that for the purpose of protecting or perfecting the security of the Pledgors and/or Party C’s obligations</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4"/>
              </w:rPr>
              <w:t>under the Individual Agreements, the Pledgors will make all necessary amendments to Party C’s Articles of Association (if applicable),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honestly sign, and procure any other persons who has interest in Pledge Rights to sign all title or right certificates and deeds as requested by</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2"/>
              </w:rPr>
              <w:t>the Pledgee, and/or perform, and procure any other persons who has interest therein to perform, the acts as reasonably requested by the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Pledgee, facilitate the exercise by the Pledgee of the Pledge Rights, sign all documents related to the Equity certificate change with the Pledgee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1"/>
              </w:rPr>
              <w:t>or any third party appointed by the Pledgee, and provide to the Pledgee within a reasonable period all the documents related to the Pledge</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Rights as needed by the Pledgee.</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6.4</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warrant to the Pledgee that for the protection of the Pledgee’s interest, the Pledgors will comply with and perform all warranties,</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undertaking, covenants and representations. In case the Pledgors fail to perform, or partially perform, their warranties, undertaking, covenants</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8"/>
              </w:rPr>
              <w:t>or representations, the Pledgors shall indemnify all the loss suffered by the Pledgee arising out thereof or in connection therewith.</w:t>
            </w:r>
          </w:p>
        </w:tc>
      </w:tr>
      <w:tr>
        <w:trPr>
          <w:trHeight w:val="585"/>
        </w:trPr>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60" w:type="dxa"/>
            <w:vAlign w:val="bottom"/>
          </w:tcPr>
          <w:p>
            <w:pPr>
              <w:ind w:left="3260"/>
              <w:spacing w:after="0"/>
              <w:rPr>
                <w:sz w:val="20"/>
                <w:szCs w:val="20"/>
                <w:color w:val="auto"/>
              </w:rPr>
            </w:pPr>
            <w:r>
              <w:rPr>
                <w:rFonts w:ascii="Arial" w:cs="Arial" w:eastAsia="Arial" w:hAnsi="Arial"/>
                <w:sz w:val="17"/>
                <w:szCs w:val="17"/>
                <w:color w:val="auto"/>
              </w:rPr>
              <w:t>4</w:t>
            </w:r>
          </w:p>
        </w:tc>
      </w:tr>
      <w:tr>
        <w:trPr>
          <w:trHeight w:val="104"/>
        </w:trPr>
        <w:tc>
          <w:tcPr>
            <w:tcW w:w="1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501" w:name="page502"/>
    <w:bookmarkEnd w:id="501"/>
    <w:p>
      <w:pPr>
        <w:ind w:left="720" w:hanging="720"/>
        <w:spacing w:after="0"/>
        <w:tabs>
          <w:tab w:leader="none" w:pos="720" w:val="left"/>
        </w:tabs>
        <w:numPr>
          <w:ilvl w:val="0"/>
          <w:numId w:val="567"/>
        </w:numPr>
        <w:rPr>
          <w:rFonts w:ascii="Arial" w:cs="Arial" w:eastAsia="Arial" w:hAnsi="Arial"/>
          <w:sz w:val="17"/>
          <w:szCs w:val="17"/>
          <w:b w:val="1"/>
          <w:bCs w:val="1"/>
          <w:color w:val="auto"/>
        </w:rPr>
      </w:pPr>
      <w:r>
        <w:rPr>
          <w:rFonts w:ascii="Arial" w:cs="Arial" w:eastAsia="Arial" w:hAnsi="Arial"/>
          <w:sz w:val="17"/>
          <w:szCs w:val="17"/>
          <w:b w:val="1"/>
          <w:bCs w:val="1"/>
          <w:color w:val="auto"/>
        </w:rPr>
        <w:t>Default Event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7.1</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Any of the following events will be deemed to be a Default Event:</w:t>
            </w:r>
          </w:p>
        </w:tc>
      </w:tr>
      <w:tr>
        <w:trPr>
          <w:trHeight w:val="374"/>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w:t>
            </w:r>
          </w:p>
        </w:tc>
        <w:tc>
          <w:tcPr>
            <w:tcW w:w="8920" w:type="dxa"/>
            <w:vAlign w:val="bottom"/>
          </w:tcPr>
          <w:p>
            <w:pPr>
              <w:ind w:left="220"/>
              <w:spacing w:after="0"/>
              <w:rPr>
                <w:sz w:val="20"/>
                <w:szCs w:val="20"/>
                <w:color w:val="auto"/>
              </w:rPr>
            </w:pPr>
            <w:r>
              <w:rPr>
                <w:rFonts w:ascii="Arial" w:cs="Arial" w:eastAsia="Arial" w:hAnsi="Arial"/>
                <w:sz w:val="17"/>
                <w:szCs w:val="17"/>
                <w:color w:val="auto"/>
                <w:w w:val="88"/>
              </w:rPr>
              <w:t>Party C or any of its successors or assignees fails to fully pay on schedule any amounts payable under the Individual Agreements,</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w w:val="96"/>
              </w:rPr>
              <w:t>or the Pledgors or their successors or assignees fail to perform any of their obligations under the Individual Agreements.</w:t>
            </w:r>
          </w:p>
        </w:tc>
      </w:tr>
      <w:tr>
        <w:trPr>
          <w:trHeight w:val="34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7.1.2</w:t>
            </w:r>
          </w:p>
        </w:tc>
        <w:tc>
          <w:tcPr>
            <w:tcW w:w="8920" w:type="dxa"/>
            <w:vAlign w:val="bottom"/>
          </w:tcPr>
          <w:p>
            <w:pPr>
              <w:ind w:left="220"/>
              <w:spacing w:after="0"/>
              <w:rPr>
                <w:sz w:val="20"/>
                <w:szCs w:val="20"/>
                <w:color w:val="auto"/>
              </w:rPr>
            </w:pPr>
            <w:r>
              <w:rPr>
                <w:rFonts w:ascii="Arial" w:cs="Arial" w:eastAsia="Arial" w:hAnsi="Arial"/>
                <w:sz w:val="17"/>
                <w:szCs w:val="17"/>
                <w:color w:val="auto"/>
                <w:w w:val="93"/>
              </w:rPr>
              <w:t>Any representation, warranty or undertaking made by the Pledgors under Section 5 or 6 above is substantially misleading or</w:t>
            </w:r>
          </w:p>
        </w:tc>
      </w:tr>
      <w:tr>
        <w:trPr>
          <w:trHeight w:val="199"/>
        </w:trPr>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w w:val="91"/>
              </w:rPr>
              <w:t>incorrect, and/or the Pledgors violates any representation, warranty or undertaking made by the Pledgors under Section 5 or 6</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above.</w:t>
            </w:r>
          </w:p>
        </w:tc>
      </w:tr>
      <w:tr>
        <w:trPr>
          <w:trHeight w:val="361"/>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7.1.3</w:t>
            </w:r>
          </w:p>
        </w:tc>
        <w:tc>
          <w:tcPr>
            <w:tcW w:w="8920" w:type="dxa"/>
            <w:vAlign w:val="bottom"/>
          </w:tcPr>
          <w:p>
            <w:pPr>
              <w:ind w:left="220"/>
              <w:spacing w:after="0"/>
              <w:rPr>
                <w:sz w:val="20"/>
                <w:szCs w:val="20"/>
                <w:color w:val="auto"/>
              </w:rPr>
            </w:pPr>
            <w:r>
              <w:rPr>
                <w:rFonts w:ascii="Arial" w:cs="Arial" w:eastAsia="Arial" w:hAnsi="Arial"/>
                <w:sz w:val="17"/>
                <w:szCs w:val="17"/>
                <w:color w:val="auto"/>
              </w:rPr>
              <w:t>The Pledgors or Party C violates any provision of this Agreement.</w:t>
            </w:r>
          </w:p>
        </w:tc>
      </w:tr>
      <w:tr>
        <w:trPr>
          <w:trHeight w:val="374"/>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7.1.4</w:t>
            </w:r>
          </w:p>
        </w:tc>
        <w:tc>
          <w:tcPr>
            <w:tcW w:w="8920" w:type="dxa"/>
            <w:vAlign w:val="bottom"/>
          </w:tcPr>
          <w:p>
            <w:pPr>
              <w:ind w:left="220"/>
              <w:spacing w:after="0"/>
              <w:rPr>
                <w:sz w:val="20"/>
                <w:szCs w:val="20"/>
                <w:color w:val="auto"/>
              </w:rPr>
            </w:pPr>
            <w:r>
              <w:rPr>
                <w:rFonts w:ascii="Arial" w:cs="Arial" w:eastAsia="Arial" w:hAnsi="Arial"/>
                <w:sz w:val="17"/>
                <w:szCs w:val="17"/>
                <w:color w:val="auto"/>
                <w:w w:val="92"/>
              </w:rPr>
              <w:t>Except as otherwise agreed in Section 6.1.1 above, the Pledgors transfer or otherwise dispose the pledged Equity without the</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Pledgee’s written consent.</w:t>
            </w:r>
          </w:p>
        </w:tc>
      </w:tr>
      <w:tr>
        <w:trPr>
          <w:trHeight w:val="34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7.1.5</w:t>
            </w:r>
          </w:p>
        </w:tc>
        <w:tc>
          <w:tcPr>
            <w:tcW w:w="8920" w:type="dxa"/>
            <w:vAlign w:val="bottom"/>
          </w:tcPr>
          <w:p>
            <w:pPr>
              <w:ind w:left="220"/>
              <w:spacing w:after="0"/>
              <w:rPr>
                <w:sz w:val="20"/>
                <w:szCs w:val="20"/>
                <w:color w:val="auto"/>
              </w:rPr>
            </w:pPr>
            <w:r>
              <w:rPr>
                <w:rFonts w:ascii="Arial" w:cs="Arial" w:eastAsia="Arial" w:hAnsi="Arial"/>
                <w:sz w:val="17"/>
                <w:szCs w:val="17"/>
                <w:color w:val="auto"/>
                <w:w w:val="96"/>
              </w:rPr>
              <w:t>Any of the Pledgors’ external borrowings, security, compensation, undertaking or other debt or liability shall be repaid or</w:t>
            </w:r>
          </w:p>
        </w:tc>
      </w:tr>
      <w:tr>
        <w:trPr>
          <w:trHeight w:val="199"/>
        </w:trPr>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w w:val="89"/>
              </w:rPr>
              <w:t>performed in advance or is due but cannot be repaid or performed on schedule, which makes the Pledgee reasonably believe that</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the Pledgors’ ability to perform any of their obligations is affected, which further affect the Pledgee’s interest.</w:t>
            </w:r>
          </w:p>
        </w:tc>
      </w:tr>
      <w:tr>
        <w:trPr>
          <w:trHeight w:val="361"/>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7.1.6</w:t>
            </w:r>
          </w:p>
        </w:tc>
        <w:tc>
          <w:tcPr>
            <w:tcW w:w="8920" w:type="dxa"/>
            <w:vAlign w:val="bottom"/>
          </w:tcPr>
          <w:p>
            <w:pPr>
              <w:ind w:left="220"/>
              <w:spacing w:after="0"/>
              <w:rPr>
                <w:sz w:val="20"/>
                <w:szCs w:val="20"/>
                <w:color w:val="auto"/>
              </w:rPr>
            </w:pPr>
            <w:r>
              <w:rPr>
                <w:rFonts w:ascii="Arial" w:cs="Arial" w:eastAsia="Arial" w:hAnsi="Arial"/>
                <w:sz w:val="17"/>
                <w:szCs w:val="17"/>
                <w:color w:val="auto"/>
              </w:rPr>
              <w:t>The Pledgors cannot perform any of their general debt or other debt, which further affects the Pledgee’s interest.</w:t>
            </w:r>
          </w:p>
        </w:tc>
      </w:tr>
      <w:tr>
        <w:trPr>
          <w:trHeight w:val="374"/>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7.1.7</w:t>
            </w:r>
          </w:p>
        </w:tc>
        <w:tc>
          <w:tcPr>
            <w:tcW w:w="8920" w:type="dxa"/>
            <w:vAlign w:val="bottom"/>
          </w:tcPr>
          <w:p>
            <w:pPr>
              <w:ind w:left="220"/>
              <w:spacing w:after="0"/>
              <w:rPr>
                <w:sz w:val="20"/>
                <w:szCs w:val="20"/>
                <w:color w:val="auto"/>
              </w:rPr>
            </w:pPr>
            <w:r>
              <w:rPr>
                <w:rFonts w:ascii="Arial" w:cs="Arial" w:eastAsia="Arial" w:hAnsi="Arial"/>
                <w:sz w:val="17"/>
                <w:szCs w:val="17"/>
                <w:color w:val="auto"/>
                <w:w w:val="91"/>
              </w:rPr>
              <w:t>The promulgation of any law results in invalidation of this Agreement or inability of the Pledgors to continuously perform any of</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their obligations hereunder.</w:t>
            </w:r>
          </w:p>
        </w:tc>
      </w:tr>
      <w:tr>
        <w:trPr>
          <w:trHeight w:val="34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7.1.8</w:t>
            </w:r>
          </w:p>
        </w:tc>
        <w:tc>
          <w:tcPr>
            <w:tcW w:w="8920" w:type="dxa"/>
            <w:vAlign w:val="bottom"/>
          </w:tcPr>
          <w:p>
            <w:pPr>
              <w:ind w:left="220"/>
              <w:spacing w:after="0"/>
              <w:rPr>
                <w:sz w:val="20"/>
                <w:szCs w:val="20"/>
                <w:color w:val="auto"/>
              </w:rPr>
            </w:pPr>
            <w:r>
              <w:rPr>
                <w:rFonts w:ascii="Arial" w:cs="Arial" w:eastAsia="Arial" w:hAnsi="Arial"/>
                <w:sz w:val="17"/>
                <w:szCs w:val="17"/>
                <w:color w:val="auto"/>
                <w:w w:val="92"/>
              </w:rPr>
              <w:t>The consent, permit, approval or authorization of any governmental department necessary to legalize, validate or enforce this</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Agreement is withdrawn, suspended, invalidated or substantially amended.</w:t>
            </w:r>
          </w:p>
        </w:tc>
      </w:tr>
      <w:tr>
        <w:trPr>
          <w:trHeight w:val="34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7.1.9</w:t>
            </w:r>
          </w:p>
        </w:tc>
        <w:tc>
          <w:tcPr>
            <w:tcW w:w="8920" w:type="dxa"/>
            <w:vAlign w:val="bottom"/>
          </w:tcPr>
          <w:p>
            <w:pPr>
              <w:ind w:left="220"/>
              <w:spacing w:after="0"/>
              <w:rPr>
                <w:sz w:val="20"/>
                <w:szCs w:val="20"/>
                <w:color w:val="auto"/>
              </w:rPr>
            </w:pPr>
            <w:r>
              <w:rPr>
                <w:rFonts w:ascii="Arial" w:cs="Arial" w:eastAsia="Arial" w:hAnsi="Arial"/>
                <w:sz w:val="17"/>
                <w:szCs w:val="17"/>
                <w:color w:val="auto"/>
                <w:w w:val="88"/>
              </w:rPr>
              <w:t>There occurs any adverse change to any of the assets owned by the Pledgors, which makes the Pledgee believe that the Pledgors’</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ability to perform any of their obligations is affected.</w:t>
            </w:r>
          </w:p>
        </w:tc>
      </w:tr>
      <w:tr>
        <w:trPr>
          <w:trHeight w:val="361"/>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7.1.10</w:t>
            </w:r>
          </w:p>
        </w:tc>
        <w:tc>
          <w:tcPr>
            <w:tcW w:w="8920" w:type="dxa"/>
            <w:vAlign w:val="bottom"/>
          </w:tcPr>
          <w:p>
            <w:pPr>
              <w:ind w:left="220"/>
              <w:spacing w:after="0"/>
              <w:rPr>
                <w:sz w:val="20"/>
                <w:szCs w:val="20"/>
                <w:color w:val="auto"/>
              </w:rPr>
            </w:pPr>
            <w:r>
              <w:rPr>
                <w:rFonts w:ascii="Arial" w:cs="Arial" w:eastAsia="Arial" w:hAnsi="Arial"/>
                <w:sz w:val="17"/>
                <w:szCs w:val="17"/>
                <w:color w:val="auto"/>
                <w:w w:val="97"/>
              </w:rPr>
              <w:t>Any other event that the Pledgee cannot exercise or otherwise dispose of the Pledge Rights under the applicable laws.</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7.2</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and/or Party C shall immediately notify the Pledgee in writing any of the events described in Section 7.1 above or the occurrence</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or potential occurrence thereof the Pledgors and/or Party C becomes aware of or discovers.</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7.3</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2"/>
              </w:rPr>
              <w:t>Unless the default events listed in Section 7.1 above have been perfectly settled to the Pledgee’s satisfaction, the Pledgee may, upon the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occurrence of such default event or at any time following the occurrence thereof, issue a written default notice to the Pledgors and/or Party C,</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requesting the Pledgors and/or Party C to immediately pay the money owned or other payables under the Exclusive Technical Consultation and</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4"/>
              </w:rPr>
              <w:t>Service Agreement or to timely perform the obligations under the Individual Agreements. In case the Pledgors or Party C fails to timely</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correct their defaults, or take necessary remedies, within Ten (10) business days following the issuance of such written notice, the Pledgee may</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exercise the Pledge Rights pursuant to Section 8 below.</w:t>
            </w:r>
          </w:p>
        </w:tc>
      </w:tr>
      <w:tr>
        <w:trPr>
          <w:trHeight w:val="585"/>
        </w:trPr>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920" w:type="dxa"/>
            <w:vAlign w:val="bottom"/>
          </w:tcPr>
          <w:p>
            <w:pPr>
              <w:ind w:left="3220"/>
              <w:spacing w:after="0"/>
              <w:rPr>
                <w:sz w:val="20"/>
                <w:szCs w:val="20"/>
                <w:color w:val="auto"/>
              </w:rPr>
            </w:pPr>
            <w:r>
              <w:rPr>
                <w:rFonts w:ascii="Arial" w:cs="Arial" w:eastAsia="Arial" w:hAnsi="Arial"/>
                <w:sz w:val="17"/>
                <w:szCs w:val="17"/>
                <w:color w:val="auto"/>
              </w:rPr>
              <w:t>5</w:t>
            </w:r>
          </w:p>
        </w:tc>
      </w:tr>
      <w:tr>
        <w:trPr>
          <w:trHeight w:val="104"/>
        </w:trPr>
        <w:tc>
          <w:tcPr>
            <w:tcW w:w="14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4" w:right="299" w:bottom="1440" w:gutter="0" w:footer="0" w:header="0"/>
        </w:sectPr>
      </w:pPr>
    </w:p>
    <w:bookmarkStart w:id="502" w:name="page503"/>
    <w:bookmarkEnd w:id="502"/>
    <w:p>
      <w:pPr>
        <w:ind w:left="720" w:hanging="720"/>
        <w:spacing w:after="0"/>
        <w:tabs>
          <w:tab w:leader="none" w:pos="720" w:val="left"/>
        </w:tabs>
        <w:numPr>
          <w:ilvl w:val="0"/>
          <w:numId w:val="568"/>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Pledge Rights</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The Pledgee shall issue a default notice to the Pledgors as described in Section 7.3 above upon its exercise of the Pledge Rights.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Subject to Section 7.3 above, the Pledgee may exercise the Pledge Rights at any time following its issuance of the default notice as described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in Section 7.3.</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Pledgee shall have the right to convert into money and sell all or part of the Equity hereunder subject to the statutory procedures, or to be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paid in priority from the money gained from auction or sale of such Equity, until full offset of the service costs and other payables unpaid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under the Individual Agreements and full performance of other obligations under the Individual Agreements.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When the Pledgee exercises the Pledge Rights pursuant to this Agreement, the Pledgors and/or Party C shall not create any barrier or hindrance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but shall offer necessary assistance, so as to facilitate the Pledgee’s realization of its Pledge Rights.</w:t>
            </w:r>
          </w:p>
        </w:tc>
      </w:tr>
    </w:tbl>
    <w:p>
      <w:pPr>
        <w:spacing w:after="0" w:line="145" w:lineRule="exact"/>
        <w:rPr>
          <w:sz w:val="20"/>
          <w:szCs w:val="20"/>
          <w:color w:val="auto"/>
        </w:rPr>
      </w:pPr>
    </w:p>
    <w:p>
      <w:pPr>
        <w:ind w:left="720" w:hanging="720"/>
        <w:spacing w:after="0"/>
        <w:tabs>
          <w:tab w:leader="none" w:pos="720" w:val="left"/>
        </w:tabs>
        <w:numPr>
          <w:ilvl w:val="0"/>
          <w:numId w:val="569"/>
        </w:numPr>
        <w:rPr>
          <w:rFonts w:ascii="Arial" w:cs="Arial" w:eastAsia="Arial" w:hAnsi="Arial"/>
          <w:sz w:val="17"/>
          <w:szCs w:val="17"/>
          <w:b w:val="1"/>
          <w:bCs w:val="1"/>
          <w:color w:val="auto"/>
        </w:rPr>
      </w:pPr>
      <w:r>
        <w:rPr>
          <w:rFonts w:ascii="Arial" w:cs="Arial" w:eastAsia="Arial" w:hAnsi="Arial"/>
          <w:sz w:val="17"/>
          <w:szCs w:val="17"/>
          <w:b w:val="1"/>
          <w:bCs w:val="1"/>
          <w:color w:val="auto"/>
        </w:rPr>
        <w:t>Transfer</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9.1</w:t>
            </w: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The Pledgors shall not transfer to any third party any of their rights or obligations hereunder without the Pledgee’s prior written and explicit</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consent.</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780" w:type="dxa"/>
            <w:vAlign w:val="bottom"/>
          </w:tcPr>
          <w:p>
            <w:pPr>
              <w:ind w:left="320"/>
              <w:spacing w:after="0"/>
              <w:rPr>
                <w:sz w:val="20"/>
                <w:szCs w:val="20"/>
                <w:color w:val="auto"/>
              </w:rPr>
            </w:pPr>
            <w:r>
              <w:rPr>
                <w:rFonts w:ascii="Arial" w:cs="Arial" w:eastAsia="Arial" w:hAnsi="Arial"/>
                <w:sz w:val="17"/>
                <w:szCs w:val="17"/>
                <w:color w:val="auto"/>
              </w:rPr>
              <w:t>This Agreement shall be binding upon the Pledgors and their successors and the Pledgee and its successors or assignees.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9.3</w:t>
            </w: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The Pledgee may at any time transfer any or all of its rights or obligations under the Individual Agreements to any third party it specified,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under which circumstance, the assignee shall accordingly have and bear the rights and obligations which the Pledgee have and bear hereunder.</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Upon the transfer by the Pledgee of the rights or obligations hereunder, the Pledgors shall, as requested by the Pledgee, sign the corresponding</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agreements and/or documents regarding the transfer thereof.</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9.4</w:t>
            </w: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In case there is a change of the Pledgee due to the transfer of the rights or obligations as described in Section 9.3 above, the substitute Pledgee</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and the Pledgors shall re-sign the pledge agreement and the Pledgors shall be responsible for handling all applicable registration formalities.</w:t>
            </w:r>
          </w:p>
        </w:tc>
      </w:tr>
    </w:tbl>
    <w:p>
      <w:pPr>
        <w:spacing w:after="0" w:line="145" w:lineRule="exact"/>
        <w:rPr>
          <w:sz w:val="20"/>
          <w:szCs w:val="20"/>
          <w:color w:val="auto"/>
        </w:rPr>
      </w:pPr>
    </w:p>
    <w:p>
      <w:pPr>
        <w:ind w:left="800" w:hanging="800"/>
        <w:spacing w:after="0"/>
        <w:tabs>
          <w:tab w:leader="none" w:pos="800" w:val="left"/>
        </w:tabs>
        <w:numPr>
          <w:ilvl w:val="0"/>
          <w:numId w:val="570"/>
        </w:numPr>
        <w:rPr>
          <w:rFonts w:ascii="Arial" w:cs="Arial" w:eastAsia="Arial" w:hAnsi="Arial"/>
          <w:sz w:val="17"/>
          <w:szCs w:val="17"/>
          <w:b w:val="1"/>
          <w:bCs w:val="1"/>
          <w:color w:val="auto"/>
        </w:rPr>
      </w:pPr>
      <w:r>
        <w:rPr>
          <w:rFonts w:ascii="Arial" w:cs="Arial" w:eastAsia="Arial" w:hAnsi="Arial"/>
          <w:sz w:val="17"/>
          <w:szCs w:val="17"/>
          <w:b w:val="1"/>
          <w:bCs w:val="1"/>
          <w:color w:val="auto"/>
        </w:rPr>
        <w:t>Charges and Other Costs</w:t>
      </w:r>
    </w:p>
    <w:p>
      <w:pPr>
        <w:spacing w:after="0" w:line="170" w:lineRule="exact"/>
        <w:rPr>
          <w:sz w:val="20"/>
          <w:szCs w:val="20"/>
          <w:color w:val="auto"/>
        </w:rPr>
      </w:pPr>
    </w:p>
    <w:p>
      <w:pPr>
        <w:ind w:left="880" w:right="40"/>
        <w:spacing w:after="0" w:line="264" w:lineRule="auto"/>
        <w:rPr>
          <w:sz w:val="20"/>
          <w:szCs w:val="20"/>
          <w:color w:val="auto"/>
        </w:rPr>
      </w:pPr>
      <w:r>
        <w:rPr>
          <w:rFonts w:ascii="Arial" w:cs="Arial" w:eastAsia="Arial" w:hAnsi="Arial"/>
          <w:sz w:val="17"/>
          <w:szCs w:val="17"/>
          <w:color w:val="auto"/>
        </w:rPr>
        <w:t>All costs and actual expenses related to this Agreement, including but not limited to the legal costs, print costs, stamp duty and any other tax and charges, shall be equally borne by the Pledgee and Party C.</w:t>
      </w:r>
    </w:p>
    <w:p>
      <w:pPr>
        <w:spacing w:after="0" w:line="139" w:lineRule="exact"/>
        <w:rPr>
          <w:sz w:val="20"/>
          <w:szCs w:val="20"/>
          <w:color w:val="auto"/>
        </w:rPr>
      </w:pPr>
    </w:p>
    <w:p>
      <w:pPr>
        <w:ind w:left="800" w:hanging="800"/>
        <w:spacing w:after="0"/>
        <w:tabs>
          <w:tab w:leader="none" w:pos="800" w:val="left"/>
        </w:tabs>
        <w:numPr>
          <w:ilvl w:val="0"/>
          <w:numId w:val="571"/>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jc w:val="right"/>
              <w:ind w:right="217"/>
              <w:spacing w:after="0"/>
              <w:rPr>
                <w:sz w:val="20"/>
                <w:szCs w:val="20"/>
                <w:color w:val="auto"/>
              </w:rPr>
            </w:pPr>
            <w:r>
              <w:rPr>
                <w:rFonts w:ascii="Arial" w:cs="Arial" w:eastAsia="Arial" w:hAnsi="Arial"/>
                <w:sz w:val="17"/>
                <w:szCs w:val="17"/>
                <w:color w:val="auto"/>
              </w:rPr>
              <w:t>11.1</w:t>
            </w:r>
          </w:p>
        </w:tc>
        <w:tc>
          <w:tcPr>
            <w:tcW w:w="9840" w:type="dxa"/>
            <w:vAlign w:val="bottom"/>
          </w:tcPr>
          <w:p>
            <w:pPr>
              <w:ind w:left="2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Force Majeure Events</w:t>
            </w:r>
            <w:r>
              <w:rPr>
                <w:rFonts w:ascii="Arial" w:cs="Arial" w:eastAsia="Arial" w:hAnsi="Arial"/>
                <w:sz w:val="17"/>
                <w:szCs w:val="17"/>
                <w:color w:val="auto"/>
                <w:w w:val="94"/>
              </w:rPr>
              <w:t>” mean any events beyond the reasonable control of one Party that are unavoidable by the affected Party with</w:t>
            </w:r>
          </w:p>
        </w:tc>
      </w:tr>
      <w:tr>
        <w:trPr>
          <w:trHeight w:val="199"/>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90"/>
              </w:rPr>
              <w:t>reasonable care, including but not limited to any acts of government, natural force, fire, explosion, storm, flood, earthquake, tide, lightning or</w:t>
            </w:r>
          </w:p>
        </w:tc>
      </w:tr>
      <w:tr>
        <w:trPr>
          <w:trHeight w:val="195"/>
        </w:trPr>
        <w:tc>
          <w:tcPr>
            <w:tcW w:w="1440" w:type="dxa"/>
            <w:vAlign w:val="bottom"/>
          </w:tcPr>
          <w:p>
            <w:pPr>
              <w:spacing w:after="0"/>
              <w:rPr>
                <w:sz w:val="16"/>
                <w:szCs w:val="16"/>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88"/>
              </w:rPr>
              <w:t>war, provided that any credit, capital or financing shortage shall not be deemed to be the event beyond the reasonable control of one Party. The</w:t>
            </w:r>
          </w:p>
        </w:tc>
      </w:tr>
      <w:tr>
        <w:trPr>
          <w:trHeight w:val="203"/>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90"/>
              </w:rPr>
              <w:t>Party affected by any Force Majeure Events (hereinafter referred to as “</w:t>
            </w:r>
            <w:r>
              <w:rPr>
                <w:rFonts w:ascii="Arial" w:cs="Arial" w:eastAsia="Arial" w:hAnsi="Arial"/>
                <w:sz w:val="17"/>
                <w:szCs w:val="17"/>
                <w:b w:val="1"/>
                <w:bCs w:val="1"/>
                <w:color w:val="auto"/>
                <w:w w:val="90"/>
              </w:rPr>
              <w:t>Affected Party</w:t>
            </w:r>
            <w:r>
              <w:rPr>
                <w:rFonts w:ascii="Arial" w:cs="Arial" w:eastAsia="Arial" w:hAnsi="Arial"/>
                <w:sz w:val="17"/>
                <w:szCs w:val="17"/>
                <w:color w:val="auto"/>
                <w:w w:val="90"/>
              </w:rPr>
              <w:t>”) shall be exempted from its responsibility in whole or</w:t>
            </w:r>
          </w:p>
        </w:tc>
      </w:tr>
      <w:tr>
        <w:trPr>
          <w:trHeight w:val="199"/>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94"/>
              </w:rPr>
              <w:t>in part according to the effects of such Force Majeure Events on this Agreement, and the Affected Party who seeks exemption from its</w:t>
            </w:r>
          </w:p>
        </w:tc>
      </w:tr>
      <w:tr>
        <w:trPr>
          <w:trHeight w:val="199"/>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92"/>
              </w:rPr>
              <w:t>responsibility for the performance of this Agreement due to such Force Majeure Events shall notify the other Party of such Force Majeure</w:t>
            </w:r>
          </w:p>
        </w:tc>
      </w:tr>
      <w:tr>
        <w:trPr>
          <w:trHeight w:val="199"/>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88"/>
              </w:rPr>
              <w:t>Events not later than Ten (10) days after occurrence of such Force Majeure Events so that the Parties hereto negotiate about the amendment to</w:t>
            </w:r>
          </w:p>
        </w:tc>
      </w:tr>
      <w:tr>
        <w:trPr>
          <w:trHeight w:val="199"/>
        </w:trPr>
        <w:tc>
          <w:tcPr>
            <w:tcW w:w="1440" w:type="dxa"/>
            <w:vAlign w:val="bottom"/>
          </w:tcPr>
          <w:p>
            <w:pPr>
              <w:spacing w:after="0"/>
              <w:rPr>
                <w:sz w:val="17"/>
                <w:szCs w:val="17"/>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w w:val="91"/>
              </w:rPr>
              <w:t>this Agreement according to the effects of such Force Majeure Events and exempt in whole or in part the Affected Party from its obligations</w:t>
            </w:r>
          </w:p>
        </w:tc>
      </w:tr>
      <w:tr>
        <w:trPr>
          <w:trHeight w:val="212"/>
        </w:trPr>
        <w:tc>
          <w:tcPr>
            <w:tcW w:w="1440" w:type="dxa"/>
            <w:vAlign w:val="bottom"/>
          </w:tcPr>
          <w:p>
            <w:pPr>
              <w:spacing w:after="0"/>
              <w:rPr>
                <w:sz w:val="18"/>
                <w:szCs w:val="18"/>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rPr>
              <w:t>under this Agreement.</w:t>
            </w:r>
          </w:p>
        </w:tc>
      </w:tr>
      <w:tr>
        <w:trPr>
          <w:trHeight w:val="349"/>
        </w:trPr>
        <w:tc>
          <w:tcPr>
            <w:tcW w:w="1440" w:type="dxa"/>
            <w:vAlign w:val="bottom"/>
          </w:tcPr>
          <w:p>
            <w:pPr>
              <w:jc w:val="right"/>
              <w:ind w:right="217"/>
              <w:spacing w:after="0"/>
              <w:rPr>
                <w:sz w:val="20"/>
                <w:szCs w:val="20"/>
                <w:color w:val="auto"/>
              </w:rPr>
            </w:pPr>
            <w:r>
              <w:rPr>
                <w:rFonts w:ascii="Arial" w:cs="Arial" w:eastAsia="Arial" w:hAnsi="Arial"/>
                <w:sz w:val="17"/>
                <w:szCs w:val="17"/>
                <w:color w:val="auto"/>
              </w:rPr>
              <w:t>11.2</w:t>
            </w:r>
          </w:p>
        </w:tc>
        <w:tc>
          <w:tcPr>
            <w:tcW w:w="9840" w:type="dxa"/>
            <w:vAlign w:val="bottom"/>
          </w:tcPr>
          <w:p>
            <w:pPr>
              <w:ind w:left="280"/>
              <w:spacing w:after="0"/>
              <w:rPr>
                <w:sz w:val="20"/>
                <w:szCs w:val="20"/>
                <w:color w:val="auto"/>
              </w:rPr>
            </w:pPr>
            <w:r>
              <w:rPr>
                <w:rFonts w:ascii="Arial" w:cs="Arial" w:eastAsia="Arial" w:hAnsi="Arial"/>
                <w:sz w:val="17"/>
                <w:szCs w:val="17"/>
                <w:color w:val="auto"/>
                <w:w w:val="89"/>
              </w:rPr>
              <w:t>The Affected Party shall take appropriate measures to reduce or eliminate the effects of such Force Majeure Events and shall try to restore the</w:t>
            </w:r>
          </w:p>
        </w:tc>
      </w:tr>
      <w:tr>
        <w:trPr>
          <w:trHeight w:val="212"/>
        </w:trPr>
        <w:tc>
          <w:tcPr>
            <w:tcW w:w="1440" w:type="dxa"/>
            <w:vAlign w:val="bottom"/>
          </w:tcPr>
          <w:p>
            <w:pPr>
              <w:spacing w:after="0"/>
              <w:rPr>
                <w:sz w:val="18"/>
                <w:szCs w:val="18"/>
                <w:color w:val="auto"/>
              </w:rPr>
            </w:pPr>
          </w:p>
        </w:tc>
        <w:tc>
          <w:tcPr>
            <w:tcW w:w="9840" w:type="dxa"/>
            <w:vAlign w:val="bottom"/>
          </w:tcPr>
          <w:p>
            <w:pPr>
              <w:ind w:left="280"/>
              <w:spacing w:after="0"/>
              <w:rPr>
                <w:sz w:val="20"/>
                <w:szCs w:val="20"/>
                <w:color w:val="auto"/>
              </w:rPr>
            </w:pPr>
            <w:r>
              <w:rPr>
                <w:rFonts w:ascii="Arial" w:cs="Arial" w:eastAsia="Arial" w:hAnsi="Arial"/>
                <w:sz w:val="17"/>
                <w:szCs w:val="17"/>
                <w:color w:val="auto"/>
              </w:rPr>
              <w:t>performance of its obligations delayed or hindered by</w:t>
            </w:r>
          </w:p>
        </w:tc>
      </w:tr>
      <w:tr>
        <w:trPr>
          <w:trHeight w:val="598"/>
        </w:trPr>
        <w:tc>
          <w:tcPr>
            <w:tcW w:w="1440" w:type="dxa"/>
            <w:vAlign w:val="bottom"/>
          </w:tcPr>
          <w:p>
            <w:pPr>
              <w:spacing w:after="0"/>
              <w:rPr>
                <w:sz w:val="24"/>
                <w:szCs w:val="24"/>
                <w:color w:val="auto"/>
              </w:rPr>
            </w:pPr>
          </w:p>
        </w:tc>
        <w:tc>
          <w:tcPr>
            <w:tcW w:w="9840" w:type="dxa"/>
            <w:vAlign w:val="bottom"/>
          </w:tcPr>
          <w:p>
            <w:pPr>
              <w:ind w:left="4140"/>
              <w:spacing w:after="0"/>
              <w:rPr>
                <w:sz w:val="20"/>
                <w:szCs w:val="20"/>
                <w:color w:val="auto"/>
              </w:rPr>
            </w:pPr>
            <w:r>
              <w:rPr>
                <w:rFonts w:ascii="Arial" w:cs="Arial" w:eastAsia="Arial" w:hAnsi="Arial"/>
                <w:sz w:val="17"/>
                <w:szCs w:val="17"/>
                <w:color w:val="auto"/>
              </w:rPr>
              <w:t>6</w:t>
            </w:r>
          </w:p>
        </w:tc>
      </w:tr>
      <w:tr>
        <w:trPr>
          <w:trHeight w:val="104"/>
        </w:trPr>
        <w:tc>
          <w:tcPr>
            <w:tcW w:w="1440" w:type="dxa"/>
            <w:vAlign w:val="bottom"/>
            <w:tcBorders>
              <w:bottom w:val="single" w:sz="8" w:color="9A9A9A"/>
            </w:tcBorders>
          </w:tcPr>
          <w:p>
            <w:pPr>
              <w:spacing w:after="0"/>
              <w:rPr>
                <w:sz w:val="9"/>
                <w:szCs w:val="9"/>
                <w:color w:val="auto"/>
              </w:rPr>
            </w:pPr>
          </w:p>
        </w:tc>
        <w:tc>
          <w:tcPr>
            <w:tcW w:w="9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484" w:right="299" w:bottom="1440" w:gutter="0" w:footer="0" w:header="0"/>
        </w:sectPr>
      </w:pPr>
    </w:p>
    <w:bookmarkStart w:id="503" w:name="page504"/>
    <w:bookmarkEnd w:id="503"/>
    <w:p>
      <w:pPr>
        <w:ind w:left="1720" w:right="260"/>
        <w:spacing w:after="0" w:line="264" w:lineRule="auto"/>
        <w:rPr>
          <w:sz w:val="20"/>
          <w:szCs w:val="20"/>
          <w:color w:val="auto"/>
        </w:rPr>
      </w:pPr>
      <w:r>
        <w:rPr>
          <w:rFonts w:ascii="Arial" w:cs="Arial" w:eastAsia="Arial" w:hAnsi="Arial"/>
          <w:sz w:val="17"/>
          <w:szCs w:val="17"/>
          <w:color w:val="auto"/>
        </w:rPr>
        <w:t>such Force Majeure Events. Once such Force Majeure Events are eliminated, the Parties hereto agree that they shall use their best efforts to restore the performance of their rights and obligations under this Agreement.</w:t>
      </w:r>
    </w:p>
    <w:p>
      <w:pPr>
        <w:spacing w:after="0" w:line="127" w:lineRule="exact"/>
        <w:rPr>
          <w:sz w:val="20"/>
          <w:szCs w:val="20"/>
          <w:color w:val="auto"/>
        </w:rPr>
      </w:pPr>
    </w:p>
    <w:p>
      <w:pPr>
        <w:ind w:left="800" w:hanging="800"/>
        <w:spacing w:after="0"/>
        <w:tabs>
          <w:tab w:leader="none" w:pos="800" w:val="left"/>
        </w:tabs>
        <w:numPr>
          <w:ilvl w:val="0"/>
          <w:numId w:val="572"/>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Settlement</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12.1</w:t>
            </w:r>
          </w:p>
        </w:tc>
        <w:tc>
          <w:tcPr>
            <w:tcW w:w="9780" w:type="dxa"/>
            <w:vAlign w:val="bottom"/>
          </w:tcPr>
          <w:p>
            <w:pPr>
              <w:ind w:left="28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tc>
      </w:tr>
      <w:tr>
        <w:trPr>
          <w:trHeight w:val="374"/>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12.2</w:t>
            </w:r>
          </w:p>
        </w:tc>
        <w:tc>
          <w:tcPr>
            <w:tcW w:w="9780" w:type="dxa"/>
            <w:vAlign w:val="bottom"/>
          </w:tcPr>
          <w:p>
            <w:pPr>
              <w:ind w:left="28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80" w:type="dxa"/>
            <w:vAlign w:val="bottom"/>
          </w:tcPr>
          <w:p>
            <w:pPr>
              <w:spacing w:after="0"/>
              <w:rPr>
                <w:sz w:val="17"/>
                <w:szCs w:val="17"/>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w w:val="88"/>
              </w:rPr>
              <w:t>resolve such disputes through consultation in good faith. If such disputes cannot be resolved through consultation, any Party may submit such</w:t>
            </w:r>
          </w:p>
        </w:tc>
      </w:tr>
      <w:tr>
        <w:trPr>
          <w:trHeight w:val="199"/>
        </w:trPr>
        <w:tc>
          <w:tcPr>
            <w:tcW w:w="580" w:type="dxa"/>
            <w:vAlign w:val="bottom"/>
          </w:tcPr>
          <w:p>
            <w:pPr>
              <w:spacing w:after="0"/>
              <w:rPr>
                <w:sz w:val="17"/>
                <w:szCs w:val="17"/>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80" w:type="dxa"/>
            <w:vAlign w:val="bottom"/>
          </w:tcPr>
          <w:p>
            <w:pPr>
              <w:spacing w:after="0"/>
              <w:rPr>
                <w:sz w:val="17"/>
                <w:szCs w:val="17"/>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w w:val="95"/>
              </w:rPr>
              <w:t>arbitration rules of such Commission in force. The place of arbitration shall be Beijing, and the language to be used in the arbitration</w:t>
            </w:r>
          </w:p>
        </w:tc>
      </w:tr>
      <w:tr>
        <w:trPr>
          <w:trHeight w:val="199"/>
        </w:trPr>
        <w:tc>
          <w:tcPr>
            <w:tcW w:w="580" w:type="dxa"/>
            <w:vAlign w:val="bottom"/>
          </w:tcPr>
          <w:p>
            <w:pPr>
              <w:spacing w:after="0"/>
              <w:rPr>
                <w:sz w:val="17"/>
                <w:szCs w:val="17"/>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Section shall be affected by</w:t>
            </w:r>
          </w:p>
        </w:tc>
      </w:tr>
      <w:tr>
        <w:trPr>
          <w:trHeight w:val="212"/>
        </w:trPr>
        <w:tc>
          <w:tcPr>
            <w:tcW w:w="580" w:type="dxa"/>
            <w:vAlign w:val="bottom"/>
          </w:tcPr>
          <w:p>
            <w:pPr>
              <w:spacing w:after="0"/>
              <w:rPr>
                <w:sz w:val="18"/>
                <w:szCs w:val="18"/>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rPr>
              <w:t>any termination or cancellation of this Agreement.</w:t>
            </w:r>
          </w:p>
        </w:tc>
      </w:tr>
      <w:tr>
        <w:trPr>
          <w:trHeight w:val="34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12.3</w:t>
            </w:r>
          </w:p>
        </w:tc>
        <w:tc>
          <w:tcPr>
            <w:tcW w:w="9780" w:type="dxa"/>
            <w:vAlign w:val="bottom"/>
          </w:tcPr>
          <w:p>
            <w:pPr>
              <w:ind w:left="280"/>
              <w:spacing w:after="0"/>
              <w:rPr>
                <w:sz w:val="20"/>
                <w:szCs w:val="20"/>
                <w:color w:val="auto"/>
              </w:rPr>
            </w:pPr>
            <w:r>
              <w:rPr>
                <w:rFonts w:ascii="Arial" w:cs="Arial" w:eastAsia="Arial" w:hAnsi="Arial"/>
                <w:sz w:val="17"/>
                <w:szCs w:val="17"/>
                <w:color w:val="auto"/>
                <w:w w:val="92"/>
              </w:rPr>
              <w:t>Except for any matters disputed by the Parties hereto, the Parties hereto shall continue to perform their respective obligations under this</w:t>
            </w:r>
          </w:p>
        </w:tc>
      </w:tr>
      <w:tr>
        <w:trPr>
          <w:trHeight w:val="212"/>
        </w:trPr>
        <w:tc>
          <w:tcPr>
            <w:tcW w:w="580" w:type="dxa"/>
            <w:vAlign w:val="bottom"/>
          </w:tcPr>
          <w:p>
            <w:pPr>
              <w:spacing w:after="0"/>
              <w:rPr>
                <w:sz w:val="18"/>
                <w:szCs w:val="18"/>
                <w:color w:val="auto"/>
              </w:rPr>
            </w:pPr>
          </w:p>
        </w:tc>
        <w:tc>
          <w:tcPr>
            <w:tcW w:w="9780" w:type="dxa"/>
            <w:vAlign w:val="bottom"/>
          </w:tcPr>
          <w:p>
            <w:pPr>
              <w:ind w:left="28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45" w:lineRule="exact"/>
        <w:rPr>
          <w:sz w:val="20"/>
          <w:szCs w:val="20"/>
          <w:color w:val="auto"/>
        </w:rPr>
      </w:pPr>
    </w:p>
    <w:p>
      <w:pPr>
        <w:ind w:left="800" w:hanging="800"/>
        <w:spacing w:after="0"/>
        <w:tabs>
          <w:tab w:leader="none" w:pos="800" w:val="left"/>
        </w:tabs>
        <w:numPr>
          <w:ilvl w:val="0"/>
          <w:numId w:val="57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70" w:lineRule="exact"/>
        <w:rPr>
          <w:sz w:val="20"/>
          <w:szCs w:val="20"/>
          <w:color w:val="auto"/>
        </w:rPr>
      </w:pPr>
    </w:p>
    <w:p>
      <w:pPr>
        <w:jc w:val="both"/>
        <w:ind w:left="880"/>
        <w:spacing w:after="0" w:line="254" w:lineRule="auto"/>
        <w:rPr>
          <w:sz w:val="20"/>
          <w:szCs w:val="20"/>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200" w:lineRule="exact"/>
        <w:rPr>
          <w:sz w:val="20"/>
          <w:szCs w:val="20"/>
          <w:color w:val="auto"/>
        </w:rPr>
      </w:pPr>
    </w:p>
    <w:p>
      <w:pPr>
        <w:spacing w:after="0" w:line="20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Party A,</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Address: Building 6, No. 36 Yard, Laiguangying Chuangyuan Road, Chaoyang District, Beijing</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Tel.: [•]</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Attn.: LIU Tong bo</w:t>
      </w:r>
    </w:p>
    <w:p>
      <w:pPr>
        <w:spacing w:after="0" w:line="200" w:lineRule="exact"/>
        <w:rPr>
          <w:sz w:val="20"/>
          <w:szCs w:val="20"/>
          <w:color w:val="auto"/>
        </w:rPr>
      </w:pPr>
    </w:p>
    <w:p>
      <w:pPr>
        <w:spacing w:after="0" w:line="20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Party B and Party C:</w:t>
      </w:r>
    </w:p>
    <w:p>
      <w:pPr>
        <w:spacing w:after="0" w:line="203" w:lineRule="exact"/>
        <w:rPr>
          <w:sz w:val="20"/>
          <w:szCs w:val="20"/>
          <w:color w:val="auto"/>
        </w:rPr>
      </w:pPr>
    </w:p>
    <w:p>
      <w:pPr>
        <w:jc w:val="both"/>
        <w:ind w:left="880"/>
        <w:spacing w:after="0" w:line="264" w:lineRule="auto"/>
        <w:rPr>
          <w:sz w:val="20"/>
          <w:szCs w:val="20"/>
          <w:color w:val="auto"/>
        </w:rPr>
      </w:pPr>
      <w:r>
        <w:rPr>
          <w:rFonts w:ascii="Arial" w:cs="Arial" w:eastAsia="Arial" w:hAnsi="Arial"/>
          <w:sz w:val="17"/>
          <w:szCs w:val="17"/>
          <w:color w:val="auto"/>
        </w:rPr>
        <w:t>Address: Room 02, 4th Floor, Unit 3, Building 1, 2, 3, Contemporary China Venture Center, No. 20, Guannanyuan 1st Road, East Lake New Technology Development Zone, Wuhan</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Tel.: [•]</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Attn.: HAN Wei</w:t>
      </w:r>
    </w:p>
    <w:p>
      <w:pPr>
        <w:spacing w:after="0" w:line="398" w:lineRule="exact"/>
        <w:rPr>
          <w:sz w:val="20"/>
          <w:szCs w:val="20"/>
          <w:color w:val="auto"/>
        </w:rPr>
      </w:pPr>
    </w:p>
    <w:p>
      <w:pPr>
        <w:ind w:left="800" w:hanging="800"/>
        <w:spacing w:after="0"/>
        <w:tabs>
          <w:tab w:leader="none" w:pos="800" w:val="left"/>
        </w:tabs>
        <w:numPr>
          <w:ilvl w:val="0"/>
          <w:numId w:val="574"/>
        </w:numPr>
        <w:rPr>
          <w:rFonts w:ascii="Arial" w:cs="Arial" w:eastAsia="Arial" w:hAnsi="Arial"/>
          <w:sz w:val="17"/>
          <w:szCs w:val="17"/>
          <w:b w:val="1"/>
          <w:bCs w:val="1"/>
          <w:color w:val="auto"/>
        </w:rPr>
      </w:pPr>
      <w:r>
        <w:rPr>
          <w:rFonts w:ascii="Arial" w:cs="Arial" w:eastAsia="Arial" w:hAnsi="Arial"/>
          <w:sz w:val="17"/>
          <w:szCs w:val="17"/>
          <w:b w:val="1"/>
          <w:bCs w:val="1"/>
          <w:color w:val="auto"/>
        </w:rPr>
        <w:t>Annex</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annexes hereto shall form part of this Agreement.</w:t>
      </w:r>
    </w:p>
    <w:p>
      <w:pPr>
        <w:spacing w:after="0" w:line="199" w:lineRule="exact"/>
        <w:rPr>
          <w:sz w:val="20"/>
          <w:szCs w:val="20"/>
          <w:color w:val="auto"/>
        </w:rPr>
      </w:pPr>
    </w:p>
    <w:p>
      <w:pPr>
        <w:ind w:left="800" w:hanging="800"/>
        <w:spacing w:after="0"/>
        <w:tabs>
          <w:tab w:leader="none" w:pos="800" w:val="left"/>
        </w:tabs>
        <w:numPr>
          <w:ilvl w:val="0"/>
          <w:numId w:val="575"/>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207" w:lineRule="exact"/>
        <w:rPr>
          <w:sz w:val="20"/>
          <w:szCs w:val="20"/>
          <w:color w:val="auto"/>
        </w:rPr>
      </w:pPr>
    </w:p>
    <w:p>
      <w:pPr>
        <w:jc w:val="both"/>
        <w:ind w:left="880"/>
        <w:spacing w:after="0" w:line="254" w:lineRule="auto"/>
        <w:rPr>
          <w:sz w:val="20"/>
          <w:szCs w:val="20"/>
          <w:color w:val="auto"/>
        </w:rPr>
      </w:pPr>
      <w:r>
        <w:rPr>
          <w:rFonts w:ascii="Arial" w:cs="Arial" w:eastAsia="Arial" w:hAnsi="Arial"/>
          <w:sz w:val="17"/>
          <w:szCs w:val="17"/>
          <w:color w:val="auto"/>
        </w:rPr>
        <w:t>The Pledgee’s failure to exercise or delayed exercise of any rights, remedies, powers or privileges hereunder shall not be deemed to be waiver of such rights, remedies, powers or privileges. The Pledgee’s single or partial exercise of any rights, remedies, powers or privileges shall not exclude its exercise of any other rights, remedies, powers or privileges.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504" w:name="page505"/>
    <w:bookmarkEnd w:id="504"/>
    <w:p>
      <w:pPr>
        <w:ind w:left="880"/>
        <w:spacing w:after="0"/>
        <w:rPr>
          <w:sz w:val="20"/>
          <w:szCs w:val="20"/>
          <w:color w:val="auto"/>
        </w:rPr>
      </w:pPr>
      <w:r>
        <w:rPr>
          <w:rFonts w:ascii="Arial" w:cs="Arial" w:eastAsia="Arial" w:hAnsi="Arial"/>
          <w:sz w:val="15"/>
          <w:szCs w:val="15"/>
          <w:color w:val="auto"/>
        </w:rPr>
        <w:t>The rights, remedies, powers and privileges hereunder are cumulative and in addition to any other rights, remedies, powers and privileges under any law.</w:t>
      </w:r>
    </w:p>
    <w:p>
      <w:pPr>
        <w:spacing w:after="0" w:line="222" w:lineRule="exact"/>
        <w:rPr>
          <w:sz w:val="20"/>
          <w:szCs w:val="20"/>
          <w:color w:val="auto"/>
        </w:rPr>
      </w:pPr>
    </w:p>
    <w:p>
      <w:pPr>
        <w:ind w:left="800" w:hanging="800"/>
        <w:spacing w:after="0"/>
        <w:tabs>
          <w:tab w:leader="none" w:pos="800" w:val="left"/>
        </w:tabs>
        <w:numPr>
          <w:ilvl w:val="0"/>
          <w:numId w:val="576"/>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16.1</w:t>
            </w:r>
          </w:p>
        </w:tc>
        <w:tc>
          <w:tcPr>
            <w:tcW w:w="9680" w:type="dxa"/>
            <w:vAlign w:val="bottom"/>
          </w:tcPr>
          <w:p>
            <w:pPr>
              <w:ind w:left="280"/>
              <w:spacing w:after="0"/>
              <w:rPr>
                <w:sz w:val="20"/>
                <w:szCs w:val="20"/>
                <w:color w:val="auto"/>
              </w:rPr>
            </w:pPr>
            <w:r>
              <w:rPr>
                <w:rFonts w:ascii="Arial" w:cs="Arial" w:eastAsia="Arial" w:hAnsi="Arial"/>
                <w:sz w:val="17"/>
                <w:szCs w:val="17"/>
                <w:color w:val="auto"/>
                <w:w w:val="92"/>
              </w:rPr>
              <w:t>Any modification or supplementation of or amendment to this Agreement shall be in writing and be effective only after being sealed and</w:t>
            </w:r>
          </w:p>
        </w:tc>
      </w:tr>
      <w:tr>
        <w:trPr>
          <w:trHeight w:val="212"/>
        </w:trPr>
        <w:tc>
          <w:tcPr>
            <w:tcW w:w="58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rPr>
              <w:t>signed by the Parties hereto.</w:t>
            </w:r>
          </w:p>
        </w:tc>
      </w:tr>
      <w:tr>
        <w:trPr>
          <w:trHeight w:val="386"/>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16.2</w:t>
            </w:r>
          </w:p>
        </w:tc>
        <w:tc>
          <w:tcPr>
            <w:tcW w:w="9680" w:type="dxa"/>
            <w:vAlign w:val="bottom"/>
          </w:tcPr>
          <w:p>
            <w:pPr>
              <w:ind w:left="280"/>
              <w:spacing w:after="0"/>
              <w:rPr>
                <w:sz w:val="20"/>
                <w:szCs w:val="20"/>
                <w:color w:val="auto"/>
              </w:rPr>
            </w:pPr>
            <w:r>
              <w:rPr>
                <w:rFonts w:ascii="Arial" w:cs="Arial" w:eastAsia="Arial" w:hAnsi="Arial"/>
                <w:sz w:val="17"/>
                <w:szCs w:val="17"/>
                <w:color w:val="auto"/>
                <w:w w:val="88"/>
              </w:rPr>
              <w:t>The Parties hereby acknowledge that this Agreement shall be a fair and reasonable agreement reached by the Parties hereto on the basis of</w:t>
            </w:r>
          </w:p>
        </w:tc>
      </w:tr>
      <w:tr>
        <w:trPr>
          <w:trHeight w:val="199"/>
        </w:trPr>
        <w:tc>
          <w:tcPr>
            <w:tcW w:w="580" w:type="dxa"/>
            <w:vAlign w:val="bottom"/>
          </w:tcPr>
          <w:p>
            <w:pPr>
              <w:spacing w:after="0"/>
              <w:rPr>
                <w:sz w:val="17"/>
                <w:szCs w:val="17"/>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w w:val="88"/>
              </w:rPr>
              <w:t>equality and mutual benefit. In case any provision hereof becomes invalid or cannot be enforced due to conflict with any applicable law, such</w:t>
            </w:r>
          </w:p>
        </w:tc>
      </w:tr>
      <w:tr>
        <w:trPr>
          <w:trHeight w:val="199"/>
        </w:trPr>
        <w:tc>
          <w:tcPr>
            <w:tcW w:w="580" w:type="dxa"/>
            <w:vAlign w:val="bottom"/>
          </w:tcPr>
          <w:p>
            <w:pPr>
              <w:spacing w:after="0"/>
              <w:rPr>
                <w:sz w:val="17"/>
                <w:szCs w:val="17"/>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w w:val="89"/>
              </w:rPr>
              <w:t>provision shall be invalid or unenforceable to the sole extent of the jurisdiction of such applicable law and shall in no way influence the legal</w:t>
            </w:r>
          </w:p>
        </w:tc>
      </w:tr>
      <w:tr>
        <w:trPr>
          <w:trHeight w:val="212"/>
        </w:trPr>
        <w:tc>
          <w:tcPr>
            <w:tcW w:w="58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rPr>
              <w:t>force of the remaining provisions of this Agreement.</w:t>
            </w:r>
          </w:p>
        </w:tc>
      </w:tr>
      <w:tr>
        <w:trPr>
          <w:trHeight w:val="386"/>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16.3</w:t>
            </w:r>
          </w:p>
        </w:tc>
        <w:tc>
          <w:tcPr>
            <w:tcW w:w="9680" w:type="dxa"/>
            <w:vAlign w:val="bottom"/>
          </w:tcPr>
          <w:p>
            <w:pPr>
              <w:ind w:left="280"/>
              <w:spacing w:after="0"/>
              <w:rPr>
                <w:sz w:val="20"/>
                <w:szCs w:val="20"/>
                <w:color w:val="auto"/>
              </w:rPr>
            </w:pPr>
            <w:r>
              <w:rPr>
                <w:rFonts w:ascii="Arial" w:cs="Arial" w:eastAsia="Arial" w:hAnsi="Arial"/>
                <w:sz w:val="17"/>
                <w:szCs w:val="17"/>
                <w:color w:val="auto"/>
                <w:w w:val="92"/>
              </w:rPr>
              <w:t>The Parties hereto agree that in case of any change to Party C’s shareholding structure or any addition or deduction of any of Party C’s</w:t>
            </w:r>
          </w:p>
        </w:tc>
      </w:tr>
      <w:tr>
        <w:trPr>
          <w:trHeight w:val="199"/>
        </w:trPr>
        <w:tc>
          <w:tcPr>
            <w:tcW w:w="580" w:type="dxa"/>
            <w:vAlign w:val="bottom"/>
          </w:tcPr>
          <w:p>
            <w:pPr>
              <w:spacing w:after="0"/>
              <w:rPr>
                <w:sz w:val="17"/>
                <w:szCs w:val="17"/>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w w:val="88"/>
              </w:rPr>
              <w:t>shareholders, Party A, Party C and Party C’s then-current shareholders shall re-sign this Agreement, and as of the effective date of the Equity</w:t>
            </w:r>
          </w:p>
        </w:tc>
      </w:tr>
      <w:tr>
        <w:trPr>
          <w:trHeight w:val="199"/>
        </w:trPr>
        <w:tc>
          <w:tcPr>
            <w:tcW w:w="580" w:type="dxa"/>
            <w:vAlign w:val="bottom"/>
          </w:tcPr>
          <w:p>
            <w:pPr>
              <w:spacing w:after="0"/>
              <w:rPr>
                <w:sz w:val="17"/>
                <w:szCs w:val="17"/>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w w:val="91"/>
              </w:rPr>
              <w:t>Interest Pledge Agreement re-entered into by and among the foregoing parties, this Agreement will automatically terminate and become</w:t>
            </w:r>
          </w:p>
        </w:tc>
      </w:tr>
      <w:tr>
        <w:trPr>
          <w:trHeight w:val="212"/>
        </w:trPr>
        <w:tc>
          <w:tcPr>
            <w:tcW w:w="58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7"/>
                <w:szCs w:val="17"/>
                <w:color w:val="auto"/>
              </w:rPr>
              <w:t>invalid.</w:t>
            </w:r>
          </w:p>
        </w:tc>
      </w:tr>
      <w:tr>
        <w:trPr>
          <w:trHeight w:val="39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16.4</w:t>
            </w:r>
          </w:p>
        </w:tc>
        <w:tc>
          <w:tcPr>
            <w:tcW w:w="9680" w:type="dxa"/>
            <w:vAlign w:val="bottom"/>
          </w:tcPr>
          <w:p>
            <w:pPr>
              <w:ind w:left="28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20"/>
          </w:cols>
          <w:pgMar w:left="320" w:top="525" w:right="459" w:bottom="1440" w:gutter="0" w:footer="0" w:header="0"/>
        </w:sectPr>
      </w:pPr>
    </w:p>
    <w:bookmarkStart w:id="505" w:name="page506"/>
    <w:bookmarkEnd w:id="505"/>
    <w:p>
      <w:pPr>
        <w:jc w:val="right"/>
        <w:ind w:right="1919"/>
        <w:spacing w:after="0"/>
        <w:rPr>
          <w:sz w:val="20"/>
          <w:szCs w:val="20"/>
          <w:color w:val="auto"/>
        </w:rPr>
      </w:pPr>
      <w:r>
        <w:rPr>
          <w:rFonts w:ascii="Arial" w:cs="Arial" w:eastAsia="Arial" w:hAnsi="Arial"/>
          <w:sz w:val="17"/>
          <w:szCs w:val="17"/>
          <w:b w:val="1"/>
          <w:bCs w:val="1"/>
          <w:color w:val="auto"/>
        </w:rPr>
        <w:t>[This page is the signature page to the Equity Interest Pledge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LI Yanjun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Yanjun</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HAN Wei</w:t>
      </w:r>
      <w:r>
        <w:rPr>
          <w:rFonts w:ascii="Arial" w:cs="Arial" w:eastAsia="Arial" w:hAnsi="Arial"/>
          <w:sz w:val="17"/>
          <w:szCs w:val="17"/>
          <w:color w:val="auto"/>
        </w:rPr>
        <w:t xml:space="preserve">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Equity Interest Pledge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569595</wp:posOffset>
            </wp:positionV>
            <wp:extent cx="7184390" cy="4127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506" w:name="page507"/>
    <w:bookmarkEnd w:id="506"/>
    <w:p>
      <w:pPr>
        <w:jc w:val="center"/>
        <w:ind w:right="40"/>
        <w:spacing w:after="0"/>
        <w:rPr>
          <w:sz w:val="20"/>
          <w:szCs w:val="20"/>
          <w:color w:val="auto"/>
        </w:rPr>
      </w:pPr>
      <w:r>
        <w:rPr>
          <w:rFonts w:ascii="Arial" w:cs="Arial" w:eastAsia="Arial" w:hAnsi="Arial"/>
          <w:sz w:val="17"/>
          <w:szCs w:val="17"/>
          <w:b w:val="1"/>
          <w:bCs w:val="1"/>
          <w:color w:val="auto"/>
        </w:rPr>
        <w:t>Annex I Pledgor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ID Card No.</w:t>
            </w:r>
          </w:p>
        </w:tc>
        <w:tc>
          <w:tcPr>
            <w:tcW w:w="2840" w:type="dxa"/>
            <w:vAlign w:val="bottom"/>
          </w:tcPr>
          <w:p>
            <w:pPr>
              <w:spacing w:after="0"/>
              <w:rPr>
                <w:sz w:val="20"/>
                <w:szCs w:val="20"/>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HAN Wei</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LI Yanjun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1293"/>
        </w:trPr>
        <w:tc>
          <w:tcPr>
            <w:tcW w:w="2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1" w:right="299" w:bottom="1440" w:gutter="0" w:footer="0" w:header="0"/>
        </w:sectPr>
      </w:pPr>
    </w:p>
    <w:bookmarkStart w:id="507" w:name="page508"/>
    <w:bookmarkEnd w:id="507"/>
    <w:p>
      <w:pPr>
        <w:jc w:val="center"/>
        <w:ind w:right="40"/>
        <w:spacing w:after="0"/>
        <w:rPr>
          <w:sz w:val="20"/>
          <w:szCs w:val="20"/>
          <w:color w:val="auto"/>
        </w:rPr>
      </w:pPr>
      <w:r>
        <w:rPr>
          <w:rFonts w:ascii="Arial" w:cs="Arial" w:eastAsia="Arial" w:hAnsi="Arial"/>
          <w:sz w:val="17"/>
          <w:szCs w:val="17"/>
          <w:b w:val="1"/>
          <w:bCs w:val="1"/>
          <w:color w:val="auto"/>
        </w:rPr>
        <w:t>Annex II Shareholding Structure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Amount of Contribution</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20"/>
                <w:szCs w:val="20"/>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HAN Wei</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190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LI Yanjun</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Total</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200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93"/>
        </w:trPr>
        <w:tc>
          <w:tcPr>
            <w:tcW w:w="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508" w:name="page509"/>
    <w:bookmarkEnd w:id="508"/>
    <w:p>
      <w:pPr>
        <w:ind w:left="3780"/>
        <w:spacing w:after="0"/>
        <w:rPr>
          <w:sz w:val="20"/>
          <w:szCs w:val="20"/>
          <w:color w:val="auto"/>
        </w:rPr>
      </w:pPr>
      <w:r>
        <w:rPr>
          <w:rFonts w:ascii="Arial" w:cs="Arial" w:eastAsia="Arial" w:hAnsi="Arial"/>
          <w:sz w:val="17"/>
          <w:szCs w:val="17"/>
          <w:b w:val="1"/>
          <w:bCs w:val="1"/>
          <w:color w:val="auto"/>
        </w:rPr>
        <w:t>Annex III Form of Party C’s Shareholders’ Register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Company: Tianjin Shangde Online Education Technology Co., Ltd.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02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Full name of the</w:t>
            </w:r>
          </w:p>
        </w:tc>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right w:val="single" w:sz="8" w:color="auto"/>
            </w:tcBorders>
          </w:tcPr>
          <w:p>
            <w:pPr>
              <w:jc w:val="center"/>
              <w:ind w:right="257"/>
              <w:spacing w:after="0"/>
              <w:rPr>
                <w:sz w:val="20"/>
                <w:szCs w:val="20"/>
                <w:color w:val="auto"/>
              </w:rPr>
            </w:pPr>
            <w:r>
              <w:rPr>
                <w:rFonts w:ascii="Arial" w:cs="Arial" w:eastAsia="Arial" w:hAnsi="Arial"/>
                <w:sz w:val="17"/>
                <w:szCs w:val="17"/>
                <w:b w:val="1"/>
                <w:bCs w:val="1"/>
                <w:color w:val="auto"/>
                <w:w w:val="96"/>
              </w:rPr>
              <w:t>[HAN Wei]</w:t>
            </w:r>
          </w:p>
        </w:tc>
        <w:tc>
          <w:tcPr>
            <w:tcW w:w="160" w:type="dxa"/>
            <w:vAlign w:val="bottom"/>
            <w:tcBorders>
              <w:top w:val="single" w:sz="8" w:color="auto"/>
            </w:tcBorders>
          </w:tcPr>
          <w:p>
            <w:pPr>
              <w:spacing w:after="0"/>
              <w:rPr>
                <w:sz w:val="21"/>
                <w:szCs w:val="21"/>
                <w:color w:val="auto"/>
              </w:rPr>
            </w:pPr>
          </w:p>
        </w:tc>
        <w:tc>
          <w:tcPr>
            <w:tcW w:w="2080" w:type="dxa"/>
            <w:vAlign w:val="bottom"/>
            <w:tcBorders>
              <w:top w:val="single" w:sz="8" w:color="auto"/>
              <w:right w:val="single" w:sz="8" w:color="auto"/>
            </w:tcBorders>
            <w:gridSpan w:val="3"/>
          </w:tcPr>
          <w:p>
            <w:pPr>
              <w:jc w:val="center"/>
              <w:ind w:right="117"/>
              <w:spacing w:after="0"/>
              <w:rPr>
                <w:sz w:val="20"/>
                <w:szCs w:val="20"/>
                <w:color w:val="auto"/>
              </w:rPr>
            </w:pPr>
            <w:r>
              <w:rPr>
                <w:rFonts w:ascii="Arial" w:cs="Arial" w:eastAsia="Arial" w:hAnsi="Arial"/>
                <w:sz w:val="17"/>
                <w:szCs w:val="17"/>
                <w:b w:val="1"/>
                <w:bCs w:val="1"/>
                <w:color w:val="auto"/>
                <w:w w:val="91"/>
              </w:rPr>
              <w:t>ID Card No./ Registration</w:t>
            </w: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right w:val="single" w:sz="8" w:color="auto"/>
            </w:tcBorders>
            <w:gridSpan w:val="3"/>
          </w:tcPr>
          <w:p>
            <w:pPr>
              <w:jc w:val="center"/>
              <w:ind w:right="97"/>
              <w:spacing w:after="0"/>
              <w:rPr>
                <w:sz w:val="20"/>
                <w:szCs w:val="20"/>
                <w:color w:val="auto"/>
              </w:rPr>
            </w:pPr>
            <w:r>
              <w:rPr>
                <w:rFonts w:ascii="Arial" w:cs="Arial" w:eastAsia="Arial" w:hAnsi="Arial"/>
                <w:sz w:val="17"/>
                <w:szCs w:val="17"/>
                <w:b w:val="1"/>
                <w:bCs w:val="1"/>
                <w:color w:val="auto"/>
                <w:w w:val="90"/>
              </w:rPr>
              <w:t>[[•]]Occupa</w:t>
            </w:r>
          </w:p>
        </w:tc>
        <w:tc>
          <w:tcPr>
            <w:tcW w:w="15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7"/>
                <w:szCs w:val="17"/>
                <w:b w:val="1"/>
                <w:bCs w:val="1"/>
                <w:color w:val="auto"/>
              </w:rPr>
              <w:t>Identity</w:t>
            </w:r>
          </w:p>
        </w:tc>
        <w:tc>
          <w:tcPr>
            <w:tcW w:w="2480" w:type="dxa"/>
            <w:vAlign w:val="bottom"/>
            <w:tcBorders>
              <w:top w:val="single" w:sz="8" w:color="auto"/>
              <w:right w:val="single" w:sz="8" w:color="auto"/>
            </w:tcBorders>
            <w:gridSpan w:val="2"/>
          </w:tcPr>
          <w:p>
            <w:pPr>
              <w:jc w:val="right"/>
              <w:ind w:right="517"/>
              <w:spacing w:after="0"/>
              <w:rPr>
                <w:sz w:val="20"/>
                <w:szCs w:val="20"/>
                <w:color w:val="auto"/>
              </w:rPr>
            </w:pPr>
            <w:r>
              <w:rPr>
                <w:rFonts w:ascii="Arial" w:cs="Arial" w:eastAsia="Arial" w:hAnsi="Arial"/>
                <w:sz w:val="17"/>
                <w:szCs w:val="17"/>
                <w:b w:val="1"/>
                <w:bCs w:val="1"/>
                <w:color w:val="auto"/>
              </w:rPr>
              <w:t>Executive Director</w:t>
            </w: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Shareholder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left="17"/>
              <w:spacing w:after="0"/>
              <w:rPr>
                <w:sz w:val="20"/>
                <w:szCs w:val="20"/>
                <w:color w:val="auto"/>
              </w:rPr>
            </w:pPr>
            <w:r>
              <w:rPr>
                <w:rFonts w:ascii="Arial" w:cs="Arial" w:eastAsia="Arial" w:hAnsi="Arial"/>
                <w:sz w:val="17"/>
                <w:szCs w:val="17"/>
                <w:b w:val="1"/>
                <w:bCs w:val="1"/>
                <w:color w:val="auto"/>
                <w:w w:val="87"/>
              </w:rPr>
              <w:t>No.</w:t>
            </w:r>
          </w:p>
        </w:tc>
        <w:tc>
          <w:tcPr>
            <w:tcW w:w="5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gridSpan w:val="2"/>
          </w:tcPr>
          <w:p>
            <w:pPr>
              <w:jc w:val="center"/>
              <w:ind w:right="397"/>
              <w:spacing w:after="0"/>
              <w:rPr>
                <w:sz w:val="20"/>
                <w:szCs w:val="20"/>
                <w:color w:val="auto"/>
              </w:rPr>
            </w:pPr>
            <w:r>
              <w:rPr>
                <w:rFonts w:ascii="Arial" w:cs="Arial" w:eastAsia="Arial" w:hAnsi="Arial"/>
                <w:sz w:val="17"/>
                <w:szCs w:val="17"/>
                <w:b w:val="1"/>
                <w:bCs w:val="1"/>
                <w:color w:val="auto"/>
                <w:w w:val="91"/>
              </w:rPr>
              <w:t>tion/]</w:t>
            </w:r>
          </w:p>
        </w:tc>
        <w:tc>
          <w:tcPr>
            <w:tcW w:w="156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50"/>
        </w:trPr>
        <w:tc>
          <w:tcPr>
            <w:tcW w:w="202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42"/>
        </w:trPr>
        <w:tc>
          <w:tcPr>
            <w:tcW w:w="2020" w:type="dxa"/>
            <w:vAlign w:val="bottom"/>
            <w:tcBorders>
              <w:left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97"/>
              </w:rPr>
              <w:t>Address of Domicile</w:t>
            </w:r>
          </w:p>
        </w:tc>
        <w:tc>
          <w:tcPr>
            <w:tcW w:w="160" w:type="dxa"/>
            <w:vAlign w:val="bottom"/>
            <w:tcBorders>
              <w:right w:val="single" w:sz="8" w:color="auto"/>
            </w:tcBorders>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737"/>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42"/>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2900" w:type="dxa"/>
            <w:vAlign w:val="bottom"/>
            <w:gridSpan w:val="5"/>
          </w:tcPr>
          <w:p>
            <w:pPr>
              <w:jc w:val="center"/>
              <w:ind w:left="177"/>
              <w:spacing w:after="0"/>
              <w:rPr>
                <w:sz w:val="20"/>
                <w:szCs w:val="20"/>
                <w:color w:val="auto"/>
              </w:rPr>
            </w:pPr>
            <w:r>
              <w:rPr>
                <w:rFonts w:ascii="Arial" w:cs="Arial" w:eastAsia="Arial" w:hAnsi="Arial"/>
                <w:sz w:val="17"/>
                <w:szCs w:val="17"/>
                <w:b w:val="1"/>
                <w:bCs w:val="1"/>
                <w:color w:val="auto"/>
                <w:w w:val="89"/>
              </w:rPr>
              <w:t>Contribution Amount/ Consideration</w:t>
            </w:r>
          </w:p>
        </w:tc>
        <w:tc>
          <w:tcPr>
            <w:tcW w:w="280" w:type="dxa"/>
            <w:vAlign w:val="bottom"/>
            <w:tcBorders>
              <w:right w:val="single" w:sz="8" w:color="auto"/>
            </w:tcBorders>
          </w:tcPr>
          <w:p>
            <w:pPr>
              <w:spacing w:after="0"/>
              <w:rPr>
                <w:sz w:val="21"/>
                <w:szCs w:val="21"/>
                <w:color w:val="auto"/>
              </w:rPr>
            </w:pPr>
          </w:p>
        </w:tc>
        <w:tc>
          <w:tcPr>
            <w:tcW w:w="2240" w:type="dxa"/>
            <w:vAlign w:val="bottom"/>
            <w:gridSpan w:val="4"/>
          </w:tcPr>
          <w:p>
            <w:pPr>
              <w:ind w:left="440"/>
              <w:spacing w:after="0"/>
              <w:rPr>
                <w:sz w:val="20"/>
                <w:szCs w:val="20"/>
                <w:color w:val="auto"/>
              </w:rPr>
            </w:pPr>
            <w:r>
              <w:rPr>
                <w:rFonts w:ascii="Arial" w:cs="Arial" w:eastAsia="Arial" w:hAnsi="Arial"/>
                <w:sz w:val="17"/>
                <w:szCs w:val="17"/>
                <w:b w:val="1"/>
                <w:bCs w:val="1"/>
                <w:color w:val="auto"/>
                <w:w w:val="86"/>
              </w:rPr>
              <w:t>Shareholding Percentage</w:t>
            </w:r>
          </w:p>
        </w:tc>
        <w:tc>
          <w:tcPr>
            <w:tcW w:w="46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80" w:type="dxa"/>
            <w:vAlign w:val="bottom"/>
          </w:tcPr>
          <w:p>
            <w:pPr>
              <w:jc w:val="center"/>
              <w:ind w:right="457"/>
              <w:spacing w:after="0"/>
              <w:rPr>
                <w:sz w:val="20"/>
                <w:szCs w:val="20"/>
                <w:color w:val="auto"/>
              </w:rPr>
            </w:pPr>
            <w:r>
              <w:rPr>
                <w:rFonts w:ascii="Arial" w:cs="Arial" w:eastAsia="Arial" w:hAnsi="Arial"/>
                <w:sz w:val="17"/>
                <w:szCs w:val="17"/>
                <w:b w:val="1"/>
                <w:bCs w:val="1"/>
                <w:color w:val="auto"/>
                <w:w w:val="84"/>
              </w:rPr>
              <w:t>Note</w:t>
            </w:r>
          </w:p>
        </w:tc>
        <w:tc>
          <w:tcPr>
            <w:tcW w:w="150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gridSpan w:val="2"/>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gridSpan w:val="4"/>
          </w:tcPr>
          <w:p>
            <w:pPr>
              <w:jc w:val="center"/>
              <w:ind w:right="860"/>
              <w:spacing w:after="0"/>
              <w:rPr>
                <w:sz w:val="20"/>
                <w:szCs w:val="20"/>
                <w:color w:val="auto"/>
              </w:rPr>
            </w:pPr>
            <w:r>
              <w:rPr>
                <w:rFonts w:ascii="Arial" w:cs="Arial" w:eastAsia="Arial" w:hAnsi="Arial"/>
                <w:sz w:val="17"/>
                <w:szCs w:val="17"/>
                <w:color w:val="auto"/>
                <w:w w:val="96"/>
              </w:rPr>
              <w:t>CNY [190]</w:t>
            </w:r>
          </w:p>
        </w:tc>
        <w:tc>
          <w:tcPr>
            <w:tcW w:w="280" w:type="dxa"/>
            <w:vAlign w:val="bottom"/>
            <w:tcBorders>
              <w:right w:val="single" w:sz="8" w:color="auto"/>
            </w:tcBorders>
          </w:tcPr>
          <w:p>
            <w:pPr>
              <w:spacing w:after="0"/>
              <w:rPr>
                <w:sz w:val="19"/>
                <w:szCs w:val="19"/>
                <w:color w:val="auto"/>
              </w:rPr>
            </w:pPr>
          </w:p>
        </w:tc>
        <w:tc>
          <w:tcPr>
            <w:tcW w:w="12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3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4"/>
          </w:tcPr>
          <w:p>
            <w:pPr>
              <w:jc w:val="center"/>
              <w:spacing w:after="0"/>
              <w:rPr>
                <w:sz w:val="20"/>
                <w:szCs w:val="20"/>
                <w:color w:val="auto"/>
              </w:rPr>
            </w:pPr>
            <w:r>
              <w:rPr>
                <w:rFonts w:ascii="Arial" w:cs="Arial" w:eastAsia="Arial" w:hAnsi="Arial"/>
                <w:sz w:val="17"/>
                <w:szCs w:val="17"/>
                <w:color w:val="auto"/>
                <w:w w:val="91"/>
              </w:rPr>
              <w:t>100% of the equity being pledged to [  Wuhan Studyvip Online</w:t>
            </w: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2"/>
          </w:tcPr>
          <w:p>
            <w:pPr>
              <w:ind w:left="800"/>
              <w:spacing w:after="0"/>
              <w:rPr>
                <w:sz w:val="20"/>
                <w:szCs w:val="20"/>
                <w:color w:val="auto"/>
              </w:rPr>
            </w:pPr>
            <w:r>
              <w:rPr>
                <w:rFonts w:ascii="Arial" w:cs="Arial" w:eastAsia="Arial" w:hAnsi="Arial"/>
                <w:sz w:val="17"/>
                <w:szCs w:val="17"/>
                <w:color w:val="auto"/>
              </w:rPr>
              <w:t>Education Co., Limited</w:t>
            </w:r>
          </w:p>
        </w:tc>
        <w:tc>
          <w:tcPr>
            <w:tcW w:w="1500" w:type="dxa"/>
            <w:vAlign w:val="bottom"/>
            <w:tcBorders>
              <w:right w:val="single" w:sz="8" w:color="auto"/>
            </w:tcBorders>
          </w:tcPr>
          <w:p>
            <w:pPr>
              <w:jc w:val="right"/>
              <w:ind w:right="1197"/>
              <w:spacing w:after="0"/>
              <w:rPr>
                <w:sz w:val="20"/>
                <w:szCs w:val="20"/>
                <w:color w:val="auto"/>
              </w:rPr>
            </w:pPr>
            <w:r>
              <w:rPr>
                <w:rFonts w:ascii="Arial" w:cs="Arial" w:eastAsia="Arial" w:hAnsi="Arial"/>
                <w:sz w:val="17"/>
                <w:szCs w:val="17"/>
                <w:color w:val="auto"/>
              </w:rPr>
              <w:t>]</w:t>
            </w: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02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Full name of the</w:t>
            </w:r>
          </w:p>
        </w:tc>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right w:val="single" w:sz="8" w:color="auto"/>
            </w:tcBorders>
          </w:tcPr>
          <w:p>
            <w:pPr>
              <w:jc w:val="center"/>
              <w:ind w:right="257"/>
              <w:spacing w:after="0"/>
              <w:rPr>
                <w:sz w:val="20"/>
                <w:szCs w:val="20"/>
                <w:color w:val="auto"/>
              </w:rPr>
            </w:pPr>
            <w:r>
              <w:rPr>
                <w:rFonts w:ascii="Arial" w:cs="Arial" w:eastAsia="Arial" w:hAnsi="Arial"/>
                <w:sz w:val="17"/>
                <w:szCs w:val="17"/>
                <w:b w:val="1"/>
                <w:bCs w:val="1"/>
                <w:color w:val="auto"/>
                <w:w w:val="95"/>
              </w:rPr>
              <w:t>[LI Yanjun]</w:t>
            </w:r>
          </w:p>
        </w:tc>
        <w:tc>
          <w:tcPr>
            <w:tcW w:w="160" w:type="dxa"/>
            <w:vAlign w:val="bottom"/>
            <w:tcBorders>
              <w:top w:val="single" w:sz="8" w:color="auto"/>
            </w:tcBorders>
          </w:tcPr>
          <w:p>
            <w:pPr>
              <w:spacing w:after="0"/>
              <w:rPr>
                <w:sz w:val="21"/>
                <w:szCs w:val="21"/>
                <w:color w:val="auto"/>
              </w:rPr>
            </w:pPr>
          </w:p>
        </w:tc>
        <w:tc>
          <w:tcPr>
            <w:tcW w:w="2080" w:type="dxa"/>
            <w:vAlign w:val="bottom"/>
            <w:tcBorders>
              <w:top w:val="single" w:sz="8" w:color="auto"/>
              <w:right w:val="single" w:sz="8" w:color="auto"/>
            </w:tcBorders>
            <w:gridSpan w:val="3"/>
          </w:tcPr>
          <w:p>
            <w:pPr>
              <w:jc w:val="center"/>
              <w:ind w:right="117"/>
              <w:spacing w:after="0"/>
              <w:rPr>
                <w:sz w:val="20"/>
                <w:szCs w:val="20"/>
                <w:color w:val="auto"/>
              </w:rPr>
            </w:pPr>
            <w:r>
              <w:rPr>
                <w:rFonts w:ascii="Arial" w:cs="Arial" w:eastAsia="Arial" w:hAnsi="Arial"/>
                <w:sz w:val="17"/>
                <w:szCs w:val="17"/>
                <w:b w:val="1"/>
                <w:bCs w:val="1"/>
                <w:color w:val="auto"/>
                <w:w w:val="91"/>
              </w:rPr>
              <w:t>ID Card No./ Registration</w:t>
            </w:r>
          </w:p>
        </w:tc>
        <w:tc>
          <w:tcPr>
            <w:tcW w:w="4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w w:val="99"/>
              </w:rPr>
              <w:t>[ [•] ]</w:t>
            </w:r>
          </w:p>
        </w:tc>
        <w:tc>
          <w:tcPr>
            <w:tcW w:w="440" w:type="dxa"/>
            <w:vAlign w:val="bottom"/>
            <w:tcBorders>
              <w:top w:val="single" w:sz="8" w:color="auto"/>
              <w:right w:val="single" w:sz="8" w:color="auto"/>
            </w:tcBorders>
          </w:tcPr>
          <w:p>
            <w:pPr>
              <w:spacing w:after="0"/>
              <w:rPr>
                <w:sz w:val="21"/>
                <w:szCs w:val="21"/>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Occupation/</w:t>
            </w:r>
          </w:p>
        </w:tc>
        <w:tc>
          <w:tcPr>
            <w:tcW w:w="760" w:type="dxa"/>
            <w:vAlign w:val="bottom"/>
            <w:tcBorders>
              <w:top w:val="single" w:sz="8" w:color="auto"/>
            </w:tcBorders>
          </w:tcPr>
          <w:p>
            <w:pPr>
              <w:spacing w:after="0"/>
              <w:rPr>
                <w:sz w:val="21"/>
                <w:szCs w:val="21"/>
                <w:color w:val="auto"/>
              </w:rPr>
            </w:pPr>
          </w:p>
        </w:tc>
        <w:tc>
          <w:tcPr>
            <w:tcW w:w="1720" w:type="dxa"/>
            <w:vAlign w:val="bottom"/>
            <w:tcBorders>
              <w:top w:val="single" w:sz="8" w:color="auto"/>
              <w:right w:val="single" w:sz="8" w:color="auto"/>
            </w:tcBorders>
          </w:tcPr>
          <w:p>
            <w:pPr>
              <w:spacing w:after="0"/>
              <w:rPr>
                <w:sz w:val="21"/>
                <w:szCs w:val="2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Shareholder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7"/>
              </w:rPr>
              <w:t>No.</w:t>
            </w:r>
          </w:p>
        </w:tc>
        <w:tc>
          <w:tcPr>
            <w:tcW w:w="5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Identity</w:t>
            </w:r>
          </w:p>
        </w:tc>
        <w:tc>
          <w:tcPr>
            <w:tcW w:w="76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50"/>
        </w:trPr>
        <w:tc>
          <w:tcPr>
            <w:tcW w:w="202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42"/>
        </w:trPr>
        <w:tc>
          <w:tcPr>
            <w:tcW w:w="2020" w:type="dxa"/>
            <w:vAlign w:val="bottom"/>
            <w:tcBorders>
              <w:left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97"/>
              </w:rPr>
              <w:t>Address of Domicile</w:t>
            </w:r>
          </w:p>
        </w:tc>
        <w:tc>
          <w:tcPr>
            <w:tcW w:w="160" w:type="dxa"/>
            <w:vAlign w:val="bottom"/>
            <w:tcBorders>
              <w:right w:val="single" w:sz="8" w:color="auto"/>
            </w:tcBorders>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737"/>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42"/>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2900" w:type="dxa"/>
            <w:vAlign w:val="bottom"/>
            <w:gridSpan w:val="5"/>
          </w:tcPr>
          <w:p>
            <w:pPr>
              <w:jc w:val="center"/>
              <w:ind w:left="177"/>
              <w:spacing w:after="0"/>
              <w:rPr>
                <w:sz w:val="20"/>
                <w:szCs w:val="20"/>
                <w:color w:val="auto"/>
              </w:rPr>
            </w:pPr>
            <w:r>
              <w:rPr>
                <w:rFonts w:ascii="Arial" w:cs="Arial" w:eastAsia="Arial" w:hAnsi="Arial"/>
                <w:sz w:val="17"/>
                <w:szCs w:val="17"/>
                <w:b w:val="1"/>
                <w:bCs w:val="1"/>
                <w:color w:val="auto"/>
                <w:w w:val="89"/>
              </w:rPr>
              <w:t>Contribution Amount/ Consideration</w:t>
            </w:r>
          </w:p>
        </w:tc>
        <w:tc>
          <w:tcPr>
            <w:tcW w:w="280" w:type="dxa"/>
            <w:vAlign w:val="bottom"/>
            <w:tcBorders>
              <w:right w:val="single" w:sz="8" w:color="auto"/>
            </w:tcBorders>
          </w:tcPr>
          <w:p>
            <w:pPr>
              <w:spacing w:after="0"/>
              <w:rPr>
                <w:sz w:val="21"/>
                <w:szCs w:val="21"/>
                <w:color w:val="auto"/>
              </w:rPr>
            </w:pPr>
          </w:p>
        </w:tc>
        <w:tc>
          <w:tcPr>
            <w:tcW w:w="22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Shareholding Percentage</w:t>
            </w:r>
          </w:p>
        </w:tc>
        <w:tc>
          <w:tcPr>
            <w:tcW w:w="46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Arial" w:cs="Arial" w:eastAsia="Arial" w:hAnsi="Arial"/>
                <w:sz w:val="17"/>
                <w:szCs w:val="17"/>
                <w:b w:val="1"/>
                <w:bCs w:val="1"/>
                <w:color w:val="auto"/>
              </w:rPr>
              <w:t>Note</w:t>
            </w:r>
          </w:p>
        </w:tc>
        <w:tc>
          <w:tcPr>
            <w:tcW w:w="172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gridSpan w:val="4"/>
          </w:tcPr>
          <w:p>
            <w:pPr>
              <w:jc w:val="center"/>
              <w:ind w:right="860"/>
              <w:spacing w:after="0"/>
              <w:rPr>
                <w:sz w:val="20"/>
                <w:szCs w:val="20"/>
                <w:color w:val="auto"/>
              </w:rPr>
            </w:pPr>
            <w:r>
              <w:rPr>
                <w:rFonts w:ascii="Arial" w:cs="Arial" w:eastAsia="Arial" w:hAnsi="Arial"/>
                <w:sz w:val="17"/>
                <w:szCs w:val="17"/>
                <w:color w:val="auto"/>
                <w:w w:val="98"/>
              </w:rPr>
              <w:t>CNY [10]</w:t>
            </w:r>
          </w:p>
        </w:tc>
        <w:tc>
          <w:tcPr>
            <w:tcW w:w="280" w:type="dxa"/>
            <w:vAlign w:val="bottom"/>
            <w:tcBorders>
              <w:right w:val="single" w:sz="8" w:color="auto"/>
            </w:tcBorders>
          </w:tcPr>
          <w:p>
            <w:pPr>
              <w:spacing w:after="0"/>
              <w:rPr>
                <w:sz w:val="19"/>
                <w:szCs w:val="19"/>
                <w:color w:val="auto"/>
              </w:rPr>
            </w:pPr>
          </w:p>
        </w:tc>
        <w:tc>
          <w:tcPr>
            <w:tcW w:w="12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5 ]%</w:t>
            </w:r>
          </w:p>
        </w:tc>
        <w:tc>
          <w:tcPr>
            <w:tcW w:w="460" w:type="dxa"/>
            <w:vAlign w:val="bottom"/>
            <w:tcBorders>
              <w:right w:val="single" w:sz="8" w:color="auto"/>
            </w:tcBorders>
          </w:tcPr>
          <w:p>
            <w:pPr>
              <w:spacing w:after="0"/>
              <w:rPr>
                <w:sz w:val="19"/>
                <w:szCs w:val="19"/>
                <w:color w:val="auto"/>
              </w:rPr>
            </w:pPr>
          </w:p>
        </w:tc>
        <w:tc>
          <w:tcPr>
            <w:tcW w:w="2760" w:type="dxa"/>
            <w:vAlign w:val="bottom"/>
            <w:gridSpan w:val="3"/>
          </w:tcPr>
          <w:p>
            <w:pPr>
              <w:ind w:left="60"/>
              <w:spacing w:after="0"/>
              <w:rPr>
                <w:sz w:val="20"/>
                <w:szCs w:val="20"/>
                <w:color w:val="auto"/>
              </w:rPr>
            </w:pPr>
            <w:r>
              <w:rPr>
                <w:rFonts w:ascii="Arial" w:cs="Arial" w:eastAsia="Arial" w:hAnsi="Arial"/>
                <w:sz w:val="17"/>
                <w:szCs w:val="17"/>
                <w:color w:val="auto"/>
                <w:w w:val="95"/>
              </w:rPr>
              <w:t>100% of the equity being pledged to [</w:t>
            </w:r>
          </w:p>
        </w:tc>
        <w:tc>
          <w:tcPr>
            <w:tcW w:w="1720" w:type="dxa"/>
            <w:vAlign w:val="bottom"/>
            <w:tcBorders>
              <w:right w:val="single" w:sz="8" w:color="auto"/>
            </w:tcBorders>
          </w:tcPr>
          <w:p>
            <w:pPr>
              <w:jc w:val="right"/>
              <w:ind w:right="17"/>
              <w:spacing w:after="0"/>
              <w:rPr>
                <w:sz w:val="20"/>
                <w:szCs w:val="20"/>
                <w:color w:val="auto"/>
              </w:rPr>
            </w:pPr>
            <w:r>
              <w:rPr>
                <w:rFonts w:ascii="Arial" w:cs="Arial" w:eastAsia="Arial" w:hAnsi="Arial"/>
                <w:sz w:val="17"/>
                <w:szCs w:val="17"/>
                <w:color w:val="auto"/>
                <w:w w:val="90"/>
              </w:rPr>
              <w:t>Wuhan Studyvip Online</w:t>
            </w: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2"/>
          </w:tcPr>
          <w:p>
            <w:pPr>
              <w:ind w:left="760"/>
              <w:spacing w:after="0"/>
              <w:rPr>
                <w:sz w:val="20"/>
                <w:szCs w:val="20"/>
                <w:color w:val="auto"/>
              </w:rPr>
            </w:pPr>
            <w:r>
              <w:rPr>
                <w:rFonts w:ascii="Arial" w:cs="Arial" w:eastAsia="Arial" w:hAnsi="Arial"/>
                <w:sz w:val="17"/>
                <w:szCs w:val="17"/>
                <w:color w:val="auto"/>
                <w:w w:val="90"/>
              </w:rPr>
              <w:t>Education Co., Limited</w:t>
            </w:r>
          </w:p>
        </w:tc>
        <w:tc>
          <w:tcPr>
            <w:tcW w:w="1720" w:type="dxa"/>
            <w:vAlign w:val="bottom"/>
            <w:tcBorders>
              <w:right w:val="single" w:sz="8" w:color="auto"/>
            </w:tcBorders>
          </w:tcPr>
          <w:p>
            <w:pPr>
              <w:jc w:val="right"/>
              <w:ind w:right="1157"/>
              <w:spacing w:after="0"/>
              <w:rPr>
                <w:sz w:val="20"/>
                <w:szCs w:val="20"/>
                <w:color w:val="auto"/>
              </w:rPr>
            </w:pPr>
            <w:r>
              <w:rPr>
                <w:rFonts w:ascii="Arial" w:cs="Arial" w:eastAsia="Arial" w:hAnsi="Arial"/>
                <w:sz w:val="17"/>
                <w:szCs w:val="17"/>
                <w:color w:val="auto"/>
              </w:rPr>
              <w:t>]</w:t>
            </w: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Annotation:</w:t>
      </w:r>
    </w:p>
    <w:p>
      <w:pPr>
        <w:spacing w:after="0" w:line="203" w:lineRule="exact"/>
        <w:rPr>
          <w:sz w:val="20"/>
          <w:szCs w:val="20"/>
          <w:color w:val="auto"/>
        </w:rPr>
      </w:pPr>
    </w:p>
    <w:p>
      <w:pPr>
        <w:ind w:right="240"/>
        <w:spacing w:after="0" w:line="257" w:lineRule="auto"/>
        <w:tabs>
          <w:tab w:leader="none" w:pos="166" w:val="left"/>
        </w:tabs>
        <w:numPr>
          <w:ilvl w:val="0"/>
          <w:numId w:val="577"/>
        </w:numPr>
        <w:rPr>
          <w:rFonts w:ascii="Arial" w:cs="Arial" w:eastAsia="Arial" w:hAnsi="Arial"/>
          <w:sz w:val="17"/>
          <w:szCs w:val="17"/>
          <w:b w:val="1"/>
          <w:bCs w:val="1"/>
          <w:color w:val="auto"/>
        </w:rPr>
      </w:pPr>
      <w:r>
        <w:rPr>
          <w:rFonts w:ascii="Arial" w:cs="Arial" w:eastAsia="Arial" w:hAnsi="Arial"/>
          <w:sz w:val="17"/>
          <w:szCs w:val="17"/>
          <w:b w:val="1"/>
          <w:bCs w:val="1"/>
          <w:color w:val="auto"/>
        </w:rPr>
        <w:t>This Shareholders’ Register is prepared as per the Articles of Association of Wuhan Xiaoyan Technology Co., Ltd. and the Equity Interest Pledge Agreement (the “Pledge Agreement”) was made as of the 10</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of September, 2019 and entered into by and among Wuhan Xiaoyan Technology Co., Ltd. and its shareholders and Wuhan Studyvip Online Education Co., Limited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w:t>
      </w:r>
    </w:p>
    <w:p>
      <w:pPr>
        <w:spacing w:after="0" w:line="20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This Shareholders’ Register is made in ONE (1) original and ONE (1) true and same photocopy of such original. Such ONE (1) original is placed at Tianjin Shangde Online</w:t>
      </w:r>
    </w:p>
    <w:p>
      <w:pPr>
        <w:spacing w:after="0" w:line="35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Education Technology Co., Ltd.; and such ONE (1) photocopy being sealed by Tianjin Shangde Online Education Technology Co., Ltd. is handed over to Wuhan Studyvip Online Education Co., Limited for custody.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Xiaoyan Technology Co., Ltd. (Seal)</w:t>
      </w:r>
    </w:p>
    <w:p>
      <w:pPr>
        <w:spacing w:after="0" w:line="207"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color w:val="auto"/>
        </w:rPr>
        <w:t>Legal Representative (Signature):</w:t>
      </w:r>
      <w:r>
        <w:rPr>
          <w:sz w:val="20"/>
          <w:szCs w:val="20"/>
          <w:color w:val="auto"/>
        </w:rPr>
        <w:tab/>
      </w:r>
      <w:r>
        <w:rPr>
          <w:rFonts w:ascii="Arial" w:cs="Arial" w:eastAsia="Arial" w:hAnsi="Arial"/>
          <w:sz w:val="15"/>
          <w:szCs w:val="15"/>
          <w:color w:val="auto"/>
        </w:rPr>
        <w:t>/s/ HAN Wei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239649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9">
                      <a:extLst>
                        <a:ext uri="{28A0092B-C50C-407E-A947-70E740481C1C}"/>
                      </a:extLst>
                    </a:blip>
                    <a:srcRect/>
                    <a:stretch>
                      <a:fillRect/>
                    </a:stretch>
                  </pic:blipFill>
                  <pic:spPr bwMode="auto">
                    <a:xfrm>
                      <a:off x="0" y="0"/>
                      <a:ext cx="2396490" cy="762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09" w:name="page510"/>
    <w:bookmarkEnd w:id="509"/>
    <w:p>
      <w:pPr>
        <w:jc w:val="right"/>
        <w:spacing w:after="0"/>
        <w:rPr>
          <w:sz w:val="20"/>
          <w:szCs w:val="20"/>
          <w:color w:val="auto"/>
        </w:rPr>
      </w:pPr>
      <w:r>
        <w:rPr>
          <w:rFonts w:ascii="Arial" w:cs="Arial" w:eastAsia="Arial" w:hAnsi="Arial"/>
          <w:sz w:val="17"/>
          <w:szCs w:val="17"/>
          <w:b w:val="1"/>
          <w:bCs w:val="1"/>
          <w:color w:val="auto"/>
        </w:rPr>
        <w:t>Exhibit 4.60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This Option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10th day of September, 2019 in Beijing, the People’s Republic of China (“</w:t>
      </w:r>
      <w:r>
        <w:rPr>
          <w:rFonts w:ascii="Arial" w:cs="Arial" w:eastAsia="Arial" w:hAnsi="Arial"/>
          <w:sz w:val="15"/>
          <w:szCs w:val="15"/>
          <w:b w:val="1"/>
          <w:bCs w:val="1"/>
          <w:color w:val="auto"/>
        </w:rPr>
        <w:t>PRC</w:t>
      </w:r>
      <w:r>
        <w:rPr>
          <w:rFonts w:ascii="Arial" w:cs="Arial" w:eastAsia="Arial" w:hAnsi="Arial"/>
          <w:sz w:val="15"/>
          <w:szCs w:val="15"/>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Wuhan Xiaoyan Technology Co., Ltd.</w:t>
      </w:r>
    </w:p>
    <w:p>
      <w:pPr>
        <w:spacing w:after="0" w:line="207"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Registered Address: Room 02, 4th Floor, Unit 3, Building 1, 2, 3, Contemporary China Venture Center, No. 20, Guannanyuan 1st Road, East Lake New Technology Development Zone, Wuhan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GAO Jing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0" w:lineRule="exact"/>
        <w:rPr>
          <w:sz w:val="20"/>
          <w:szCs w:val="20"/>
          <w:color w:val="auto"/>
        </w:rPr>
      </w:pPr>
    </w:p>
    <w:p>
      <w:pPr>
        <w:spacing w:after="0" w:line="206" w:lineRule="exact"/>
        <w:rPr>
          <w:sz w:val="20"/>
          <w:szCs w:val="20"/>
          <w:color w:val="auto"/>
        </w:rPr>
      </w:pPr>
    </w:p>
    <w:p>
      <w:pPr>
        <w:ind w:left="540" w:hanging="491"/>
        <w:spacing w:after="0"/>
        <w:tabs>
          <w:tab w:leader="none" w:pos="54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Party A is a wholly foreign-owned enterprise incorporated and existing under the laws of the PRC.</w:t>
      </w:r>
    </w:p>
    <w:p>
      <w:pPr>
        <w:spacing w:after="0" w:line="203" w:lineRule="exact"/>
        <w:rPr>
          <w:rFonts w:ascii="Arial" w:cs="Arial" w:eastAsia="Arial" w:hAnsi="Arial"/>
          <w:sz w:val="17"/>
          <w:szCs w:val="17"/>
          <w:color w:val="auto"/>
        </w:rPr>
      </w:pPr>
    </w:p>
    <w:p>
      <w:pPr>
        <w:ind w:left="540" w:hanging="491"/>
        <w:spacing w:after="0"/>
        <w:tabs>
          <w:tab w:leader="none" w:pos="54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Party C is a limited liability company incorporated and existing under the laws of the PRC.</w:t>
      </w:r>
    </w:p>
    <w:p>
      <w:pPr>
        <w:spacing w:after="0" w:line="199" w:lineRule="exact"/>
        <w:rPr>
          <w:rFonts w:ascii="Arial" w:cs="Arial" w:eastAsia="Arial" w:hAnsi="Arial"/>
          <w:sz w:val="17"/>
          <w:szCs w:val="17"/>
          <w:color w:val="auto"/>
        </w:rPr>
      </w:pPr>
    </w:p>
    <w:p>
      <w:pPr>
        <w:ind w:left="540" w:hanging="491"/>
        <w:spacing w:after="0"/>
        <w:tabs>
          <w:tab w:leader="none" w:pos="54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Party B (“</w:t>
      </w:r>
      <w:r>
        <w:rPr>
          <w:rFonts w:ascii="Arial" w:cs="Arial" w:eastAsia="Arial" w:hAnsi="Arial"/>
          <w:sz w:val="17"/>
          <w:szCs w:val="17"/>
          <w:b w:val="1"/>
          <w:bCs w:val="1"/>
          <w:color w:val="auto"/>
        </w:rPr>
        <w:t>Grantors</w:t>
      </w:r>
      <w:r>
        <w:rPr>
          <w:rFonts w:ascii="Arial" w:cs="Arial" w:eastAsia="Arial" w:hAnsi="Arial"/>
          <w:sz w:val="17"/>
          <w:szCs w:val="17"/>
          <w:color w:val="auto"/>
        </w:rPr>
        <w:t>”) directly hold their interests in Party C, and the shareholdings are shown in Annex II hereto.</w:t>
      </w:r>
    </w:p>
    <w:p>
      <w:pPr>
        <w:spacing w:after="0" w:line="206" w:lineRule="exact"/>
        <w:rPr>
          <w:rFonts w:ascii="Arial" w:cs="Arial" w:eastAsia="Arial" w:hAnsi="Arial"/>
          <w:sz w:val="17"/>
          <w:szCs w:val="17"/>
          <w:color w:val="auto"/>
        </w:rPr>
      </w:pPr>
    </w:p>
    <w:p>
      <w:pPr>
        <w:ind w:left="540" w:hanging="491"/>
        <w:spacing w:after="0"/>
        <w:tabs>
          <w:tab w:leader="none" w:pos="54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The Parties hereto signed the Equity Pledge Agreement on the 10</w:t>
      </w:r>
      <w:r>
        <w:rPr>
          <w:rFonts w:ascii="Arial" w:cs="Arial" w:eastAsia="Arial" w:hAnsi="Arial"/>
          <w:sz w:val="14"/>
          <w:szCs w:val="14"/>
          <w:color w:val="auto"/>
        </w:rPr>
        <w:t>th</w:t>
      </w:r>
      <w:r>
        <w:rPr>
          <w:rFonts w:ascii="Arial" w:cs="Arial" w:eastAsia="Arial" w:hAnsi="Arial"/>
          <w:sz w:val="17"/>
          <w:szCs w:val="17"/>
          <w:color w:val="auto"/>
        </w:rPr>
        <w:t xml:space="preserve"> day of September, 2019.</w:t>
      </w:r>
    </w:p>
    <w:p>
      <w:pPr>
        <w:spacing w:after="0" w:line="203" w:lineRule="exact"/>
        <w:rPr>
          <w:rFonts w:ascii="Arial" w:cs="Arial" w:eastAsia="Arial" w:hAnsi="Arial"/>
          <w:sz w:val="17"/>
          <w:szCs w:val="17"/>
          <w:color w:val="auto"/>
        </w:rPr>
      </w:pPr>
    </w:p>
    <w:p>
      <w:pPr>
        <w:ind w:left="540" w:hanging="491"/>
        <w:spacing w:after="0" w:line="264" w:lineRule="auto"/>
        <w:tabs>
          <w:tab w:leader="none" w:pos="54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Party B intends to grant Party A or its designated qualified subject an exclusive option to purchase all or part of the shares/assets of Party C held by any or all of Grantors at any time subject to compliance with the requirements of Chinese laws.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Therefore, this Agreement is entered into by and among the Parties as follows:</w:t>
      </w:r>
    </w:p>
    <w:p>
      <w:pPr>
        <w:spacing w:after="0" w:line="199" w:lineRule="exact"/>
        <w:rPr>
          <w:sz w:val="20"/>
          <w:szCs w:val="20"/>
          <w:color w:val="auto"/>
        </w:rPr>
      </w:pPr>
    </w:p>
    <w:p>
      <w:pPr>
        <w:ind w:left="680" w:hanging="631"/>
        <w:spacing w:after="0"/>
        <w:tabs>
          <w:tab w:leader="none" w:pos="680" w:val="left"/>
        </w:tabs>
        <w:numPr>
          <w:ilvl w:val="0"/>
          <w:numId w:val="579"/>
        </w:numPr>
        <w:rPr>
          <w:rFonts w:ascii="Arial" w:cs="Arial" w:eastAsia="Arial" w:hAnsi="Arial"/>
          <w:sz w:val="17"/>
          <w:szCs w:val="17"/>
          <w:b w:val="1"/>
          <w:bCs w:val="1"/>
          <w:color w:val="auto"/>
        </w:rPr>
      </w:pPr>
      <w:r>
        <w:rPr>
          <w:rFonts w:ascii="Arial" w:cs="Arial" w:eastAsia="Arial" w:hAnsi="Arial"/>
          <w:sz w:val="17"/>
          <w:szCs w:val="17"/>
          <w:b w:val="1"/>
          <w:bCs w:val="1"/>
          <w:color w:val="auto"/>
        </w:rPr>
        <w:t>Granting of the Option</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1.1</w:t>
            </w:r>
          </w:p>
        </w:tc>
        <w:tc>
          <w:tcPr>
            <w:tcW w:w="10040" w:type="dxa"/>
            <w:vAlign w:val="bottom"/>
          </w:tcPr>
          <w:p>
            <w:pPr>
              <w:ind w:left="320"/>
              <w:spacing w:after="0"/>
              <w:rPr>
                <w:sz w:val="20"/>
                <w:szCs w:val="20"/>
                <w:color w:val="auto"/>
              </w:rPr>
            </w:pPr>
            <w:r>
              <w:rPr>
                <w:rFonts w:ascii="Arial" w:cs="Arial" w:eastAsia="Arial" w:hAnsi="Arial"/>
                <w:sz w:val="17"/>
                <w:szCs w:val="17"/>
                <w:color w:val="auto"/>
                <w:w w:val="89"/>
              </w:rPr>
              <w:t>Granting Grantors agree that, on the date of signing this Agreement, they shall irrevocably grant Party A an option to purchase in installments or</w:t>
            </w:r>
          </w:p>
        </w:tc>
      </w:tr>
      <w:tr>
        <w:trPr>
          <w:trHeight w:val="212"/>
        </w:trPr>
        <w:tc>
          <w:tcPr>
            <w:tcW w:w="54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7"/>
                <w:szCs w:val="17"/>
                <w:color w:val="auto"/>
                <w:w w:val="92"/>
              </w:rPr>
              <w:t>lump sum all their shares in Party C by Party A or its designated third party in such way of exercise as stipulated in Section 2.2 hereof. Such</w:t>
            </w:r>
          </w:p>
        </w:tc>
      </w:tr>
    </w:tbl>
    <w:p>
      <w:pPr>
        <w:ind w:left="1520"/>
        <w:spacing w:after="0" w:line="249" w:lineRule="auto"/>
        <w:rPr>
          <w:sz w:val="20"/>
          <w:szCs w:val="20"/>
          <w:color w:val="auto"/>
        </w:rPr>
      </w:pPr>
      <w:r>
        <w:rPr>
          <w:rFonts w:ascii="Arial" w:cs="Arial" w:eastAsia="Arial" w:hAnsi="Arial"/>
          <w:sz w:val="17"/>
          <w:szCs w:val="17"/>
          <w:color w:val="auto"/>
        </w:rPr>
        <w:t>option shall be granted to Party A after this Agreement is signed by the Parties hereto and shall be irrevocable within the term of this Agreement once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4390" cy="412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0" w:name="page511"/>
    <w:bookmarkEnd w:id="510"/>
    <w:tbl>
      <w:tblPr>
        <w:tblLayout w:type="fixed"/>
        <w:tblInd w:w="611"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1.2</w:t>
            </w:r>
          </w:p>
        </w:tc>
        <w:tc>
          <w:tcPr>
            <w:tcW w:w="10040" w:type="dxa"/>
            <w:vAlign w:val="bottom"/>
          </w:tcPr>
          <w:p>
            <w:pPr>
              <w:ind w:left="320"/>
              <w:spacing w:after="0"/>
              <w:rPr>
                <w:sz w:val="20"/>
                <w:szCs w:val="20"/>
                <w:color w:val="auto"/>
              </w:rPr>
            </w:pPr>
            <w:r>
              <w:rPr>
                <w:rFonts w:ascii="Arial" w:cs="Arial" w:eastAsia="Arial" w:hAnsi="Arial"/>
                <w:sz w:val="17"/>
                <w:szCs w:val="17"/>
                <w:color w:val="auto"/>
                <w:w w:val="88"/>
              </w:rPr>
              <w:t>Term This Agreement shall take effect after being signed and/or sealed by the parties hereto, and shall not be terminated until Party A acquires all</w:t>
            </w:r>
          </w:p>
        </w:tc>
      </w:tr>
      <w:tr>
        <w:trPr>
          <w:trHeight w:val="212"/>
        </w:trPr>
        <w:tc>
          <w:tcPr>
            <w:tcW w:w="54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7"/>
                <w:szCs w:val="17"/>
                <w:color w:val="auto"/>
              </w:rPr>
              <w:t>shares of Party C held by Grantors subject to the applicable laws of the PRC.</w:t>
            </w:r>
          </w:p>
        </w:tc>
      </w:tr>
    </w:tbl>
    <w:p>
      <w:pPr>
        <w:spacing w:after="0" w:line="200" w:lineRule="exact"/>
        <w:rPr>
          <w:sz w:val="20"/>
          <w:szCs w:val="20"/>
          <w:color w:val="auto"/>
        </w:rPr>
      </w:pPr>
    </w:p>
    <w:p>
      <w:pPr>
        <w:spacing w:after="0" w:line="381" w:lineRule="exact"/>
        <w:rPr>
          <w:sz w:val="20"/>
          <w:szCs w:val="20"/>
          <w:color w:val="auto"/>
        </w:rPr>
      </w:pPr>
    </w:p>
    <w:p>
      <w:pPr>
        <w:ind w:left="631" w:hanging="631"/>
        <w:spacing w:after="0"/>
        <w:tabs>
          <w:tab w:leader="none" w:pos="631" w:val="left"/>
        </w:tabs>
        <w:numPr>
          <w:ilvl w:val="0"/>
          <w:numId w:val="580"/>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Option and Delivery</w:t>
      </w:r>
    </w:p>
    <w:p>
      <w:pPr>
        <w:spacing w:after="0" w:line="203" w:lineRule="exact"/>
        <w:rPr>
          <w:sz w:val="20"/>
          <w:szCs w:val="20"/>
          <w:color w:val="auto"/>
        </w:rPr>
      </w:pPr>
    </w:p>
    <w:tbl>
      <w:tblPr>
        <w:tblLayout w:type="fixed"/>
        <w:tblInd w:w="611" w:type="dxa"/>
        <w:tblCellMar>
          <w:top w:w="0" w:type="dxa"/>
          <w:left w:w="0" w:type="dxa"/>
          <w:bottom w:w="0" w:type="dxa"/>
          <w:right w:w="0" w:type="dxa"/>
        </w:tblCellMar>
      </w:tblPr>
      <w:tr>
        <w:trPr>
          <w:trHeight w:val="21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10040" w:type="dxa"/>
            <w:vAlign w:val="bottom"/>
            <w:gridSpan w:val="2"/>
          </w:tcPr>
          <w:p>
            <w:pPr>
              <w:ind w:left="320"/>
              <w:spacing w:after="0"/>
              <w:rPr>
                <w:sz w:val="20"/>
                <w:szCs w:val="20"/>
                <w:color w:val="auto"/>
              </w:rPr>
            </w:pPr>
            <w:r>
              <w:rPr>
                <w:rFonts w:ascii="Arial" w:cs="Arial" w:eastAsia="Arial" w:hAnsi="Arial"/>
                <w:sz w:val="17"/>
                <w:szCs w:val="17"/>
                <w:b w:val="1"/>
                <w:bCs w:val="1"/>
                <w:color w:val="auto"/>
              </w:rPr>
              <w:t>Time of Exercise</w:t>
            </w:r>
          </w:p>
        </w:tc>
      </w:tr>
      <w:tr>
        <w:trPr>
          <w:trHeight w:val="386"/>
        </w:trPr>
        <w:tc>
          <w:tcPr>
            <w:tcW w:w="54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7"/>
                <w:szCs w:val="17"/>
                <w:color w:val="auto"/>
              </w:rPr>
              <w:t>2.1.1</w:t>
            </w:r>
          </w:p>
        </w:tc>
        <w:tc>
          <w:tcPr>
            <w:tcW w:w="8900" w:type="dxa"/>
            <w:vAlign w:val="bottom"/>
          </w:tcPr>
          <w:p>
            <w:pPr>
              <w:ind w:left="40"/>
              <w:spacing w:after="0"/>
              <w:rPr>
                <w:sz w:val="20"/>
                <w:szCs w:val="20"/>
                <w:color w:val="auto"/>
              </w:rPr>
            </w:pPr>
            <w:r>
              <w:rPr>
                <w:rFonts w:ascii="Arial" w:cs="Arial" w:eastAsia="Arial" w:hAnsi="Arial"/>
                <w:sz w:val="17"/>
                <w:szCs w:val="17"/>
                <w:color w:val="auto"/>
                <w:w w:val="90"/>
              </w:rPr>
              <w:t>Grantors unanimously agree that Party A may exercise the option in whole or in part at any time within the term of this Agreement</w:t>
            </w:r>
          </w:p>
        </w:tc>
      </w:tr>
      <w:tr>
        <w:trPr>
          <w:trHeight w:val="212"/>
        </w:trPr>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tcPr>
          <w:p>
            <w:pPr>
              <w:ind w:left="40"/>
              <w:spacing w:after="0"/>
              <w:rPr>
                <w:sz w:val="20"/>
                <w:szCs w:val="20"/>
                <w:color w:val="auto"/>
              </w:rPr>
            </w:pPr>
            <w:r>
              <w:rPr>
                <w:rFonts w:ascii="Arial" w:cs="Arial" w:eastAsia="Arial" w:hAnsi="Arial"/>
                <w:sz w:val="17"/>
                <w:szCs w:val="17"/>
                <w:color w:val="auto"/>
              </w:rPr>
              <w:t>subject to the applicable laws of the PRC;</w:t>
            </w:r>
          </w:p>
        </w:tc>
      </w:tr>
      <w:tr>
        <w:trPr>
          <w:trHeight w:val="386"/>
        </w:trPr>
        <w:tc>
          <w:tcPr>
            <w:tcW w:w="54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7"/>
                <w:szCs w:val="17"/>
                <w:color w:val="auto"/>
              </w:rPr>
              <w:t>2.1.2</w:t>
            </w:r>
          </w:p>
        </w:tc>
        <w:tc>
          <w:tcPr>
            <w:tcW w:w="8900" w:type="dxa"/>
            <w:vAlign w:val="bottom"/>
          </w:tcPr>
          <w:p>
            <w:pPr>
              <w:ind w:left="40"/>
              <w:spacing w:after="0"/>
              <w:rPr>
                <w:sz w:val="20"/>
                <w:szCs w:val="20"/>
                <w:color w:val="auto"/>
              </w:rPr>
            </w:pPr>
            <w:r>
              <w:rPr>
                <w:rFonts w:ascii="Arial" w:cs="Arial" w:eastAsia="Arial" w:hAnsi="Arial"/>
                <w:sz w:val="17"/>
                <w:szCs w:val="17"/>
                <w:color w:val="auto"/>
                <w:w w:val="89"/>
              </w:rPr>
              <w:t>Grantors unanimously agree that there shall not be any restrictions on number of Party A’s exercise unless Party A has acquired all</w:t>
            </w:r>
          </w:p>
        </w:tc>
      </w:tr>
      <w:tr>
        <w:trPr>
          <w:trHeight w:val="212"/>
        </w:trPr>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tcPr>
          <w:p>
            <w:pPr>
              <w:ind w:left="40"/>
              <w:spacing w:after="0"/>
              <w:rPr>
                <w:sz w:val="20"/>
                <w:szCs w:val="20"/>
                <w:color w:val="auto"/>
              </w:rPr>
            </w:pPr>
            <w:r>
              <w:rPr>
                <w:rFonts w:ascii="Arial" w:cs="Arial" w:eastAsia="Arial" w:hAnsi="Arial"/>
                <w:sz w:val="17"/>
                <w:szCs w:val="17"/>
                <w:color w:val="auto"/>
              </w:rPr>
              <w:t>shares of Party C; and</w:t>
            </w:r>
          </w:p>
        </w:tc>
      </w:tr>
      <w:tr>
        <w:trPr>
          <w:trHeight w:val="386"/>
        </w:trPr>
        <w:tc>
          <w:tcPr>
            <w:tcW w:w="54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7"/>
                <w:szCs w:val="17"/>
                <w:color w:val="auto"/>
              </w:rPr>
              <w:t>2.1.3</w:t>
            </w:r>
          </w:p>
        </w:tc>
        <w:tc>
          <w:tcPr>
            <w:tcW w:w="8900" w:type="dxa"/>
            <w:vAlign w:val="bottom"/>
          </w:tcPr>
          <w:p>
            <w:pPr>
              <w:ind w:left="40"/>
              <w:spacing w:after="0"/>
              <w:rPr>
                <w:sz w:val="20"/>
                <w:szCs w:val="20"/>
                <w:color w:val="auto"/>
              </w:rPr>
            </w:pPr>
            <w:r>
              <w:rPr>
                <w:rFonts w:ascii="Arial" w:cs="Arial" w:eastAsia="Arial" w:hAnsi="Arial"/>
                <w:sz w:val="17"/>
                <w:szCs w:val="17"/>
                <w:color w:val="auto"/>
                <w:w w:val="90"/>
              </w:rPr>
              <w:t>Grantors unanimously agree that Party A may designate any third party to exercise the option, provided that Party A shall inform in</w:t>
            </w:r>
          </w:p>
        </w:tc>
      </w:tr>
      <w:tr>
        <w:trPr>
          <w:trHeight w:val="212"/>
        </w:trPr>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tcPr>
          <w:p>
            <w:pPr>
              <w:ind w:left="40"/>
              <w:spacing w:after="0"/>
              <w:rPr>
                <w:sz w:val="20"/>
                <w:szCs w:val="20"/>
                <w:color w:val="auto"/>
              </w:rPr>
            </w:pPr>
            <w:r>
              <w:rPr>
                <w:rFonts w:ascii="Arial" w:cs="Arial" w:eastAsia="Arial" w:hAnsi="Arial"/>
                <w:sz w:val="17"/>
                <w:szCs w:val="17"/>
                <w:color w:val="auto"/>
              </w:rPr>
              <w:t>writing Grantors of such designation in advance.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10040" w:type="dxa"/>
            <w:vAlign w:val="bottom"/>
            <w:gridSpan w:val="2"/>
          </w:tcPr>
          <w:p>
            <w:pPr>
              <w:ind w:left="320"/>
              <w:spacing w:after="0"/>
              <w:rPr>
                <w:sz w:val="20"/>
                <w:szCs w:val="20"/>
                <w:color w:val="auto"/>
              </w:rPr>
            </w:pPr>
            <w:r>
              <w:rPr>
                <w:rFonts w:ascii="Arial" w:cs="Arial" w:eastAsia="Arial" w:hAnsi="Arial"/>
                <w:sz w:val="17"/>
                <w:szCs w:val="17"/>
                <w:color w:val="auto"/>
                <w:w w:val="87"/>
              </w:rPr>
              <w:t>Exercise Consideration Unless otherwise agreed by the Parties hereto, Grantors unanimously agree that, when Party A or its designated third party</w:t>
            </w:r>
          </w:p>
        </w:tc>
      </w:tr>
      <w:tr>
        <w:trPr>
          <w:trHeight w:val="199"/>
        </w:trPr>
        <w:tc>
          <w:tcPr>
            <w:tcW w:w="540" w:type="dxa"/>
            <w:vAlign w:val="bottom"/>
          </w:tcPr>
          <w:p>
            <w:pPr>
              <w:spacing w:after="0"/>
              <w:rPr>
                <w:sz w:val="17"/>
                <w:szCs w:val="17"/>
                <w:color w:val="auto"/>
              </w:rPr>
            </w:pPr>
          </w:p>
        </w:tc>
        <w:tc>
          <w:tcPr>
            <w:tcW w:w="10040" w:type="dxa"/>
            <w:vAlign w:val="bottom"/>
            <w:gridSpan w:val="2"/>
          </w:tcPr>
          <w:p>
            <w:pPr>
              <w:ind w:left="320"/>
              <w:spacing w:after="0"/>
              <w:rPr>
                <w:sz w:val="20"/>
                <w:szCs w:val="20"/>
                <w:color w:val="auto"/>
              </w:rPr>
            </w:pPr>
            <w:r>
              <w:rPr>
                <w:rFonts w:ascii="Arial" w:cs="Arial" w:eastAsia="Arial" w:hAnsi="Arial"/>
                <w:sz w:val="17"/>
                <w:szCs w:val="17"/>
                <w:color w:val="auto"/>
                <w:w w:val="89"/>
              </w:rPr>
              <w:t>exercises the option, all exercise considerations obtained by Grantors therefor shall be immediately given to Party A or its designated third party</w:t>
            </w:r>
          </w:p>
        </w:tc>
      </w:tr>
      <w:tr>
        <w:trPr>
          <w:trHeight w:val="212"/>
        </w:trPr>
        <w:tc>
          <w:tcPr>
            <w:tcW w:w="540" w:type="dxa"/>
            <w:vAlign w:val="bottom"/>
          </w:tcPr>
          <w:p>
            <w:pPr>
              <w:spacing w:after="0"/>
              <w:rPr>
                <w:sz w:val="18"/>
                <w:szCs w:val="18"/>
                <w:color w:val="auto"/>
              </w:rPr>
            </w:pPr>
          </w:p>
        </w:tc>
        <w:tc>
          <w:tcPr>
            <w:tcW w:w="10040" w:type="dxa"/>
            <w:vAlign w:val="bottom"/>
            <w:gridSpan w:val="2"/>
          </w:tcPr>
          <w:p>
            <w:pPr>
              <w:ind w:left="320"/>
              <w:spacing w:after="0"/>
              <w:rPr>
                <w:sz w:val="20"/>
                <w:szCs w:val="20"/>
                <w:color w:val="auto"/>
              </w:rPr>
            </w:pPr>
            <w:r>
              <w:rPr>
                <w:rFonts w:ascii="Arial" w:cs="Arial" w:eastAsia="Arial" w:hAnsi="Arial"/>
                <w:sz w:val="17"/>
                <w:szCs w:val="17"/>
                <w:color w:val="auto"/>
              </w:rPr>
              <w:t>free of charge.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2.3</w:t>
            </w:r>
          </w:p>
        </w:tc>
        <w:tc>
          <w:tcPr>
            <w:tcW w:w="10040" w:type="dxa"/>
            <w:vAlign w:val="bottom"/>
            <w:gridSpan w:val="2"/>
          </w:tcPr>
          <w:p>
            <w:pPr>
              <w:ind w:left="320"/>
              <w:spacing w:after="0"/>
              <w:rPr>
                <w:sz w:val="20"/>
                <w:szCs w:val="20"/>
                <w:color w:val="auto"/>
              </w:rPr>
            </w:pPr>
            <w:r>
              <w:rPr>
                <w:rFonts w:ascii="Arial" w:cs="Arial" w:eastAsia="Arial" w:hAnsi="Arial"/>
                <w:sz w:val="17"/>
                <w:szCs w:val="17"/>
                <w:color w:val="auto"/>
                <w:w w:val="92"/>
              </w:rPr>
              <w:t>Transfer Grantors unanimously agree that Party A may transfer its option under this Agreement to any third party in whole or in part without</w:t>
            </w:r>
          </w:p>
        </w:tc>
      </w:tr>
      <w:tr>
        <w:trPr>
          <w:trHeight w:val="199"/>
        </w:trPr>
        <w:tc>
          <w:tcPr>
            <w:tcW w:w="540" w:type="dxa"/>
            <w:vAlign w:val="bottom"/>
          </w:tcPr>
          <w:p>
            <w:pPr>
              <w:spacing w:after="0"/>
              <w:rPr>
                <w:sz w:val="17"/>
                <w:szCs w:val="17"/>
                <w:color w:val="auto"/>
              </w:rPr>
            </w:pPr>
          </w:p>
        </w:tc>
        <w:tc>
          <w:tcPr>
            <w:tcW w:w="10040" w:type="dxa"/>
            <w:vAlign w:val="bottom"/>
            <w:gridSpan w:val="2"/>
          </w:tcPr>
          <w:p>
            <w:pPr>
              <w:ind w:left="320"/>
              <w:spacing w:after="0"/>
              <w:rPr>
                <w:sz w:val="20"/>
                <w:szCs w:val="20"/>
                <w:color w:val="auto"/>
              </w:rPr>
            </w:pPr>
            <w:r>
              <w:rPr>
                <w:rFonts w:ascii="Arial" w:cs="Arial" w:eastAsia="Arial" w:hAnsi="Arial"/>
                <w:sz w:val="17"/>
                <w:szCs w:val="17"/>
                <w:color w:val="auto"/>
                <w:w w:val="87"/>
              </w:rPr>
              <w:t>separate approval of Grantors, and such transferees shall be deemed to be a party to this Agreement and may exercise the option according to this</w:t>
            </w:r>
          </w:p>
        </w:tc>
      </w:tr>
      <w:tr>
        <w:trPr>
          <w:trHeight w:val="199"/>
        </w:trPr>
        <w:tc>
          <w:tcPr>
            <w:tcW w:w="540" w:type="dxa"/>
            <w:vAlign w:val="bottom"/>
          </w:tcPr>
          <w:p>
            <w:pPr>
              <w:spacing w:after="0"/>
              <w:rPr>
                <w:sz w:val="17"/>
                <w:szCs w:val="17"/>
                <w:color w:val="auto"/>
              </w:rPr>
            </w:pPr>
          </w:p>
        </w:tc>
        <w:tc>
          <w:tcPr>
            <w:tcW w:w="10040" w:type="dxa"/>
            <w:vAlign w:val="bottom"/>
            <w:gridSpan w:val="2"/>
          </w:tcPr>
          <w:p>
            <w:pPr>
              <w:ind w:left="320"/>
              <w:spacing w:after="0"/>
              <w:rPr>
                <w:sz w:val="20"/>
                <w:szCs w:val="20"/>
                <w:color w:val="auto"/>
              </w:rPr>
            </w:pPr>
            <w:r>
              <w:rPr>
                <w:rFonts w:ascii="Arial" w:cs="Arial" w:eastAsia="Arial" w:hAnsi="Arial"/>
                <w:sz w:val="17"/>
                <w:szCs w:val="17"/>
                <w:color w:val="auto"/>
                <w:w w:val="96"/>
              </w:rPr>
              <w:t>Agreement in respect of the share of the option acquired by it and shall enjoy and bear all of Party A’s rights and obligations under this</w:t>
            </w:r>
          </w:p>
        </w:tc>
      </w:tr>
      <w:tr>
        <w:trPr>
          <w:trHeight w:val="212"/>
        </w:trPr>
        <w:tc>
          <w:tcPr>
            <w:tcW w:w="540" w:type="dxa"/>
            <w:vAlign w:val="bottom"/>
          </w:tcPr>
          <w:p>
            <w:pPr>
              <w:spacing w:after="0"/>
              <w:rPr>
                <w:sz w:val="18"/>
                <w:szCs w:val="18"/>
                <w:color w:val="auto"/>
              </w:rPr>
            </w:pPr>
          </w:p>
        </w:tc>
        <w:tc>
          <w:tcPr>
            <w:tcW w:w="1140" w:type="dxa"/>
            <w:vAlign w:val="bottom"/>
          </w:tcPr>
          <w:p>
            <w:pPr>
              <w:ind w:left="320"/>
              <w:spacing w:after="0"/>
              <w:rPr>
                <w:sz w:val="20"/>
                <w:szCs w:val="20"/>
                <w:color w:val="auto"/>
              </w:rPr>
            </w:pPr>
            <w:r>
              <w:rPr>
                <w:rFonts w:ascii="Arial" w:cs="Arial" w:eastAsia="Arial" w:hAnsi="Arial"/>
                <w:sz w:val="17"/>
                <w:szCs w:val="17"/>
                <w:color w:val="auto"/>
                <w:w w:val="90"/>
              </w:rPr>
              <w:t>Agreement.</w:t>
            </w:r>
          </w:p>
        </w:tc>
        <w:tc>
          <w:tcPr>
            <w:tcW w:w="8900" w:type="dxa"/>
            <w:vAlign w:val="bottom"/>
          </w:tcPr>
          <w:p>
            <w:pPr>
              <w:spacing w:after="0"/>
              <w:rPr>
                <w:sz w:val="18"/>
                <w:szCs w:val="18"/>
                <w:color w:val="auto"/>
              </w:rPr>
            </w:pP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10040" w:type="dxa"/>
            <w:vAlign w:val="bottom"/>
            <w:gridSpan w:val="2"/>
          </w:tcPr>
          <w:p>
            <w:pPr>
              <w:ind w:left="320"/>
              <w:spacing w:after="0"/>
              <w:rPr>
                <w:sz w:val="20"/>
                <w:szCs w:val="20"/>
                <w:color w:val="auto"/>
              </w:rPr>
            </w:pPr>
            <w:r>
              <w:rPr>
                <w:rFonts w:ascii="Arial" w:cs="Arial" w:eastAsia="Arial" w:hAnsi="Arial"/>
                <w:sz w:val="17"/>
                <w:szCs w:val="17"/>
                <w:color w:val="auto"/>
              </w:rPr>
              <w:t>Notice on Exercise</w:t>
            </w:r>
          </w:p>
        </w:tc>
      </w:tr>
      <w:tr>
        <w:trPr>
          <w:trHeight w:val="386"/>
        </w:trPr>
        <w:tc>
          <w:tcPr>
            <w:tcW w:w="54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7"/>
                <w:szCs w:val="17"/>
                <w:color w:val="auto"/>
              </w:rPr>
              <w:t>2.4.1</w:t>
            </w:r>
          </w:p>
        </w:tc>
        <w:tc>
          <w:tcPr>
            <w:tcW w:w="8900" w:type="dxa"/>
            <w:vAlign w:val="bottom"/>
          </w:tcPr>
          <w:p>
            <w:pPr>
              <w:ind w:left="40"/>
              <w:spacing w:after="0"/>
              <w:rPr>
                <w:sz w:val="20"/>
                <w:szCs w:val="20"/>
                <w:color w:val="auto"/>
              </w:rPr>
            </w:pPr>
            <w:r>
              <w:rPr>
                <w:rFonts w:ascii="Arial" w:cs="Arial" w:eastAsia="Arial" w:hAnsi="Arial"/>
                <w:sz w:val="17"/>
                <w:szCs w:val="17"/>
                <w:color w:val="auto"/>
                <w:w w:val="94"/>
              </w:rPr>
              <w:t>If Party A exercises the option hereunder, it shall notify in writing Grantors of such exercise Ten (10) working days prior to the</w:t>
            </w:r>
          </w:p>
        </w:tc>
      </w:tr>
      <w:tr>
        <w:trPr>
          <w:trHeight w:val="212"/>
        </w:trPr>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tcPr>
          <w:p>
            <w:pPr>
              <w:ind w:left="40"/>
              <w:spacing w:after="0"/>
              <w:rPr>
                <w:sz w:val="20"/>
                <w:szCs w:val="20"/>
                <w:color w:val="auto"/>
              </w:rPr>
            </w:pPr>
            <w:r>
              <w:rPr>
                <w:rFonts w:ascii="Arial" w:cs="Arial" w:eastAsia="Arial" w:hAnsi="Arial"/>
                <w:sz w:val="17"/>
                <w:szCs w:val="17"/>
                <w:color w:val="auto"/>
              </w:rPr>
              <w:t>delivery date (as defined below), and such notice shall specify the following terms:</w:t>
            </w:r>
          </w:p>
        </w:tc>
      </w:tr>
    </w:tbl>
    <w:p>
      <w:pPr>
        <w:spacing w:after="0" w:line="183" w:lineRule="exact"/>
        <w:rPr>
          <w:sz w:val="20"/>
          <w:szCs w:val="20"/>
          <w:color w:val="auto"/>
        </w:rPr>
      </w:pPr>
    </w:p>
    <w:p>
      <w:pPr>
        <w:ind w:left="2991" w:hanging="661"/>
        <w:spacing w:after="0" w:line="337" w:lineRule="auto"/>
        <w:tabs>
          <w:tab w:leader="none" w:pos="2991" w:val="left"/>
        </w:tabs>
        <w:numPr>
          <w:ilvl w:val="0"/>
          <w:numId w:val="581"/>
        </w:numPr>
        <w:rPr>
          <w:rFonts w:ascii="Arial" w:cs="Arial" w:eastAsia="Arial" w:hAnsi="Arial"/>
          <w:sz w:val="15"/>
          <w:szCs w:val="15"/>
          <w:color w:val="auto"/>
        </w:rPr>
      </w:pPr>
      <w:r>
        <w:rPr>
          <w:rFonts w:ascii="Arial" w:cs="Arial" w:eastAsia="Arial" w:hAnsi="Arial"/>
          <w:sz w:val="15"/>
          <w:szCs w:val="15"/>
          <w:color w:val="auto"/>
        </w:rPr>
        <w:t>Effective delivery date (“</w:t>
      </w:r>
      <w:r>
        <w:rPr>
          <w:rFonts w:ascii="Arial" w:cs="Arial" w:eastAsia="Arial" w:hAnsi="Arial"/>
          <w:sz w:val="15"/>
          <w:szCs w:val="15"/>
          <w:b w:val="1"/>
          <w:bCs w:val="1"/>
          <w:color w:val="auto"/>
        </w:rPr>
        <w:t>Delivery Date</w:t>
      </w:r>
      <w:r>
        <w:rPr>
          <w:rFonts w:ascii="Arial" w:cs="Arial" w:eastAsia="Arial" w:hAnsi="Arial"/>
          <w:sz w:val="15"/>
          <w:szCs w:val="15"/>
          <w:color w:val="auto"/>
        </w:rPr>
        <w:t>”) of the shares after the option is exercised, namely the date on which a formal application for share change registration is filed to the relevant administrative department of industry and commerce;</w:t>
      </w:r>
    </w:p>
    <w:p>
      <w:pPr>
        <w:spacing w:after="0" w:line="117" w:lineRule="exact"/>
        <w:rPr>
          <w:rFonts w:ascii="Arial" w:cs="Arial" w:eastAsia="Arial" w:hAnsi="Arial"/>
          <w:sz w:val="15"/>
          <w:szCs w:val="15"/>
          <w:color w:val="auto"/>
        </w:rPr>
      </w:pPr>
    </w:p>
    <w:p>
      <w:pPr>
        <w:ind w:left="2991" w:hanging="661"/>
        <w:spacing w:after="0"/>
        <w:tabs>
          <w:tab w:leader="none" w:pos="2991" w:val="left"/>
        </w:tabs>
        <w:numPr>
          <w:ilvl w:val="0"/>
          <w:numId w:val="581"/>
        </w:numPr>
        <w:rPr>
          <w:rFonts w:ascii="Arial" w:cs="Arial" w:eastAsia="Arial" w:hAnsi="Arial"/>
          <w:sz w:val="17"/>
          <w:szCs w:val="17"/>
          <w:color w:val="auto"/>
        </w:rPr>
      </w:pPr>
      <w:r>
        <w:rPr>
          <w:rFonts w:ascii="Arial" w:cs="Arial" w:eastAsia="Arial" w:hAnsi="Arial"/>
          <w:sz w:val="17"/>
          <w:szCs w:val="17"/>
          <w:color w:val="auto"/>
        </w:rPr>
        <w:t>Name of the registered holder of the shares after the option is exercised;</w:t>
      </w:r>
    </w:p>
    <w:p>
      <w:pPr>
        <w:spacing w:after="0" w:line="203" w:lineRule="exact"/>
        <w:rPr>
          <w:rFonts w:ascii="Arial" w:cs="Arial" w:eastAsia="Arial" w:hAnsi="Arial"/>
          <w:sz w:val="17"/>
          <w:szCs w:val="17"/>
          <w:color w:val="auto"/>
        </w:rPr>
      </w:pPr>
    </w:p>
    <w:p>
      <w:pPr>
        <w:ind w:left="2991" w:hanging="661"/>
        <w:spacing w:after="0"/>
        <w:tabs>
          <w:tab w:leader="none" w:pos="2991" w:val="left"/>
        </w:tabs>
        <w:numPr>
          <w:ilvl w:val="0"/>
          <w:numId w:val="581"/>
        </w:numPr>
        <w:rPr>
          <w:rFonts w:ascii="Arial" w:cs="Arial" w:eastAsia="Arial" w:hAnsi="Arial"/>
          <w:sz w:val="17"/>
          <w:szCs w:val="17"/>
          <w:color w:val="auto"/>
        </w:rPr>
      </w:pPr>
      <w:r>
        <w:rPr>
          <w:rFonts w:ascii="Arial" w:cs="Arial" w:eastAsia="Arial" w:hAnsi="Arial"/>
          <w:sz w:val="17"/>
          <w:szCs w:val="17"/>
          <w:color w:val="auto"/>
        </w:rPr>
        <w:t>Number of the shares purchased from Grantors;</w:t>
      </w:r>
    </w:p>
    <w:p>
      <w:pPr>
        <w:spacing w:after="0" w:line="203" w:lineRule="exact"/>
        <w:rPr>
          <w:rFonts w:ascii="Arial" w:cs="Arial" w:eastAsia="Arial" w:hAnsi="Arial"/>
          <w:sz w:val="17"/>
          <w:szCs w:val="17"/>
          <w:color w:val="auto"/>
        </w:rPr>
      </w:pPr>
    </w:p>
    <w:p>
      <w:pPr>
        <w:ind w:left="2991" w:hanging="661"/>
        <w:spacing w:after="0"/>
        <w:tabs>
          <w:tab w:leader="none" w:pos="2991" w:val="left"/>
        </w:tabs>
        <w:numPr>
          <w:ilvl w:val="0"/>
          <w:numId w:val="581"/>
        </w:numPr>
        <w:rPr>
          <w:rFonts w:ascii="Arial" w:cs="Arial" w:eastAsia="Arial" w:hAnsi="Arial"/>
          <w:sz w:val="17"/>
          <w:szCs w:val="17"/>
          <w:color w:val="auto"/>
        </w:rPr>
      </w:pPr>
      <w:r>
        <w:rPr>
          <w:rFonts w:ascii="Arial" w:cs="Arial" w:eastAsia="Arial" w:hAnsi="Arial"/>
          <w:sz w:val="17"/>
          <w:szCs w:val="17"/>
          <w:color w:val="auto"/>
        </w:rPr>
        <w:t>Exercise consideration and its payment method; and</w:t>
      </w:r>
    </w:p>
    <w:p>
      <w:pPr>
        <w:spacing w:after="0" w:line="203" w:lineRule="exact"/>
        <w:rPr>
          <w:rFonts w:ascii="Arial" w:cs="Arial" w:eastAsia="Arial" w:hAnsi="Arial"/>
          <w:sz w:val="17"/>
          <w:szCs w:val="17"/>
          <w:color w:val="auto"/>
        </w:rPr>
      </w:pPr>
    </w:p>
    <w:p>
      <w:pPr>
        <w:ind w:left="2991" w:hanging="661"/>
        <w:spacing w:after="0"/>
        <w:tabs>
          <w:tab w:leader="none" w:pos="2991" w:val="left"/>
        </w:tabs>
        <w:numPr>
          <w:ilvl w:val="0"/>
          <w:numId w:val="581"/>
        </w:numPr>
        <w:rPr>
          <w:rFonts w:ascii="Arial" w:cs="Arial" w:eastAsia="Arial" w:hAnsi="Arial"/>
          <w:sz w:val="17"/>
          <w:szCs w:val="17"/>
          <w:color w:val="auto"/>
        </w:rPr>
      </w:pPr>
      <w:r>
        <w:rPr>
          <w:rFonts w:ascii="Arial" w:cs="Arial" w:eastAsia="Arial" w:hAnsi="Arial"/>
          <w:sz w:val="17"/>
          <w:szCs w:val="17"/>
          <w:color w:val="auto"/>
        </w:rPr>
        <w:t>Power of attorney (if exercised by any third party on its behalf).</w:t>
      </w:r>
    </w:p>
    <w:p>
      <w:pPr>
        <w:spacing w:after="0" w:line="203" w:lineRule="exact"/>
        <w:rPr>
          <w:sz w:val="20"/>
          <w:szCs w:val="20"/>
          <w:color w:val="auto"/>
        </w:rPr>
      </w:pPr>
    </w:p>
    <w:p>
      <w:pPr>
        <w:jc w:val="both"/>
        <w:ind w:left="2331" w:hanging="859"/>
        <w:spacing w:after="0" w:line="272" w:lineRule="auto"/>
        <w:tabs>
          <w:tab w:leader="none" w:pos="231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6"/>
          <w:szCs w:val="16"/>
          <w:color w:val="auto"/>
        </w:rPr>
        <w:t>The Parties hereto agree that Party A may designate at any time any third party to exercise the option and acquire and register the shares in the name of such third party. Grantors agree that, as long as Party A or its designated third party requests to exercise the option, Grantors shall, within Ten (10) working days after receipt of a notice on exercise, sign a share transfer agreement and other relevant documents according to the notice on exercise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34925</wp:posOffset>
            </wp:positionV>
            <wp:extent cx="7184390" cy="412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126" w:right="339" w:bottom="1440" w:gutter="0" w:footer="0" w:header="0"/>
        </w:sectPr>
      </w:pPr>
    </w:p>
    <w:bookmarkStart w:id="511" w:name="page512"/>
    <w:bookmarkEnd w:id="511"/>
    <w:p>
      <w:pPr>
        <w:ind w:left="711"/>
        <w:spacing w:after="0"/>
        <w:tabs>
          <w:tab w:leader="none" w:pos="139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Transfer of Shares and Delivery</w:t>
      </w:r>
    </w:p>
    <w:p>
      <w:pPr>
        <w:spacing w:after="0" w:line="203" w:lineRule="exact"/>
        <w:rPr>
          <w:sz w:val="20"/>
          <w:szCs w:val="20"/>
          <w:color w:val="auto"/>
        </w:rPr>
      </w:pPr>
    </w:p>
    <w:p>
      <w:pPr>
        <w:ind w:left="2331" w:hanging="859"/>
        <w:spacing w:after="0" w:line="264" w:lineRule="auto"/>
        <w:tabs>
          <w:tab w:leader="none" w:pos="231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Whenever Party A exercises the option, within Ten (10) working days from the date of receipt of a notice on exercise sent by Party A according to the Section 2.4 hereof;</w:t>
      </w:r>
    </w:p>
    <w:p>
      <w:pPr>
        <w:spacing w:after="0" w:line="168" w:lineRule="exact"/>
        <w:rPr>
          <w:sz w:val="20"/>
          <w:szCs w:val="20"/>
          <w:color w:val="auto"/>
        </w:rPr>
      </w:pPr>
    </w:p>
    <w:p>
      <w:pPr>
        <w:ind w:left="3031" w:hanging="689"/>
        <w:spacing w:after="0" w:line="296" w:lineRule="auto"/>
        <w:tabs>
          <w:tab w:leader="none" w:pos="3031" w:val="left"/>
        </w:tabs>
        <w:numPr>
          <w:ilvl w:val="1"/>
          <w:numId w:val="582"/>
        </w:numPr>
        <w:rPr>
          <w:rFonts w:ascii="Arial" w:cs="Arial" w:eastAsia="Arial" w:hAnsi="Arial"/>
          <w:sz w:val="16"/>
          <w:szCs w:val="16"/>
          <w:color w:val="auto"/>
        </w:rPr>
      </w:pPr>
      <w:r>
        <w:rPr>
          <w:rFonts w:ascii="Arial" w:cs="Arial" w:eastAsia="Arial" w:hAnsi="Arial"/>
          <w:sz w:val="16"/>
          <w:szCs w:val="16"/>
          <w:color w:val="auto"/>
        </w:rPr>
        <w:t>Grantors shall cause Party C to promptly hold a shareholders’ meeting at which a shareholder resolution on the approval of the transfer of shares by Grantors to Party A and/or its designated third party shall be adopted; and</w:t>
      </w:r>
    </w:p>
    <w:p>
      <w:pPr>
        <w:spacing w:after="0" w:line="144" w:lineRule="exact"/>
        <w:rPr>
          <w:rFonts w:ascii="Arial" w:cs="Arial" w:eastAsia="Arial" w:hAnsi="Arial"/>
          <w:sz w:val="16"/>
          <w:szCs w:val="16"/>
          <w:color w:val="auto"/>
        </w:rPr>
      </w:pPr>
    </w:p>
    <w:p>
      <w:pPr>
        <w:jc w:val="both"/>
        <w:ind w:left="3031" w:hanging="689"/>
        <w:spacing w:after="0" w:line="265" w:lineRule="auto"/>
        <w:tabs>
          <w:tab w:leader="none" w:pos="3031" w:val="left"/>
        </w:tabs>
        <w:numPr>
          <w:ilvl w:val="1"/>
          <w:numId w:val="582"/>
        </w:numPr>
        <w:rPr>
          <w:rFonts w:ascii="Arial" w:cs="Arial" w:eastAsia="Arial" w:hAnsi="Arial"/>
          <w:sz w:val="16"/>
          <w:szCs w:val="16"/>
          <w:color w:val="auto"/>
        </w:rPr>
      </w:pPr>
      <w:r>
        <w:rPr>
          <w:rFonts w:ascii="Arial" w:cs="Arial" w:eastAsia="Arial" w:hAnsi="Arial"/>
          <w:sz w:val="16"/>
          <w:szCs w:val="16"/>
          <w:color w:val="auto"/>
        </w:rPr>
        <w:t>Grantors shall sign all necessary contracts, agreements or documents, obtain all necessary government approvals and consents and take all necessary actions to transfer to Party A and/or its designated third party the ownership and all ancillary rights of the shares designated by Party A to be purchased without any security interests (other than the pledge under the Equity Pledge Agreement) and shall cause Party A and/or its designated third party to become the registered owner of the purchased shares and deliver to Party A and/or its designated third party the latest business license, articles of association, approval certificates (if applicable) and other relevant documents that are issued or registered by the relevant Chinese authorities, and such documents shall reflect any changes of Party C’s shares, directors and legal representative and other matters (if applicable).</w:t>
      </w:r>
    </w:p>
    <w:p>
      <w:pPr>
        <w:spacing w:after="0" w:line="164" w:lineRule="exact"/>
        <w:rPr>
          <w:rFonts w:ascii="Arial" w:cs="Arial" w:eastAsia="Arial" w:hAnsi="Arial"/>
          <w:sz w:val="16"/>
          <w:szCs w:val="16"/>
          <w:color w:val="auto"/>
        </w:rPr>
      </w:pPr>
    </w:p>
    <w:p>
      <w:pPr>
        <w:ind w:left="631" w:hanging="631"/>
        <w:spacing w:after="0"/>
        <w:tabs>
          <w:tab w:leader="none" w:pos="631" w:val="left"/>
        </w:tabs>
        <w:numPr>
          <w:ilvl w:val="0"/>
          <w:numId w:val="583"/>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and Undertakings</w:t>
      </w:r>
    </w:p>
    <w:p>
      <w:pPr>
        <w:spacing w:after="0" w:line="20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Grantors jointly and severally make the following representations and warranties:</w:t>
      </w:r>
    </w:p>
    <w:p>
      <w:pPr>
        <w:spacing w:after="0" w:line="203" w:lineRule="exact"/>
        <w:rPr>
          <w:sz w:val="20"/>
          <w:szCs w:val="20"/>
          <w:color w:val="auto"/>
        </w:rPr>
      </w:pPr>
    </w:p>
    <w:p>
      <w:pPr>
        <w:jc w:val="both"/>
        <w:ind w:left="2531" w:hanging="858"/>
        <w:spacing w:after="0" w:line="291" w:lineRule="auto"/>
        <w:tabs>
          <w:tab w:leader="none" w:pos="251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On the date of signing this Agreement and each Delivery Date, Grantors have the powers, rights, authority and ability to sign and deliver this Agreement and any share transfer agreement (hereinafter referred to as “</w:t>
      </w:r>
      <w:r>
        <w:rPr>
          <w:rFonts w:ascii="Arial" w:cs="Arial" w:eastAsia="Arial" w:hAnsi="Arial"/>
          <w:sz w:val="15"/>
          <w:szCs w:val="15"/>
          <w:b w:val="1"/>
          <w:bCs w:val="1"/>
          <w:color w:val="auto"/>
        </w:rPr>
        <w:t>Transfer Agreement</w:t>
      </w:r>
      <w:r>
        <w:rPr>
          <w:rFonts w:ascii="Arial" w:cs="Arial" w:eastAsia="Arial" w:hAnsi="Arial"/>
          <w:sz w:val="15"/>
          <w:szCs w:val="15"/>
          <w:color w:val="auto"/>
        </w:rPr>
        <w:t>”) signed by them as a party thereto for each share transfer according to this Agreement and to perform their obligations under this Agreement and any Transfer Agreement. This Agreement and any Transfer Agreement to which they are a party shall constitute their legal, effective and binding obligations that are enforceable on them according to the provisions thereof once signed.</w:t>
      </w:r>
    </w:p>
    <w:p>
      <w:pPr>
        <w:spacing w:after="0" w:line="350" w:lineRule="exact"/>
        <w:rPr>
          <w:sz w:val="20"/>
          <w:szCs w:val="20"/>
          <w:color w:val="auto"/>
        </w:rPr>
      </w:pPr>
    </w:p>
    <w:p>
      <w:pPr>
        <w:jc w:val="both"/>
        <w:ind w:left="2531" w:hanging="858"/>
        <w:spacing w:after="0" w:line="266" w:lineRule="auto"/>
        <w:tabs>
          <w:tab w:leader="none" w:pos="251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No signing and delivery of this Agreement or any Transfer Agreement and no performance by Grantors of their obligations under this Agreement or any Transfer Agreement shall (i) result in any violation of any relevant laws and regulations of the PRC; (ii) conflict with the articles of association or other organizational documents; (iii) result in any breach of any binding agreements or instruments to which they are a party or constitute any breach of contract under any binding agreements or instruments to which they are a party; (iv) result in any breach of any licenses or approvals issued by the relevant competent government departments to them; or (v) cause any licenses or approvals issued by the relevant competent government departments to them to be suspended or revoked or attached with any conditions;</w:t>
      </w:r>
    </w:p>
    <w:p>
      <w:pPr>
        <w:spacing w:after="0" w:line="167" w:lineRule="exact"/>
        <w:rPr>
          <w:sz w:val="20"/>
          <w:szCs w:val="20"/>
          <w:color w:val="auto"/>
        </w:rPr>
      </w:pPr>
    </w:p>
    <w:p>
      <w:pPr>
        <w:jc w:val="both"/>
        <w:ind w:left="2531" w:hanging="858"/>
        <w:spacing w:after="0" w:line="264" w:lineRule="auto"/>
        <w:tabs>
          <w:tab w:leader="none" w:pos="251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There is no suit, arbitration or other judicial or administrative proceedings that are pending or may have a substantial impact on the performance of this Agreement or any Transfer Agreement.</w:t>
      </w:r>
    </w:p>
    <w:p>
      <w:pPr>
        <w:spacing w:after="0" w:line="168" w:lineRule="exact"/>
        <w:rPr>
          <w:sz w:val="20"/>
          <w:szCs w:val="20"/>
          <w:color w:val="auto"/>
        </w:rPr>
      </w:pPr>
    </w:p>
    <w:p>
      <w:pPr>
        <w:jc w:val="both"/>
        <w:ind w:left="2531" w:hanging="858"/>
        <w:spacing w:after="0" w:line="296" w:lineRule="auto"/>
        <w:tabs>
          <w:tab w:leader="none" w:pos="251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6"/>
          <w:szCs w:val="16"/>
          <w:color w:val="auto"/>
        </w:rPr>
        <w:t>Grantors have good and marketable ownership of all shares of Party C. There are no pledges, liabilities and other third party encumbrances on Party C’s shares held by Grantors other than the pledge under the Equity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149860</wp:posOffset>
            </wp:positionV>
            <wp:extent cx="7184390" cy="412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326" w:right="339" w:bottom="1440" w:gutter="0" w:footer="0" w:header="0"/>
        </w:sectPr>
      </w:pPr>
    </w:p>
    <w:bookmarkStart w:id="512" w:name="page513"/>
    <w:bookmarkEnd w:id="512"/>
    <w:p>
      <w:pPr>
        <w:jc w:val="both"/>
        <w:ind w:left="1920" w:hanging="858"/>
        <w:spacing w:after="0" w:line="264" w:lineRule="auto"/>
        <w:tabs>
          <w:tab w:leader="none" w:pos="190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color w:val="auto"/>
        </w:rPr>
        <w:t>Grantors have disclosed to Party A all circumstances that may have a material adverse effect on the performance of this Agreement.</w:t>
      </w:r>
    </w:p>
    <w:p>
      <w:pPr>
        <w:spacing w:after="0" w:line="168" w:lineRule="exact"/>
        <w:rPr>
          <w:sz w:val="20"/>
          <w:szCs w:val="20"/>
          <w:color w:val="auto"/>
        </w:rPr>
      </w:pPr>
    </w:p>
    <w:p>
      <w:pPr>
        <w:jc w:val="both"/>
        <w:ind w:left="1920" w:hanging="858"/>
        <w:spacing w:after="0" w:line="264" w:lineRule="auto"/>
        <w:tabs>
          <w:tab w:leader="none" w:pos="190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The option granted by Grantors to Party A is exclusive, and Grantors have not otherwise granted any third party any other options or similar rights before or when granting the option to Party A.</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Grantors jointly and severally make the following undertakings:</w:t>
      </w:r>
    </w:p>
    <w:p>
      <w:pPr>
        <w:spacing w:after="0" w:line="200" w:lineRule="exact"/>
        <w:rPr>
          <w:sz w:val="20"/>
          <w:szCs w:val="20"/>
          <w:color w:val="auto"/>
        </w:rPr>
      </w:pPr>
    </w:p>
    <w:p>
      <w:pPr>
        <w:spacing w:after="0" w:line="202" w:lineRule="exact"/>
        <w:rPr>
          <w:sz w:val="20"/>
          <w:szCs w:val="20"/>
          <w:color w:val="auto"/>
        </w:rPr>
      </w:pPr>
    </w:p>
    <w:p>
      <w:pPr>
        <w:jc w:val="both"/>
        <w:ind w:left="1920" w:hanging="858"/>
        <w:spacing w:after="0" w:line="304" w:lineRule="auto"/>
        <w:tabs>
          <w:tab w:leader="none" w:pos="19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Within the term of this Agreement, Grantors will not create any pledges, liabilities and any other third party encumbrances on Party C’s shares held by them other than those under the Equity Pledge Agreement separately signed by Grantors and Party A nor transfer, donate or otherwise dispose of any shares held by them to any third party other than the Parties to this Agreement.</w:t>
      </w:r>
    </w:p>
    <w:p>
      <w:pPr>
        <w:spacing w:after="0" w:line="142" w:lineRule="exact"/>
        <w:rPr>
          <w:sz w:val="20"/>
          <w:szCs w:val="20"/>
          <w:color w:val="auto"/>
        </w:rPr>
      </w:pPr>
    </w:p>
    <w:p>
      <w:pPr>
        <w:ind w:left="1060"/>
        <w:spacing w:after="0"/>
        <w:tabs>
          <w:tab w:leader="none" w:pos="190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Within the term of this Agreement, Grantors will not otherwise grant any other options or similar rights to any third party.</w:t>
      </w:r>
    </w:p>
    <w:p>
      <w:pPr>
        <w:spacing w:after="0" w:line="203" w:lineRule="exact"/>
        <w:rPr>
          <w:sz w:val="20"/>
          <w:szCs w:val="20"/>
          <w:color w:val="auto"/>
        </w:rPr>
      </w:pPr>
    </w:p>
    <w:p>
      <w:pPr>
        <w:jc w:val="both"/>
        <w:ind w:left="1920" w:hanging="858"/>
        <w:spacing w:after="0" w:line="251" w:lineRule="auto"/>
        <w:tabs>
          <w:tab w:leader="none" w:pos="190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Within the term of this Agreement, Grantors will cause and ensure that the business carried out by Party C conforms to the applicable laws, regulations, rules and other management regulations and documents issued by the competent government departments and that there are no breach of the above provisions that results in a major adverse impact on the business or assets of the company.</w:t>
      </w:r>
    </w:p>
    <w:p>
      <w:pPr>
        <w:spacing w:after="0" w:line="179" w:lineRule="exact"/>
        <w:rPr>
          <w:sz w:val="20"/>
          <w:szCs w:val="20"/>
          <w:color w:val="auto"/>
        </w:rPr>
      </w:pPr>
    </w:p>
    <w:p>
      <w:pPr>
        <w:jc w:val="both"/>
        <w:ind w:left="1920" w:hanging="858"/>
        <w:spacing w:after="0" w:line="251" w:lineRule="auto"/>
        <w:tabs>
          <w:tab w:leader="none" w:pos="190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Grantors will maintain the valid existence of Party C in accordance with good financial and commercial standards and practices, operate their business and deal with affairs in a prudent and efficient manner, use their best efforts to obtain and maintain any permits, licenses and approvals necessary for Party C’s continuous operation and ensure that any such permits, licenses and approvals will not be canceled, withdrawn or declared null and void.</w:t>
      </w:r>
    </w:p>
    <w:p>
      <w:pPr>
        <w:spacing w:after="0" w:line="179" w:lineRule="exact"/>
        <w:rPr>
          <w:sz w:val="20"/>
          <w:szCs w:val="20"/>
          <w:color w:val="auto"/>
        </w:rPr>
      </w:pPr>
    </w:p>
    <w:p>
      <w:pPr>
        <w:ind w:left="1060"/>
        <w:spacing w:after="0"/>
        <w:tabs>
          <w:tab w:leader="none" w:pos="190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5"/>
          <w:szCs w:val="15"/>
          <w:color w:val="auto"/>
        </w:rPr>
        <w:t>Grantors will provide Party A with all Party C’s operation and financial information at Party A’s request.</w:t>
      </w:r>
    </w:p>
    <w:p>
      <w:pPr>
        <w:spacing w:after="0" w:line="203" w:lineRule="exact"/>
        <w:rPr>
          <w:sz w:val="20"/>
          <w:szCs w:val="20"/>
          <w:color w:val="auto"/>
        </w:rPr>
      </w:pPr>
    </w:p>
    <w:p>
      <w:pPr>
        <w:ind w:left="1060"/>
        <w:spacing w:after="0"/>
        <w:tabs>
          <w:tab w:leader="none" w:pos="1900"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5"/>
          <w:szCs w:val="15"/>
          <w:color w:val="auto"/>
        </w:rPr>
        <w:t>Except as expressly agreed by Party A (or its designated third party) in writing, before Party A (or its designated third party)</w:t>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exercises its option and obtains all of Party C’s shares or assets, Grantors shall not jointly or individually:</w:t>
      </w:r>
    </w:p>
    <w:p>
      <w:pPr>
        <w:spacing w:after="0" w:line="191" w:lineRule="exact"/>
        <w:rPr>
          <w:sz w:val="20"/>
          <w:szCs w:val="20"/>
          <w:color w:val="auto"/>
        </w:rPr>
      </w:pPr>
    </w:p>
    <w:p>
      <w:pPr>
        <w:ind w:left="2420" w:hanging="763"/>
        <w:spacing w:after="0" w:line="252" w:lineRule="auto"/>
        <w:tabs>
          <w:tab w:leader="none" w:pos="242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Supplement or modify Party C’s constitutional documents in any form, and such supplements, alterations or modifications will</w:t>
      </w:r>
    </w:p>
    <w:p>
      <w:pPr>
        <w:jc w:val="both"/>
        <w:ind w:left="2400"/>
        <w:spacing w:after="0" w:line="269" w:lineRule="auto"/>
        <w:rPr>
          <w:rFonts w:ascii="Arial" w:cs="Arial" w:eastAsia="Arial" w:hAnsi="Arial"/>
          <w:sz w:val="17"/>
          <w:szCs w:val="17"/>
          <w:color w:val="auto"/>
        </w:rPr>
      </w:pPr>
      <w:r>
        <w:rPr>
          <w:rFonts w:ascii="Arial" w:cs="Arial" w:eastAsia="Arial" w:hAnsi="Arial"/>
          <w:sz w:val="16"/>
          <w:szCs w:val="16"/>
          <w:color w:val="auto"/>
        </w:rPr>
        <w:t>have substantial adverse effects on any assets, responsibilities, operation, shares and other legal rights of Party C (excluding the same proportion of capital increase for the purpose of meeting the legal requirements) or may affect the effective performance of this Agreement and other agreements signed by Party A, Grantors and Party C.</w:t>
      </w:r>
    </w:p>
    <w:p>
      <w:pPr>
        <w:spacing w:after="0" w:line="165" w:lineRule="exact"/>
        <w:rPr>
          <w:rFonts w:ascii="Arial" w:cs="Arial" w:eastAsia="Arial" w:hAnsi="Arial"/>
          <w:sz w:val="17"/>
          <w:szCs w:val="17"/>
          <w:color w:val="auto"/>
        </w:rPr>
      </w:pPr>
    </w:p>
    <w:p>
      <w:pPr>
        <w:jc w:val="both"/>
        <w:ind w:left="2420" w:hanging="763"/>
        <w:spacing w:after="0" w:line="254" w:lineRule="auto"/>
        <w:tabs>
          <w:tab w:leader="none" w:pos="242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Cause Party C to enter into or do any transactions or acts (excluding those that arise in the ordinary or daily business course or have been disclosed to and agreed by Party A expressly in writing in advance) that will have materially adverse effects on its assets, liabilities, operation, shares and other legitimate rights.</w:t>
      </w:r>
    </w:p>
    <w:p>
      <w:pPr>
        <w:spacing w:after="0" w:line="176" w:lineRule="exact"/>
        <w:rPr>
          <w:rFonts w:ascii="Arial" w:cs="Arial" w:eastAsia="Arial" w:hAnsi="Arial"/>
          <w:sz w:val="17"/>
          <w:szCs w:val="17"/>
          <w:color w:val="auto"/>
        </w:rPr>
      </w:pPr>
    </w:p>
    <w:p>
      <w:pPr>
        <w:ind w:left="2420" w:hanging="763"/>
        <w:spacing w:after="0"/>
        <w:tabs>
          <w:tab w:leader="none" w:pos="2420" w:val="left"/>
        </w:tabs>
        <w:numPr>
          <w:ilvl w:val="0"/>
          <w:numId w:val="584"/>
        </w:numPr>
        <w:rPr>
          <w:rFonts w:ascii="Arial" w:cs="Arial" w:eastAsia="Arial" w:hAnsi="Arial"/>
          <w:sz w:val="15"/>
          <w:szCs w:val="15"/>
          <w:color w:val="auto"/>
        </w:rPr>
      </w:pPr>
      <w:r>
        <w:rPr>
          <w:rFonts w:ascii="Arial" w:cs="Arial" w:eastAsia="Arial" w:hAnsi="Arial"/>
          <w:sz w:val="15"/>
          <w:szCs w:val="15"/>
          <w:color w:val="auto"/>
        </w:rPr>
        <w:t>Cause any resolutions on the distribution of dividends or bonuses to be adopted at the shareholders’ meeting of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201930</wp:posOffset>
            </wp:positionV>
            <wp:extent cx="7184390" cy="4127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580"/>
          </w:cols>
          <w:pgMar w:left="980" w:top="127" w:right="339" w:bottom="1440" w:gutter="0" w:footer="0" w:header="0"/>
        </w:sectPr>
      </w:pPr>
    </w:p>
    <w:bookmarkStart w:id="513" w:name="page514"/>
    <w:bookmarkEnd w:id="513"/>
    <w:p>
      <w:pPr>
        <w:ind w:left="2420" w:hanging="763"/>
        <w:spacing w:after="0" w:line="264" w:lineRule="auto"/>
        <w:tabs>
          <w:tab w:leader="none" w:pos="242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Sell, assign, mortgage or otherwise dispose of any legal or beneficial interests on Party C’s shares or allow to create any other security interests thereon at any time from the effective date of this Agreement.</w:t>
      </w:r>
    </w:p>
    <w:p>
      <w:pPr>
        <w:spacing w:after="0" w:line="167" w:lineRule="exact"/>
        <w:rPr>
          <w:rFonts w:ascii="Arial" w:cs="Arial" w:eastAsia="Arial" w:hAnsi="Arial"/>
          <w:sz w:val="17"/>
          <w:szCs w:val="17"/>
          <w:color w:val="auto"/>
        </w:rPr>
      </w:pPr>
    </w:p>
    <w:p>
      <w:pPr>
        <w:jc w:val="both"/>
        <w:ind w:left="2420" w:hanging="763"/>
        <w:spacing w:after="0" w:line="251" w:lineRule="auto"/>
        <w:tabs>
          <w:tab w:leader="none" w:pos="242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Cause any sales, transfer, mortgage or otherwise disposal of any legal or beneficial interests on shares to be approved at the shareholders’ meeting of Party C, or allow to create any other security interests thereon, or adopt a shareholder resolution on the increase or decrease of Party C’s registered capital or otherwise modify the structure of the registered capital.</w:t>
      </w:r>
    </w:p>
    <w:p>
      <w:pPr>
        <w:spacing w:after="0" w:line="178" w:lineRule="exact"/>
        <w:rPr>
          <w:rFonts w:ascii="Arial" w:cs="Arial" w:eastAsia="Arial" w:hAnsi="Arial"/>
          <w:sz w:val="17"/>
          <w:szCs w:val="17"/>
          <w:color w:val="auto"/>
        </w:rPr>
      </w:pPr>
    </w:p>
    <w:p>
      <w:pPr>
        <w:jc w:val="both"/>
        <w:ind w:left="2420" w:hanging="763"/>
        <w:spacing w:after="0" w:line="420" w:lineRule="auto"/>
        <w:tabs>
          <w:tab w:leader="none" w:pos="2420" w:val="left"/>
        </w:tabs>
        <w:numPr>
          <w:ilvl w:val="0"/>
          <w:numId w:val="585"/>
        </w:numPr>
        <w:rPr>
          <w:rFonts w:ascii="Arial" w:cs="Arial" w:eastAsia="Arial" w:hAnsi="Arial"/>
          <w:sz w:val="13"/>
          <w:szCs w:val="13"/>
          <w:color w:val="auto"/>
        </w:rPr>
      </w:pPr>
      <w:r>
        <w:rPr>
          <w:rFonts w:ascii="Arial" w:cs="Arial" w:eastAsia="Arial" w:hAnsi="Arial"/>
          <w:sz w:val="13"/>
          <w:szCs w:val="13"/>
          <w:color w:val="auto"/>
        </w:rPr>
        <w:t>Cause any merger or association of Party C with any persons to be approved at the shareholders’ meeting of Party C, or acquire investments from any persons or make an investment to any persons, or carry out reorganization in any other form.</w:t>
      </w:r>
    </w:p>
    <w:p>
      <w:pPr>
        <w:spacing w:after="0" w:line="74" w:lineRule="exact"/>
        <w:rPr>
          <w:rFonts w:ascii="Arial" w:cs="Arial" w:eastAsia="Arial" w:hAnsi="Arial"/>
          <w:sz w:val="13"/>
          <w:szCs w:val="13"/>
          <w:color w:val="auto"/>
        </w:rPr>
      </w:pPr>
    </w:p>
    <w:p>
      <w:pPr>
        <w:ind w:left="2420" w:hanging="763"/>
        <w:spacing w:after="0" w:line="264" w:lineRule="auto"/>
        <w:tabs>
          <w:tab w:leader="none" w:pos="242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Cause any winding-up, liquidation or dissolution and other matters of Party C to be approved at the shareholders’ meeting of Party C.</w:t>
      </w:r>
    </w:p>
    <w:p>
      <w:pPr>
        <w:spacing w:after="0" w:line="168" w:lineRule="exact"/>
        <w:rPr>
          <w:sz w:val="20"/>
          <w:szCs w:val="20"/>
          <w:color w:val="auto"/>
        </w:rPr>
      </w:pPr>
    </w:p>
    <w:p>
      <w:pPr>
        <w:ind w:left="1920" w:hanging="858"/>
        <w:spacing w:after="0" w:line="264" w:lineRule="auto"/>
        <w:tabs>
          <w:tab w:leader="none" w:pos="1900" w:val="left"/>
        </w:tabs>
        <w:rPr>
          <w:sz w:val="20"/>
          <w:szCs w:val="20"/>
          <w:color w:val="auto"/>
        </w:rPr>
      </w:pPr>
      <w:r>
        <w:rPr>
          <w:rFonts w:ascii="Arial" w:cs="Arial" w:eastAsia="Arial" w:hAnsi="Arial"/>
          <w:sz w:val="17"/>
          <w:szCs w:val="17"/>
          <w:color w:val="auto"/>
        </w:rPr>
        <w:t>3.2.7</w:t>
      </w:r>
      <w:r>
        <w:rPr>
          <w:sz w:val="20"/>
          <w:szCs w:val="20"/>
          <w:color w:val="auto"/>
        </w:rPr>
        <w:tab/>
      </w:r>
      <w:r>
        <w:rPr>
          <w:rFonts w:ascii="Arial" w:cs="Arial" w:eastAsia="Arial" w:hAnsi="Arial"/>
          <w:sz w:val="17"/>
          <w:szCs w:val="17"/>
          <w:color w:val="auto"/>
        </w:rPr>
        <w:t>Before Party A (or its designated third party) exercises its option and obtains all of Party C’s shares or assets, Grantors undertake that:</w:t>
      </w:r>
    </w:p>
    <w:p>
      <w:pPr>
        <w:spacing w:after="0" w:line="168" w:lineRule="exact"/>
        <w:rPr>
          <w:sz w:val="20"/>
          <w:szCs w:val="20"/>
          <w:color w:val="auto"/>
        </w:rPr>
      </w:pPr>
    </w:p>
    <w:p>
      <w:pPr>
        <w:ind w:left="2420" w:hanging="676"/>
        <w:spacing w:after="0" w:line="332" w:lineRule="auto"/>
        <w:tabs>
          <w:tab w:leader="none" w:pos="2420" w:val="left"/>
        </w:tabs>
        <w:numPr>
          <w:ilvl w:val="0"/>
          <w:numId w:val="586"/>
        </w:numPr>
        <w:rPr>
          <w:rFonts w:ascii="Arial" w:cs="Arial" w:eastAsia="Arial" w:hAnsi="Arial"/>
          <w:sz w:val="15"/>
          <w:szCs w:val="15"/>
          <w:color w:val="auto"/>
        </w:rPr>
      </w:pPr>
      <w:r>
        <w:rPr>
          <w:rFonts w:ascii="Arial" w:cs="Arial" w:eastAsia="Arial" w:hAnsi="Arial"/>
          <w:sz w:val="15"/>
          <w:szCs w:val="15"/>
          <w:color w:val="auto"/>
        </w:rPr>
        <w:t>They will forthwith notify Party A in writing of any suits, arbitration or administrative proceedings that have arisen or may arise in relation to the shares owned by them or of any circumstances that may have any adverse effect on such shares.</w:t>
      </w:r>
    </w:p>
    <w:p>
      <w:pPr>
        <w:spacing w:after="0" w:line="120" w:lineRule="exact"/>
        <w:rPr>
          <w:rFonts w:ascii="Arial" w:cs="Arial" w:eastAsia="Arial" w:hAnsi="Arial"/>
          <w:sz w:val="15"/>
          <w:szCs w:val="15"/>
          <w:color w:val="auto"/>
        </w:rPr>
      </w:pPr>
    </w:p>
    <w:p>
      <w:pPr>
        <w:jc w:val="both"/>
        <w:ind w:left="2420" w:hanging="676"/>
        <w:spacing w:after="0" w:line="288" w:lineRule="auto"/>
        <w:tabs>
          <w:tab w:leader="none" w:pos="2420" w:val="left"/>
        </w:tabs>
        <w:numPr>
          <w:ilvl w:val="0"/>
          <w:numId w:val="586"/>
        </w:numPr>
        <w:rPr>
          <w:rFonts w:ascii="Arial" w:cs="Arial" w:eastAsia="Arial" w:hAnsi="Arial"/>
          <w:sz w:val="15"/>
          <w:szCs w:val="15"/>
          <w:color w:val="auto"/>
        </w:rPr>
      </w:pPr>
      <w:r>
        <w:rPr>
          <w:rFonts w:ascii="Arial" w:cs="Arial" w:eastAsia="Arial" w:hAnsi="Arial"/>
          <w:sz w:val="15"/>
          <w:szCs w:val="15"/>
          <w:color w:val="auto"/>
        </w:rPr>
        <w:t>They will cause the shareholders’ meeting of Party C to examine and approve the transfer of the purchased shares as specified in this Agreement, cause Party C to amend its articles of association so as to reflect any changes of Party C’s shares after Party A and/or its designated third party exercises the option according to this Agreement and other changes as set forth herein and immediately apply to the authorities of the PRC for approval (if required by law) and change of registration, and cause the shareholders’ meeting of Party C to approve and appoint such persons as designated by Party A and/or its designated third party as Party C’s director and legal representative (if necessary).</w:t>
      </w:r>
    </w:p>
    <w:p>
      <w:pPr>
        <w:spacing w:after="0" w:line="153" w:lineRule="exact"/>
        <w:rPr>
          <w:rFonts w:ascii="Arial" w:cs="Arial" w:eastAsia="Arial" w:hAnsi="Arial"/>
          <w:sz w:val="15"/>
          <w:szCs w:val="15"/>
          <w:color w:val="auto"/>
        </w:rPr>
      </w:pPr>
    </w:p>
    <w:p>
      <w:pPr>
        <w:jc w:val="both"/>
        <w:ind w:left="2420" w:hanging="676"/>
        <w:spacing w:after="0" w:line="251" w:lineRule="auto"/>
        <w:tabs>
          <w:tab w:leader="none" w:pos="2420" w:val="left"/>
        </w:tabs>
        <w:numPr>
          <w:ilvl w:val="0"/>
          <w:numId w:val="586"/>
        </w:numPr>
        <w:rPr>
          <w:rFonts w:ascii="Arial" w:cs="Arial" w:eastAsia="Arial" w:hAnsi="Arial"/>
          <w:sz w:val="17"/>
          <w:szCs w:val="17"/>
          <w:color w:val="auto"/>
        </w:rPr>
      </w:pPr>
      <w:r>
        <w:rPr>
          <w:rFonts w:ascii="Arial" w:cs="Arial" w:eastAsia="Arial" w:hAnsi="Arial"/>
          <w:sz w:val="17"/>
          <w:szCs w:val="17"/>
          <w:color w:val="auto"/>
        </w:rPr>
        <w:t>Before Party A and/or its designated third party exercises the option, they will enter into all necessary or appropriate documents, take all necessary or appropriate actions and make all necessary or appropriate accusations or make all necessary and appropriate defenses for all claims in order to maintain their lawful and effective ownership over the appropriate shares.</w:t>
      </w:r>
    </w:p>
    <w:p>
      <w:pPr>
        <w:spacing w:after="0" w:line="178" w:lineRule="exact"/>
        <w:rPr>
          <w:rFonts w:ascii="Arial" w:cs="Arial" w:eastAsia="Arial" w:hAnsi="Arial"/>
          <w:sz w:val="17"/>
          <w:szCs w:val="17"/>
          <w:color w:val="auto"/>
        </w:rPr>
      </w:pPr>
    </w:p>
    <w:p>
      <w:pPr>
        <w:jc w:val="both"/>
        <w:ind w:left="2420" w:hanging="676"/>
        <w:spacing w:after="0" w:line="278" w:lineRule="auto"/>
        <w:tabs>
          <w:tab w:leader="none" w:pos="2420" w:val="left"/>
        </w:tabs>
        <w:numPr>
          <w:ilvl w:val="0"/>
          <w:numId w:val="586"/>
        </w:numPr>
        <w:rPr>
          <w:rFonts w:ascii="Arial" w:cs="Arial" w:eastAsia="Arial" w:hAnsi="Arial"/>
          <w:sz w:val="16"/>
          <w:szCs w:val="16"/>
          <w:color w:val="auto"/>
        </w:rPr>
      </w:pPr>
      <w:r>
        <w:rPr>
          <w:rFonts w:ascii="Arial" w:cs="Arial" w:eastAsia="Arial" w:hAnsi="Arial"/>
          <w:sz w:val="16"/>
          <w:szCs w:val="16"/>
          <w:color w:val="auto"/>
        </w:rPr>
        <w:t>Upon Party A’s request at any time, they will unconditionally transfer their shares to Party A and/or its designated third party at the time specified by Party A and waive their right of first refusal against any other shareholders of Party C in respect of the above transfer of shares by them according to Party A’s instructions.</w:t>
      </w:r>
    </w:p>
    <w:p>
      <w:pPr>
        <w:spacing w:after="0" w:line="157" w:lineRule="exact"/>
        <w:rPr>
          <w:rFonts w:ascii="Arial" w:cs="Arial" w:eastAsia="Arial" w:hAnsi="Arial"/>
          <w:sz w:val="16"/>
          <w:szCs w:val="16"/>
          <w:color w:val="auto"/>
        </w:rPr>
      </w:pPr>
    </w:p>
    <w:p>
      <w:pPr>
        <w:jc w:val="both"/>
        <w:ind w:left="2420" w:hanging="676"/>
        <w:spacing w:after="0" w:line="254" w:lineRule="auto"/>
        <w:tabs>
          <w:tab w:leader="none" w:pos="2420" w:val="left"/>
        </w:tabs>
        <w:numPr>
          <w:ilvl w:val="0"/>
          <w:numId w:val="586"/>
        </w:numPr>
        <w:rPr>
          <w:rFonts w:ascii="Arial" w:cs="Arial" w:eastAsia="Arial" w:hAnsi="Arial"/>
          <w:sz w:val="17"/>
          <w:szCs w:val="17"/>
          <w:color w:val="auto"/>
        </w:rPr>
      </w:pPr>
      <w:r>
        <w:rPr>
          <w:rFonts w:ascii="Arial" w:cs="Arial" w:eastAsia="Arial" w:hAnsi="Arial"/>
          <w:sz w:val="17"/>
          <w:szCs w:val="17"/>
          <w:color w:val="auto"/>
        </w:rPr>
        <w:t>They will strictly abide by this Agreement and other agreements jointly or severally entered into by and between Grantors and Party A, conscientiously perform their obligations under such agreements and will not do any acts/omissions that are likely to affect the validity and enforceability of such agreements.</w:t>
      </w:r>
    </w:p>
    <w:p>
      <w:pPr>
        <w:spacing w:after="0" w:line="37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Party C and Grantors hereby jointly and severally make the following representations, warranties and undertakings to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187325</wp:posOffset>
            </wp:positionV>
            <wp:extent cx="7184390" cy="412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580"/>
          </w:cols>
          <w:pgMar w:left="980" w:top="127" w:right="339" w:bottom="1440" w:gutter="0" w:footer="0" w:header="0"/>
        </w:sectPr>
      </w:pPr>
    </w:p>
    <w:bookmarkStart w:id="514" w:name="page515"/>
    <w:bookmarkEnd w:id="514"/>
    <w:p>
      <w:pPr>
        <w:ind w:left="1460" w:hanging="858"/>
        <w:spacing w:after="0" w:line="264" w:lineRule="auto"/>
        <w:tabs>
          <w:tab w:leader="none" w:pos="144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Except as agreed by Party A (or its designated third party) in writing, before Party A (or its designated third party) exercises its option and obtains all of Party C’s shares or interests, Party C shall not:</w:t>
      </w:r>
    </w:p>
    <w:p>
      <w:pPr>
        <w:spacing w:after="0" w:line="168" w:lineRule="exact"/>
        <w:rPr>
          <w:sz w:val="20"/>
          <w:szCs w:val="20"/>
          <w:color w:val="auto"/>
        </w:rPr>
      </w:pPr>
    </w:p>
    <w:p>
      <w:pPr>
        <w:jc w:val="both"/>
        <w:ind w:left="2140" w:hanging="657"/>
        <w:spacing w:after="0" w:line="254" w:lineRule="auto"/>
        <w:tabs>
          <w:tab w:leader="none" w:pos="214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Sell, assign, mortgage or otherwise dispose of any assets, business or incomes or allow to create any other security interests thereon (excluding those that arise in the ordinary or daily business course or have been disclosed to and agreed by Party A expressly in writing in advance);</w:t>
      </w:r>
    </w:p>
    <w:p>
      <w:pPr>
        <w:spacing w:after="0" w:line="176" w:lineRule="exact"/>
        <w:rPr>
          <w:rFonts w:ascii="Arial" w:cs="Arial" w:eastAsia="Arial" w:hAnsi="Arial"/>
          <w:sz w:val="17"/>
          <w:szCs w:val="17"/>
          <w:color w:val="auto"/>
        </w:rPr>
      </w:pPr>
    </w:p>
    <w:p>
      <w:pPr>
        <w:jc w:val="both"/>
        <w:ind w:left="2140" w:hanging="657"/>
        <w:spacing w:after="0" w:line="254" w:lineRule="auto"/>
        <w:tabs>
          <w:tab w:leader="none" w:pos="214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Enter into any transactions (excluding those that arise in the ordinary or daily business course or have been disclosed to and agreed by Party A expressly in writing in advance) that will or may have materially adverse effects on its assets, liabilities, operation, shares and other legitimate rights;</w:t>
      </w:r>
    </w:p>
    <w:p>
      <w:pPr>
        <w:spacing w:after="0" w:line="176" w:lineRule="exact"/>
        <w:rPr>
          <w:rFonts w:ascii="Arial" w:cs="Arial" w:eastAsia="Arial" w:hAnsi="Arial"/>
          <w:sz w:val="17"/>
          <w:szCs w:val="17"/>
          <w:color w:val="auto"/>
        </w:rPr>
      </w:pPr>
    </w:p>
    <w:p>
      <w:pPr>
        <w:ind w:left="2140" w:hanging="657"/>
        <w:spacing w:after="0"/>
        <w:tabs>
          <w:tab w:leader="none" w:pos="214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Distribute any dividends or bonuses to each shareholder in any form;</w:t>
      </w:r>
    </w:p>
    <w:p>
      <w:pPr>
        <w:spacing w:after="0" w:line="203" w:lineRule="exact"/>
        <w:rPr>
          <w:rFonts w:ascii="Arial" w:cs="Arial" w:eastAsia="Arial" w:hAnsi="Arial"/>
          <w:sz w:val="17"/>
          <w:szCs w:val="17"/>
          <w:color w:val="auto"/>
        </w:rPr>
      </w:pPr>
    </w:p>
    <w:p>
      <w:pPr>
        <w:jc w:val="both"/>
        <w:ind w:left="2140" w:hanging="657"/>
        <w:spacing w:after="0" w:line="254" w:lineRule="auto"/>
        <w:tabs>
          <w:tab w:leader="none" w:pos="214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Incur, inherit, guarantee or allow the existence of any debts other than (i) any debts that arise in the ordinary or daily business course rather than by borrowing, and (ii) any debts that have been disclosed to and agreed by Party A expressly in writing in advance;</w:t>
      </w:r>
    </w:p>
    <w:p>
      <w:pPr>
        <w:spacing w:after="0" w:line="176" w:lineRule="exact"/>
        <w:rPr>
          <w:rFonts w:ascii="Arial" w:cs="Arial" w:eastAsia="Arial" w:hAnsi="Arial"/>
          <w:sz w:val="17"/>
          <w:szCs w:val="17"/>
          <w:color w:val="auto"/>
        </w:rPr>
      </w:pPr>
    </w:p>
    <w:p>
      <w:pPr>
        <w:ind w:left="2140" w:hanging="657"/>
        <w:spacing w:after="0" w:line="332" w:lineRule="auto"/>
        <w:tabs>
          <w:tab w:leader="none" w:pos="2140" w:val="left"/>
        </w:tabs>
        <w:numPr>
          <w:ilvl w:val="0"/>
          <w:numId w:val="587"/>
        </w:numPr>
        <w:rPr>
          <w:rFonts w:ascii="Arial" w:cs="Arial" w:eastAsia="Arial" w:hAnsi="Arial"/>
          <w:sz w:val="15"/>
          <w:szCs w:val="15"/>
          <w:color w:val="auto"/>
        </w:rPr>
      </w:pPr>
      <w:r>
        <w:rPr>
          <w:rFonts w:ascii="Arial" w:cs="Arial" w:eastAsia="Arial" w:hAnsi="Arial"/>
          <w:sz w:val="15"/>
          <w:szCs w:val="15"/>
          <w:color w:val="auto"/>
        </w:rPr>
        <w:t>Sign any significant contracts other than those signed in the ordinary business course (for the purpose of this Article, if the amount under a contract is more than RMB50,000, such contract shall be deemed to be a significant contract);</w:t>
      </w:r>
    </w:p>
    <w:p>
      <w:pPr>
        <w:spacing w:after="0" w:line="120" w:lineRule="exact"/>
        <w:rPr>
          <w:rFonts w:ascii="Arial" w:cs="Arial" w:eastAsia="Arial" w:hAnsi="Arial"/>
          <w:sz w:val="15"/>
          <w:szCs w:val="15"/>
          <w:color w:val="auto"/>
        </w:rPr>
      </w:pPr>
    </w:p>
    <w:p>
      <w:pPr>
        <w:ind w:left="2140" w:hanging="657"/>
        <w:spacing w:after="0" w:line="264" w:lineRule="auto"/>
        <w:tabs>
          <w:tab w:leader="none" w:pos="214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Adopt a shareholder resolution on the increase or decrease of Party C’s registered capital or otherwise modify the structure of the registered capital;</w:t>
      </w:r>
    </w:p>
    <w:p>
      <w:pPr>
        <w:spacing w:after="0" w:line="167" w:lineRule="exact"/>
        <w:rPr>
          <w:rFonts w:ascii="Arial" w:cs="Arial" w:eastAsia="Arial" w:hAnsi="Arial"/>
          <w:sz w:val="17"/>
          <w:szCs w:val="17"/>
          <w:color w:val="auto"/>
        </w:rPr>
      </w:pPr>
    </w:p>
    <w:p>
      <w:pPr>
        <w:ind w:left="2140" w:hanging="657"/>
        <w:spacing w:after="0"/>
        <w:tabs>
          <w:tab w:leader="none" w:pos="214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Supplement, modify or amend Party C’s articles of association in any form; and</w:t>
      </w:r>
    </w:p>
    <w:p>
      <w:pPr>
        <w:spacing w:after="0" w:line="203" w:lineRule="exact"/>
        <w:rPr>
          <w:rFonts w:ascii="Arial" w:cs="Arial" w:eastAsia="Arial" w:hAnsi="Arial"/>
          <w:sz w:val="17"/>
          <w:szCs w:val="17"/>
          <w:color w:val="auto"/>
        </w:rPr>
      </w:pPr>
    </w:p>
    <w:p>
      <w:pPr>
        <w:ind w:left="2140" w:hanging="657"/>
        <w:spacing w:after="0" w:line="264" w:lineRule="auto"/>
        <w:tabs>
          <w:tab w:leader="none" w:pos="214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Enter into merge or association with any persons, or acquire investments from any persons or make an investment to any persons.</w:t>
      </w:r>
    </w:p>
    <w:p>
      <w:pPr>
        <w:spacing w:after="0" w:line="168" w:lineRule="exact"/>
        <w:rPr>
          <w:sz w:val="20"/>
          <w:szCs w:val="20"/>
          <w:color w:val="auto"/>
        </w:rPr>
      </w:pPr>
    </w:p>
    <w:p>
      <w:pPr>
        <w:jc w:val="both"/>
        <w:ind w:left="1460" w:hanging="858"/>
        <w:spacing w:after="0" w:line="332" w:lineRule="auto"/>
        <w:tabs>
          <w:tab w:leader="none" w:pos="144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5"/>
          <w:szCs w:val="15"/>
          <w:color w:val="auto"/>
        </w:rPr>
        <w:t>On the date of signing this Agreement and each Delivery Date, Party C has no outstanding debts other than (i) any debts arising in its ordinary business course; and (ii) any debts that have been disclosed to and agreed by Party A expressly in writing in advance.</w:t>
      </w:r>
    </w:p>
    <w:p>
      <w:pPr>
        <w:spacing w:after="0" w:line="121" w:lineRule="exact"/>
        <w:rPr>
          <w:sz w:val="20"/>
          <w:szCs w:val="20"/>
          <w:color w:val="auto"/>
        </w:rPr>
      </w:pPr>
    </w:p>
    <w:p>
      <w:pPr>
        <w:jc w:val="both"/>
        <w:ind w:left="1460" w:hanging="858"/>
        <w:spacing w:after="0" w:line="304" w:lineRule="auto"/>
        <w:tabs>
          <w:tab w:leader="none" w:pos="144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5"/>
          <w:szCs w:val="15"/>
          <w:color w:val="auto"/>
        </w:rPr>
        <w:t>On the date of signing this Agreement and each Delivery Date, there is no suit, arbitration or administrative proceedings that are ongoing or may occur in relation to the shares, Party C’s assets or that may have a substantial impact on the performance of this Agreement by Party C other than those that have been disclosed to and agreed by Party A expressly in writing in advance.</w:t>
      </w:r>
    </w:p>
    <w:p>
      <w:pPr>
        <w:spacing w:after="0" w:line="142" w:lineRule="exact"/>
        <w:rPr>
          <w:sz w:val="20"/>
          <w:szCs w:val="20"/>
          <w:color w:val="auto"/>
        </w:rPr>
      </w:pPr>
    </w:p>
    <w:p>
      <w:pPr>
        <w:ind w:left="600"/>
        <w:spacing w:after="0"/>
        <w:tabs>
          <w:tab w:leader="none" w:pos="1440"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3"/>
          <w:szCs w:val="13"/>
          <w:color w:val="auto"/>
        </w:rPr>
        <w:t>Party C has not been declared bankrupt.</w:t>
      </w:r>
    </w:p>
    <w:p>
      <w:pPr>
        <w:spacing w:after="0" w:line="203" w:lineRule="exact"/>
        <w:rPr>
          <w:sz w:val="20"/>
          <w:szCs w:val="20"/>
          <w:color w:val="auto"/>
        </w:rPr>
      </w:pPr>
    </w:p>
    <w:p>
      <w:pPr>
        <w:jc w:val="both"/>
        <w:ind w:left="1460" w:hanging="858"/>
        <w:spacing w:after="0" w:line="267" w:lineRule="auto"/>
        <w:tabs>
          <w:tab w:leader="none" w:pos="1440" w:val="left"/>
        </w:tabs>
        <w:rPr>
          <w:sz w:val="20"/>
          <w:szCs w:val="20"/>
          <w:color w:val="auto"/>
        </w:rPr>
      </w:pPr>
      <w:r>
        <w:rPr>
          <w:rFonts w:ascii="Arial" w:cs="Arial" w:eastAsia="Arial" w:hAnsi="Arial"/>
          <w:sz w:val="17"/>
          <w:szCs w:val="17"/>
          <w:color w:val="auto"/>
        </w:rPr>
        <w:t>3.3.5</w:t>
      </w:r>
      <w:r>
        <w:rPr>
          <w:sz w:val="20"/>
          <w:szCs w:val="20"/>
          <w:color w:val="auto"/>
        </w:rPr>
        <w:tab/>
      </w:r>
      <w:r>
        <w:rPr>
          <w:rFonts w:ascii="Arial" w:cs="Arial" w:eastAsia="Arial" w:hAnsi="Arial"/>
          <w:sz w:val="16"/>
          <w:szCs w:val="16"/>
          <w:color w:val="auto"/>
        </w:rPr>
        <w:t>Party C hereby undertakes to Party A that it will comply with all laws and regulations applicable to the acquisition of shares and assets within the term of this Agreement, bear all expenses arising out of the share transfer and handle all procedures necessary for enabling Party A or its designated third party to become Party C’s shareholder, including but not limited to assisting Party A in obtaining any necessary approvals in relation to the share transfer from the approval authorities, submitting the relevant applications required for handling the share change registration to the competent administrative department of industry and commerce and amending the register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164465</wp:posOffset>
            </wp:positionV>
            <wp:extent cx="7184390" cy="4127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515" w:name="page516"/>
    <w:bookmarkEnd w:id="515"/>
    <w:p>
      <w:pPr>
        <w:ind w:left="631" w:hanging="631"/>
        <w:spacing w:after="0"/>
        <w:tabs>
          <w:tab w:leader="none" w:pos="631" w:val="left"/>
        </w:tabs>
        <w:numPr>
          <w:ilvl w:val="0"/>
          <w:numId w:val="588"/>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207" w:lineRule="exact"/>
        <w:rPr>
          <w:sz w:val="20"/>
          <w:szCs w:val="20"/>
          <w:color w:val="auto"/>
        </w:rPr>
      </w:pPr>
    </w:p>
    <w:p>
      <w:pPr>
        <w:ind w:left="591"/>
        <w:spacing w:after="0"/>
        <w:rPr>
          <w:sz w:val="20"/>
          <w:szCs w:val="20"/>
          <w:color w:val="auto"/>
        </w:rPr>
      </w:pPr>
      <w:r>
        <w:rPr>
          <w:rFonts w:ascii="Arial" w:cs="Arial" w:eastAsia="Arial" w:hAnsi="Arial"/>
          <w:sz w:val="17"/>
          <w:szCs w:val="17"/>
          <w:color w:val="auto"/>
        </w:rPr>
        <w:t>All taxes arising out of the performance of this Agreement shall be borne by Party C.</w:t>
      </w:r>
    </w:p>
    <w:p>
      <w:pPr>
        <w:spacing w:after="0" w:line="199" w:lineRule="exact"/>
        <w:rPr>
          <w:sz w:val="20"/>
          <w:szCs w:val="20"/>
          <w:color w:val="auto"/>
        </w:rPr>
      </w:pPr>
    </w:p>
    <w:p>
      <w:pPr>
        <w:ind w:left="631" w:hanging="631"/>
        <w:spacing w:after="0"/>
        <w:tabs>
          <w:tab w:leader="none" w:pos="631" w:val="left"/>
        </w:tabs>
        <w:numPr>
          <w:ilvl w:val="0"/>
          <w:numId w:val="589"/>
        </w:numPr>
        <w:rPr>
          <w:rFonts w:ascii="Arial" w:cs="Arial" w:eastAsia="Arial" w:hAnsi="Arial"/>
          <w:sz w:val="17"/>
          <w:szCs w:val="17"/>
          <w:b w:val="1"/>
          <w:bCs w:val="1"/>
          <w:color w:val="auto"/>
        </w:rPr>
      </w:pPr>
      <w:r>
        <w:rPr>
          <w:rFonts w:ascii="Arial" w:cs="Arial" w:eastAsia="Arial" w:hAnsi="Arial"/>
          <w:sz w:val="17"/>
          <w:szCs w:val="17"/>
          <w:b w:val="1"/>
          <w:bCs w:val="1"/>
          <w:color w:val="auto"/>
        </w:rPr>
        <w:t>Breach of Contract</w:t>
      </w:r>
    </w:p>
    <w:p>
      <w:pPr>
        <w:spacing w:after="0" w:line="207" w:lineRule="exact"/>
        <w:rPr>
          <w:sz w:val="20"/>
          <w:szCs w:val="20"/>
          <w:color w:val="auto"/>
        </w:rPr>
      </w:pPr>
    </w:p>
    <w:p>
      <w:pPr>
        <w:jc w:val="both"/>
        <w:ind w:left="591"/>
        <w:spacing w:after="0" w:line="254" w:lineRule="auto"/>
        <w:rPr>
          <w:sz w:val="20"/>
          <w:szCs w:val="20"/>
          <w:color w:val="auto"/>
        </w:rPr>
      </w:pPr>
      <w:r>
        <w:rPr>
          <w:rFonts w:ascii="Arial" w:cs="Arial" w:eastAsia="Arial" w:hAnsi="Arial"/>
          <w:sz w:val="17"/>
          <w:szCs w:val="17"/>
          <w:color w:val="auto"/>
        </w:rPr>
        <w:t>Except as otherwise stipulated herein, if any Party fails to fully perform or suspend the performance of its obligations under this Agreement and fails to correct such breach within Thirty (30) days from the date of receipt of a notice from the other Party, or any of its representations and warranties under this Agreement are untrue, inaccurate or misleading, such Party shall be deemed to have breached this Agreement.</w:t>
      </w:r>
    </w:p>
    <w:p>
      <w:pPr>
        <w:spacing w:after="0" w:line="177" w:lineRule="exact"/>
        <w:rPr>
          <w:sz w:val="20"/>
          <w:szCs w:val="20"/>
          <w:color w:val="auto"/>
        </w:rPr>
      </w:pPr>
    </w:p>
    <w:p>
      <w:pPr>
        <w:jc w:val="both"/>
        <w:ind w:left="591"/>
        <w:spacing w:after="0" w:line="295" w:lineRule="auto"/>
        <w:rPr>
          <w:sz w:val="20"/>
          <w:szCs w:val="20"/>
          <w:color w:val="auto"/>
        </w:rPr>
      </w:pPr>
      <w:r>
        <w:rPr>
          <w:rFonts w:ascii="Arial" w:cs="Arial" w:eastAsia="Arial" w:hAnsi="Arial"/>
          <w:sz w:val="15"/>
          <w:szCs w:val="15"/>
          <w:color w:val="auto"/>
        </w:rPr>
        <w:t>If any Party hereto breaches this Agreement or any of its representations and warranties under this Agreement, the non-breaching Party may notify in writing the breaching Party of correcting such breach within Ten (10) days from the date of receipt of a notice, taking appropriate measures to effectively and promptly avoid any damage and continuing to perform this Agreement. If any damage occurs, the breaching Party shall make compensation to the non-breaching Party so that the non-breaching Party can obtain all rights and interests that should have been obtained by it in the case of the performance of this Agreement</w:t>
      </w:r>
    </w:p>
    <w:p>
      <w:pPr>
        <w:spacing w:after="0" w:line="149" w:lineRule="exact"/>
        <w:rPr>
          <w:sz w:val="20"/>
          <w:szCs w:val="20"/>
          <w:color w:val="auto"/>
        </w:rPr>
      </w:pPr>
    </w:p>
    <w:p>
      <w:pPr>
        <w:jc w:val="both"/>
        <w:ind w:left="591"/>
        <w:spacing w:after="0" w:line="264" w:lineRule="auto"/>
        <w:rPr>
          <w:sz w:val="20"/>
          <w:szCs w:val="20"/>
          <w:color w:val="auto"/>
        </w:rPr>
      </w:pPr>
      <w:r>
        <w:rPr>
          <w:rFonts w:ascii="Arial" w:cs="Arial" w:eastAsia="Arial" w:hAnsi="Arial"/>
          <w:sz w:val="17"/>
          <w:szCs w:val="17"/>
          <w:color w:val="auto"/>
        </w:rPr>
        <w:t>If all of the Parties breach this Agreement, they shall determine the respective amount of compensation payable by them according to the degree of their respective breach.</w:t>
      </w:r>
    </w:p>
    <w:p>
      <w:pPr>
        <w:spacing w:after="0" w:line="164" w:lineRule="exact"/>
        <w:rPr>
          <w:sz w:val="20"/>
          <w:szCs w:val="20"/>
          <w:color w:val="auto"/>
        </w:rPr>
      </w:pPr>
    </w:p>
    <w:p>
      <w:pPr>
        <w:ind w:left="631" w:hanging="631"/>
        <w:spacing w:after="0"/>
        <w:tabs>
          <w:tab w:leader="none" w:pos="631" w:val="left"/>
        </w:tabs>
        <w:numPr>
          <w:ilvl w:val="0"/>
          <w:numId w:val="590"/>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20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Governing Law</w:t>
      </w:r>
    </w:p>
    <w:p>
      <w:pPr>
        <w:spacing w:after="0" w:line="203" w:lineRule="exact"/>
        <w:rPr>
          <w:sz w:val="20"/>
          <w:szCs w:val="20"/>
          <w:color w:val="auto"/>
        </w:rPr>
      </w:pPr>
    </w:p>
    <w:p>
      <w:pPr>
        <w:ind w:left="1471"/>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203"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Arbitration</w:t>
      </w:r>
    </w:p>
    <w:p>
      <w:pPr>
        <w:spacing w:after="0" w:line="203" w:lineRule="exact"/>
        <w:rPr>
          <w:sz w:val="20"/>
          <w:szCs w:val="20"/>
          <w:color w:val="auto"/>
        </w:rPr>
      </w:pPr>
    </w:p>
    <w:p>
      <w:pPr>
        <w:jc w:val="both"/>
        <w:ind w:left="1471"/>
        <w:spacing w:after="0" w:line="278" w:lineRule="auto"/>
        <w:rPr>
          <w:sz w:val="20"/>
          <w:szCs w:val="20"/>
          <w:color w:val="auto"/>
        </w:rPr>
      </w:pPr>
      <w:r>
        <w:rPr>
          <w:rFonts w:ascii="Arial" w:cs="Arial" w:eastAsia="Arial" w:hAnsi="Arial"/>
          <w:sz w:val="16"/>
          <w:szCs w:val="16"/>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w:t>
      </w:r>
    </w:p>
    <w:p>
      <w:pPr>
        <w:spacing w:after="0" w:line="200" w:lineRule="exact"/>
        <w:rPr>
          <w:sz w:val="20"/>
          <w:szCs w:val="20"/>
          <w:color w:val="auto"/>
        </w:rPr>
      </w:pPr>
    </w:p>
    <w:p>
      <w:pPr>
        <w:spacing w:after="0" w:line="357" w:lineRule="exact"/>
        <w:rPr>
          <w:sz w:val="20"/>
          <w:szCs w:val="20"/>
          <w:color w:val="auto"/>
        </w:rPr>
      </w:pPr>
    </w:p>
    <w:p>
      <w:pPr>
        <w:jc w:val="both"/>
        <w:ind w:left="1471"/>
        <w:spacing w:after="0" w:line="254" w:lineRule="auto"/>
        <w:rPr>
          <w:sz w:val="20"/>
          <w:szCs w:val="20"/>
          <w:color w:val="auto"/>
        </w:rPr>
      </w:pPr>
      <w:r>
        <w:rPr>
          <w:rFonts w:ascii="Arial" w:cs="Arial" w:eastAsia="Arial" w:hAnsi="Arial"/>
          <w:sz w:val="17"/>
          <w:szCs w:val="17"/>
          <w:color w:val="auto"/>
        </w:rPr>
        <w:t>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17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Continue to Perform</w:t>
      </w:r>
    </w:p>
    <w:p>
      <w:pPr>
        <w:spacing w:after="0" w:line="203" w:lineRule="exact"/>
        <w:rPr>
          <w:sz w:val="20"/>
          <w:szCs w:val="20"/>
          <w:color w:val="auto"/>
        </w:rPr>
      </w:pPr>
    </w:p>
    <w:p>
      <w:pPr>
        <w:jc w:val="both"/>
        <w:ind w:left="1471"/>
        <w:spacing w:after="0" w:line="264" w:lineRule="auto"/>
        <w:rPr>
          <w:sz w:val="20"/>
          <w:szCs w:val="20"/>
          <w:color w:val="auto"/>
        </w:rPr>
      </w:pP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64" w:lineRule="exact"/>
        <w:rPr>
          <w:sz w:val="20"/>
          <w:szCs w:val="20"/>
          <w:color w:val="auto"/>
        </w:rPr>
      </w:pPr>
    </w:p>
    <w:p>
      <w:pPr>
        <w:ind w:left="411" w:hanging="411"/>
        <w:spacing w:after="0"/>
        <w:tabs>
          <w:tab w:leader="none" w:pos="411" w:val="left"/>
        </w:tabs>
        <w:numPr>
          <w:ilvl w:val="0"/>
          <w:numId w:val="591"/>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187325</wp:posOffset>
            </wp:positionV>
            <wp:extent cx="7184390" cy="4127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322" w:right="339" w:bottom="1440" w:gutter="0" w:footer="0" w:header="0"/>
        </w:sectPr>
      </w:pPr>
    </w:p>
    <w:bookmarkStart w:id="516" w:name="page517"/>
    <w:bookmarkEnd w:id="516"/>
    <w:p>
      <w:pPr>
        <w:jc w:val="both"/>
        <w:ind w:left="1471" w:firstLine="1"/>
        <w:spacing w:after="0" w:line="254" w:lineRule="auto"/>
        <w:rPr>
          <w:sz w:val="20"/>
          <w:szCs w:val="20"/>
          <w:color w:val="auto"/>
        </w:rPr>
      </w:pPr>
      <w:r>
        <w:rPr>
          <w:rFonts w:ascii="Arial" w:cs="Arial" w:eastAsia="Arial" w:hAnsi="Arial"/>
          <w:sz w:val="17"/>
          <w:szCs w:val="17"/>
          <w:color w:val="auto"/>
        </w:rPr>
        <w:t>Any contents of this Agreement and its annexes shall be kept confidential. Any Party shall not disclose to any third party any information contained herein (unless they obtain the prior written consent of the Parties hereto). These provisions hereof shall survive the termination of this Agreement.</w:t>
      </w:r>
    </w:p>
    <w:p>
      <w:pPr>
        <w:spacing w:after="0" w:line="177" w:lineRule="exact"/>
        <w:rPr>
          <w:sz w:val="20"/>
          <w:szCs w:val="20"/>
          <w:color w:val="auto"/>
        </w:rPr>
      </w:pPr>
    </w:p>
    <w:p>
      <w:pPr>
        <w:ind w:left="611"/>
        <w:spacing w:after="0"/>
        <w:tabs>
          <w:tab w:leader="none" w:pos="145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color w:val="auto"/>
        </w:rPr>
        <w:t>Exceptions</w:t>
      </w:r>
    </w:p>
    <w:p>
      <w:pPr>
        <w:spacing w:after="0" w:line="203" w:lineRule="exact"/>
        <w:rPr>
          <w:sz w:val="20"/>
          <w:szCs w:val="20"/>
          <w:color w:val="auto"/>
        </w:rPr>
      </w:pPr>
    </w:p>
    <w:p>
      <w:pPr>
        <w:jc w:val="both"/>
        <w:ind w:left="1471" w:firstLine="1"/>
        <w:spacing w:after="0" w:line="264" w:lineRule="auto"/>
        <w:rPr>
          <w:sz w:val="20"/>
          <w:szCs w:val="20"/>
          <w:color w:val="auto"/>
        </w:rPr>
      </w:pPr>
      <w:r>
        <w:rPr>
          <w:rFonts w:ascii="Arial" w:cs="Arial" w:eastAsia="Arial" w:hAnsi="Arial"/>
          <w:sz w:val="17"/>
          <w:szCs w:val="17"/>
          <w:color w:val="auto"/>
        </w:rPr>
        <w:t>Any disclosure of any confidential information required by the laws, court judgments, arbitral awards and decisions of governmental authorities shall not constitute a breach of the Section 7.1 above.</w:t>
      </w:r>
    </w:p>
    <w:p>
      <w:pPr>
        <w:spacing w:after="0" w:line="164" w:lineRule="exact"/>
        <w:rPr>
          <w:sz w:val="20"/>
          <w:szCs w:val="20"/>
          <w:color w:val="auto"/>
        </w:rPr>
      </w:pPr>
    </w:p>
    <w:p>
      <w:pPr>
        <w:ind w:left="631" w:hanging="631"/>
        <w:spacing w:after="0"/>
        <w:tabs>
          <w:tab w:leader="none" w:pos="631" w:val="left"/>
        </w:tabs>
        <w:numPr>
          <w:ilvl w:val="0"/>
          <w:numId w:val="592"/>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tbl>
      <w:tblPr>
        <w:tblLayout w:type="fixed"/>
        <w:tblInd w:w="611" w:type="dxa"/>
        <w:tblCellMar>
          <w:top w:w="0" w:type="dxa"/>
          <w:left w:w="0" w:type="dxa"/>
          <w:bottom w:w="0" w:type="dxa"/>
          <w:right w:w="0" w:type="dxa"/>
        </w:tblCellMar>
      </w:tblPr>
      <w:tr>
        <w:trPr>
          <w:trHeight w:val="212"/>
        </w:trPr>
        <w:tc>
          <w:tcPr>
            <w:tcW w:w="760" w:type="dxa"/>
            <w:vAlign w:val="bottom"/>
          </w:tcPr>
          <w:p>
            <w:pPr>
              <w:jc w:val="right"/>
              <w:ind w:right="477"/>
              <w:spacing w:after="0"/>
              <w:rPr>
                <w:sz w:val="20"/>
                <w:szCs w:val="20"/>
                <w:color w:val="auto"/>
              </w:rPr>
            </w:pPr>
            <w:r>
              <w:rPr>
                <w:rFonts w:ascii="Arial" w:cs="Arial" w:eastAsia="Arial" w:hAnsi="Arial"/>
                <w:sz w:val="17"/>
                <w:szCs w:val="17"/>
                <w:color w:val="auto"/>
                <w:w w:val="75"/>
              </w:rPr>
              <w:t>8.1</w:t>
            </w:r>
          </w:p>
        </w:tc>
        <w:tc>
          <w:tcPr>
            <w:tcW w:w="9820" w:type="dxa"/>
            <w:vAlign w:val="bottom"/>
            <w:gridSpan w:val="2"/>
          </w:tcPr>
          <w:p>
            <w:pPr>
              <w:ind w:left="100"/>
              <w:spacing w:after="0"/>
              <w:rPr>
                <w:sz w:val="20"/>
                <w:szCs w:val="20"/>
                <w:color w:val="auto"/>
              </w:rPr>
            </w:pPr>
            <w:r>
              <w:rPr>
                <w:rFonts w:ascii="Arial" w:cs="Arial" w:eastAsia="Arial" w:hAnsi="Arial"/>
                <w:sz w:val="17"/>
                <w:szCs w:val="17"/>
                <w:color w:val="auto"/>
              </w:rPr>
              <w:t>Entire Agreement</w:t>
            </w:r>
          </w:p>
        </w:tc>
      </w:tr>
      <w:tr>
        <w:trPr>
          <w:trHeight w:val="386"/>
        </w:trPr>
        <w:tc>
          <w:tcPr>
            <w:tcW w:w="760" w:type="dxa"/>
            <w:vAlign w:val="bottom"/>
          </w:tcPr>
          <w:p>
            <w:pPr>
              <w:spacing w:after="0"/>
              <w:rPr>
                <w:sz w:val="24"/>
                <w:szCs w:val="24"/>
                <w:color w:val="auto"/>
              </w:rPr>
            </w:pPr>
          </w:p>
        </w:tc>
        <w:tc>
          <w:tcPr>
            <w:tcW w:w="9820" w:type="dxa"/>
            <w:vAlign w:val="bottom"/>
            <w:gridSpan w:val="2"/>
          </w:tcPr>
          <w:p>
            <w:pPr>
              <w:ind w:left="100"/>
              <w:spacing w:after="0"/>
              <w:rPr>
                <w:sz w:val="20"/>
                <w:szCs w:val="20"/>
                <w:color w:val="auto"/>
              </w:rPr>
            </w:pPr>
            <w:r>
              <w:rPr>
                <w:rFonts w:ascii="Arial" w:cs="Arial" w:eastAsia="Arial" w:hAnsi="Arial"/>
                <w:sz w:val="17"/>
                <w:szCs w:val="17"/>
                <w:color w:val="auto"/>
                <w:w w:val="95"/>
              </w:rPr>
              <w:t>This Agreement shall constitute an entire agreement among the Parties hereto in respect of the matters involved herein. In case of any</w:t>
            </w:r>
          </w:p>
        </w:tc>
      </w:tr>
      <w:tr>
        <w:trPr>
          <w:trHeight w:val="199"/>
        </w:trPr>
        <w:tc>
          <w:tcPr>
            <w:tcW w:w="760" w:type="dxa"/>
            <w:vAlign w:val="bottom"/>
          </w:tcPr>
          <w:p>
            <w:pPr>
              <w:spacing w:after="0"/>
              <w:rPr>
                <w:sz w:val="17"/>
                <w:szCs w:val="17"/>
                <w:color w:val="auto"/>
              </w:rPr>
            </w:pPr>
          </w:p>
        </w:tc>
        <w:tc>
          <w:tcPr>
            <w:tcW w:w="9820" w:type="dxa"/>
            <w:vAlign w:val="bottom"/>
            <w:gridSpan w:val="2"/>
          </w:tcPr>
          <w:p>
            <w:pPr>
              <w:ind w:left="100"/>
              <w:spacing w:after="0"/>
              <w:rPr>
                <w:sz w:val="20"/>
                <w:szCs w:val="20"/>
                <w:color w:val="auto"/>
              </w:rPr>
            </w:pPr>
            <w:r>
              <w:rPr>
                <w:rFonts w:ascii="Arial" w:cs="Arial" w:eastAsia="Arial" w:hAnsi="Arial"/>
                <w:sz w:val="17"/>
                <w:szCs w:val="17"/>
                <w:color w:val="auto"/>
                <w:w w:val="88"/>
              </w:rPr>
              <w:t>discrepancies between any prior discussions, negotiations and agreement and this Agreement, this Agreement shall prevail. This Agreement shall</w:t>
            </w:r>
          </w:p>
        </w:tc>
      </w:tr>
      <w:tr>
        <w:trPr>
          <w:trHeight w:val="199"/>
        </w:trPr>
        <w:tc>
          <w:tcPr>
            <w:tcW w:w="760" w:type="dxa"/>
            <w:vAlign w:val="bottom"/>
          </w:tcPr>
          <w:p>
            <w:pPr>
              <w:spacing w:after="0"/>
              <w:rPr>
                <w:sz w:val="17"/>
                <w:szCs w:val="17"/>
                <w:color w:val="auto"/>
              </w:rPr>
            </w:pPr>
          </w:p>
        </w:tc>
        <w:tc>
          <w:tcPr>
            <w:tcW w:w="9820" w:type="dxa"/>
            <w:vAlign w:val="bottom"/>
            <w:gridSpan w:val="2"/>
          </w:tcPr>
          <w:p>
            <w:pPr>
              <w:ind w:left="100"/>
              <w:spacing w:after="0"/>
              <w:rPr>
                <w:sz w:val="20"/>
                <w:szCs w:val="20"/>
                <w:color w:val="auto"/>
              </w:rPr>
            </w:pPr>
            <w:r>
              <w:rPr>
                <w:rFonts w:ascii="Arial" w:cs="Arial" w:eastAsia="Arial" w:hAnsi="Arial"/>
                <w:sz w:val="17"/>
                <w:szCs w:val="17"/>
                <w:color w:val="auto"/>
                <w:w w:val="95"/>
              </w:rPr>
              <w:t>be amended by the Parties in writing. Any annexes hereto shall form an integral part of this Agreement and be equally authentic as this</w:t>
            </w:r>
          </w:p>
        </w:tc>
      </w:tr>
      <w:tr>
        <w:trPr>
          <w:trHeight w:val="212"/>
        </w:trPr>
        <w:tc>
          <w:tcPr>
            <w:tcW w:w="760" w:type="dxa"/>
            <w:vAlign w:val="bottom"/>
          </w:tcPr>
          <w:p>
            <w:pPr>
              <w:spacing w:after="0"/>
              <w:rPr>
                <w:sz w:val="18"/>
                <w:szCs w:val="18"/>
                <w:color w:val="auto"/>
              </w:rPr>
            </w:pPr>
          </w:p>
        </w:tc>
        <w:tc>
          <w:tcPr>
            <w:tcW w:w="9820" w:type="dxa"/>
            <w:vAlign w:val="bottom"/>
            <w:gridSpan w:val="2"/>
          </w:tcPr>
          <w:p>
            <w:pPr>
              <w:ind w:left="100"/>
              <w:spacing w:after="0"/>
              <w:rPr>
                <w:sz w:val="20"/>
                <w:szCs w:val="20"/>
                <w:color w:val="auto"/>
              </w:rPr>
            </w:pPr>
            <w:r>
              <w:rPr>
                <w:rFonts w:ascii="Arial" w:cs="Arial" w:eastAsia="Arial" w:hAnsi="Arial"/>
                <w:sz w:val="17"/>
                <w:szCs w:val="17"/>
                <w:color w:val="auto"/>
              </w:rPr>
              <w:t>Agreement.</w:t>
            </w:r>
          </w:p>
        </w:tc>
      </w:tr>
      <w:tr>
        <w:trPr>
          <w:trHeight w:val="399"/>
        </w:trPr>
        <w:tc>
          <w:tcPr>
            <w:tcW w:w="760" w:type="dxa"/>
            <w:vAlign w:val="bottom"/>
          </w:tcPr>
          <w:p>
            <w:pPr>
              <w:jc w:val="right"/>
              <w:ind w:right="477"/>
              <w:spacing w:after="0"/>
              <w:rPr>
                <w:sz w:val="20"/>
                <w:szCs w:val="20"/>
                <w:color w:val="auto"/>
              </w:rPr>
            </w:pPr>
            <w:r>
              <w:rPr>
                <w:rFonts w:ascii="Arial" w:cs="Arial" w:eastAsia="Arial" w:hAnsi="Arial"/>
                <w:sz w:val="17"/>
                <w:szCs w:val="17"/>
                <w:color w:val="auto"/>
                <w:w w:val="75"/>
              </w:rPr>
              <w:t>8.2</w:t>
            </w:r>
          </w:p>
        </w:tc>
        <w:tc>
          <w:tcPr>
            <w:tcW w:w="620" w:type="dxa"/>
            <w:vAlign w:val="bottom"/>
          </w:tcPr>
          <w:p>
            <w:pPr>
              <w:ind w:left="100"/>
              <w:spacing w:after="0"/>
              <w:rPr>
                <w:sz w:val="20"/>
                <w:szCs w:val="20"/>
                <w:color w:val="auto"/>
              </w:rPr>
            </w:pPr>
            <w:r>
              <w:rPr>
                <w:rFonts w:ascii="Arial" w:cs="Arial" w:eastAsia="Arial" w:hAnsi="Arial"/>
                <w:sz w:val="17"/>
                <w:szCs w:val="17"/>
                <w:color w:val="auto"/>
                <w:w w:val="88"/>
              </w:rPr>
              <w:t>Notices</w:t>
            </w:r>
          </w:p>
        </w:tc>
        <w:tc>
          <w:tcPr>
            <w:tcW w:w="9200" w:type="dxa"/>
            <w:vAlign w:val="bottom"/>
          </w:tcPr>
          <w:p>
            <w:pPr>
              <w:spacing w:after="0"/>
              <w:rPr>
                <w:sz w:val="24"/>
                <w:szCs w:val="24"/>
                <w:color w:val="auto"/>
              </w:rPr>
            </w:pPr>
          </w:p>
        </w:tc>
      </w:tr>
      <w:tr>
        <w:trPr>
          <w:trHeight w:val="585"/>
        </w:trPr>
        <w:tc>
          <w:tcPr>
            <w:tcW w:w="760" w:type="dxa"/>
            <w:vAlign w:val="bottom"/>
          </w:tcPr>
          <w:p>
            <w:pPr>
              <w:jc w:val="right"/>
              <w:spacing w:after="0"/>
              <w:rPr>
                <w:sz w:val="20"/>
                <w:szCs w:val="20"/>
                <w:color w:val="auto"/>
              </w:rPr>
            </w:pPr>
            <w:r>
              <w:rPr>
                <w:rFonts w:ascii="Arial" w:cs="Arial" w:eastAsia="Arial" w:hAnsi="Arial"/>
                <w:sz w:val="17"/>
                <w:szCs w:val="17"/>
                <w:color w:val="auto"/>
              </w:rPr>
              <w:t>8.2.1</w:t>
            </w:r>
          </w:p>
        </w:tc>
        <w:tc>
          <w:tcPr>
            <w:tcW w:w="620" w:type="dxa"/>
            <w:vAlign w:val="bottom"/>
          </w:tcPr>
          <w:p>
            <w:pPr>
              <w:spacing w:after="0"/>
              <w:rPr>
                <w:sz w:val="24"/>
                <w:szCs w:val="24"/>
                <w:color w:val="auto"/>
              </w:rPr>
            </w:pPr>
          </w:p>
        </w:tc>
        <w:tc>
          <w:tcPr>
            <w:tcW w:w="9200" w:type="dxa"/>
            <w:vAlign w:val="bottom"/>
          </w:tcPr>
          <w:p>
            <w:pPr>
              <w:ind w:left="20"/>
              <w:spacing w:after="0"/>
              <w:rPr>
                <w:sz w:val="20"/>
                <w:szCs w:val="20"/>
                <w:color w:val="auto"/>
              </w:rPr>
            </w:pPr>
            <w:r>
              <w:rPr>
                <w:rFonts w:ascii="Arial" w:cs="Arial" w:eastAsia="Arial" w:hAnsi="Arial"/>
                <w:sz w:val="17"/>
                <w:szCs w:val="17"/>
                <w:color w:val="auto"/>
                <w:w w:val="90"/>
              </w:rPr>
              <w:t>Any notices sent by the Parties for the performance of their rights and obligations under this Agreement shall be made in writing and be</w:t>
            </w:r>
          </w:p>
        </w:tc>
      </w:tr>
      <w:tr>
        <w:trPr>
          <w:trHeight w:val="199"/>
        </w:trPr>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0" w:type="dxa"/>
            <w:vAlign w:val="bottom"/>
          </w:tcPr>
          <w:p>
            <w:pPr>
              <w:ind w:left="20"/>
              <w:spacing w:after="0"/>
              <w:rPr>
                <w:sz w:val="20"/>
                <w:szCs w:val="20"/>
                <w:color w:val="auto"/>
              </w:rPr>
            </w:pPr>
            <w:r>
              <w:rPr>
                <w:rFonts w:ascii="Arial" w:cs="Arial" w:eastAsia="Arial" w:hAnsi="Arial"/>
                <w:sz w:val="17"/>
                <w:szCs w:val="17"/>
                <w:color w:val="auto"/>
                <w:w w:val="89"/>
              </w:rPr>
              <w:t>sent to the following addresses of one or all of the Parties hereto by personal delivery, registered mail, postage prepaid mail, recognized</w:t>
            </w:r>
          </w:p>
        </w:tc>
      </w:tr>
      <w:tr>
        <w:trPr>
          <w:trHeight w:val="212"/>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7"/>
                <w:szCs w:val="17"/>
                <w:color w:val="auto"/>
              </w:rPr>
              <w:t>express service or facsimile transmission:</w:t>
            </w:r>
          </w:p>
        </w:tc>
      </w:tr>
      <w:tr>
        <w:trPr>
          <w:trHeight w:val="598"/>
        </w:trPr>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0" w:type="dxa"/>
            <w:vAlign w:val="bottom"/>
          </w:tcPr>
          <w:p>
            <w:pPr>
              <w:ind w:left="20"/>
              <w:spacing w:after="0"/>
              <w:rPr>
                <w:sz w:val="20"/>
                <w:szCs w:val="20"/>
                <w:color w:val="auto"/>
              </w:rPr>
            </w:pPr>
            <w:r>
              <w:rPr>
                <w:rFonts w:ascii="Arial" w:cs="Arial" w:eastAsia="Arial" w:hAnsi="Arial"/>
                <w:sz w:val="17"/>
                <w:szCs w:val="17"/>
                <w:b w:val="1"/>
                <w:bCs w:val="1"/>
                <w:color w:val="auto"/>
              </w:rPr>
              <w:t>Party A,</w:t>
            </w:r>
          </w:p>
        </w:tc>
      </w:tr>
      <w:tr>
        <w:trPr>
          <w:trHeight w:val="386"/>
        </w:trPr>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0" w:type="dxa"/>
            <w:vAlign w:val="bottom"/>
          </w:tcPr>
          <w:p>
            <w:pPr>
              <w:ind w:left="20"/>
              <w:spacing w:after="0"/>
              <w:rPr>
                <w:sz w:val="20"/>
                <w:szCs w:val="20"/>
                <w:color w:val="auto"/>
              </w:rPr>
            </w:pPr>
            <w:r>
              <w:rPr>
                <w:rFonts w:ascii="Arial" w:cs="Arial" w:eastAsia="Arial" w:hAnsi="Arial"/>
                <w:sz w:val="17"/>
                <w:szCs w:val="17"/>
                <w:color w:val="auto"/>
              </w:rPr>
              <w:t>Address: Building 6, No. 36 Yard, Laiguangying Chuangyuan Road, Chaoyang District, Beijing</w:t>
            </w:r>
          </w:p>
        </w:tc>
      </w:tr>
      <w:tr>
        <w:trPr>
          <w:trHeight w:val="199"/>
        </w:trPr>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0" w:type="dxa"/>
            <w:vAlign w:val="bottom"/>
          </w:tcPr>
          <w:p>
            <w:pPr>
              <w:ind w:left="20"/>
              <w:spacing w:after="0"/>
              <w:rPr>
                <w:sz w:val="20"/>
                <w:szCs w:val="20"/>
                <w:color w:val="auto"/>
              </w:rPr>
            </w:pPr>
            <w:r>
              <w:rPr>
                <w:rFonts w:ascii="Arial" w:cs="Arial" w:eastAsia="Arial" w:hAnsi="Arial"/>
                <w:sz w:val="17"/>
                <w:szCs w:val="17"/>
                <w:color w:val="auto"/>
              </w:rPr>
              <w:t>Tel.: [•]</w:t>
            </w:r>
          </w:p>
        </w:tc>
      </w:tr>
      <w:tr>
        <w:trPr>
          <w:trHeight w:val="212"/>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7"/>
                <w:szCs w:val="17"/>
                <w:color w:val="auto"/>
              </w:rPr>
              <w:t>Attn.: LIU Tongbo</w:t>
            </w:r>
          </w:p>
        </w:tc>
      </w:tr>
      <w:tr>
        <w:trPr>
          <w:trHeight w:val="399"/>
        </w:trPr>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0" w:type="dxa"/>
            <w:vAlign w:val="bottom"/>
          </w:tcPr>
          <w:p>
            <w:pPr>
              <w:ind w:left="20"/>
              <w:spacing w:after="0"/>
              <w:rPr>
                <w:sz w:val="20"/>
                <w:szCs w:val="20"/>
                <w:color w:val="auto"/>
              </w:rPr>
            </w:pPr>
            <w:r>
              <w:rPr>
                <w:rFonts w:ascii="Arial" w:cs="Arial" w:eastAsia="Arial" w:hAnsi="Arial"/>
                <w:sz w:val="17"/>
                <w:szCs w:val="17"/>
                <w:b w:val="1"/>
                <w:bCs w:val="1"/>
                <w:color w:val="auto"/>
              </w:rPr>
              <w:t>Party B and Party C</w:t>
            </w:r>
            <w:r>
              <w:rPr>
                <w:rFonts w:ascii="Arial" w:cs="Arial" w:eastAsia="Arial" w:hAnsi="Arial"/>
                <w:sz w:val="17"/>
                <w:szCs w:val="17"/>
                <w:color w:val="auto"/>
              </w:rPr>
              <w:t>:</w:t>
            </w:r>
          </w:p>
        </w:tc>
      </w:tr>
      <w:tr>
        <w:trPr>
          <w:trHeight w:val="386"/>
        </w:trPr>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0" w:type="dxa"/>
            <w:vAlign w:val="bottom"/>
          </w:tcPr>
          <w:p>
            <w:pPr>
              <w:ind w:left="20"/>
              <w:spacing w:after="0"/>
              <w:rPr>
                <w:sz w:val="20"/>
                <w:szCs w:val="20"/>
                <w:color w:val="auto"/>
              </w:rPr>
            </w:pPr>
            <w:r>
              <w:rPr>
                <w:rFonts w:ascii="Arial" w:cs="Arial" w:eastAsia="Arial" w:hAnsi="Arial"/>
                <w:sz w:val="17"/>
                <w:szCs w:val="17"/>
                <w:color w:val="auto"/>
                <w:w w:val="90"/>
              </w:rPr>
              <w:t>Address: Room 02, 4th Floor, Unit 3, Building 1, 2, 3, Contemporary China Venture Center, No. 20, Guannanyuan 1st Road, East Lake</w:t>
            </w:r>
          </w:p>
        </w:tc>
      </w:tr>
      <w:tr>
        <w:trPr>
          <w:trHeight w:val="199"/>
        </w:trPr>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0" w:type="dxa"/>
            <w:vAlign w:val="bottom"/>
          </w:tcPr>
          <w:p>
            <w:pPr>
              <w:ind w:left="20"/>
              <w:spacing w:after="0"/>
              <w:rPr>
                <w:sz w:val="20"/>
                <w:szCs w:val="20"/>
                <w:color w:val="auto"/>
              </w:rPr>
            </w:pPr>
            <w:r>
              <w:rPr>
                <w:rFonts w:ascii="Arial" w:cs="Arial" w:eastAsia="Arial" w:hAnsi="Arial"/>
                <w:sz w:val="17"/>
                <w:szCs w:val="17"/>
                <w:color w:val="auto"/>
              </w:rPr>
              <w:t>New Technology Development Zone, Wuhan</w:t>
            </w:r>
          </w:p>
        </w:tc>
      </w:tr>
      <w:tr>
        <w:trPr>
          <w:trHeight w:val="199"/>
        </w:trPr>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0" w:type="dxa"/>
            <w:vAlign w:val="bottom"/>
          </w:tcPr>
          <w:p>
            <w:pPr>
              <w:ind w:left="20"/>
              <w:spacing w:after="0"/>
              <w:rPr>
                <w:sz w:val="20"/>
                <w:szCs w:val="20"/>
                <w:color w:val="auto"/>
              </w:rPr>
            </w:pPr>
            <w:r>
              <w:rPr>
                <w:rFonts w:ascii="Arial" w:cs="Arial" w:eastAsia="Arial" w:hAnsi="Arial"/>
                <w:sz w:val="17"/>
                <w:szCs w:val="17"/>
                <w:color w:val="auto"/>
              </w:rPr>
              <w:t>Tel.: [•]</w:t>
            </w:r>
          </w:p>
        </w:tc>
      </w:tr>
      <w:tr>
        <w:trPr>
          <w:trHeight w:val="212"/>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7"/>
                <w:szCs w:val="17"/>
                <w:color w:val="auto"/>
              </w:rPr>
              <w:t>Attn.: HAN Wei</w:t>
            </w:r>
          </w:p>
        </w:tc>
      </w:tr>
      <w:tr>
        <w:trPr>
          <w:trHeight w:val="399"/>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7"/>
                <w:szCs w:val="17"/>
                <w:color w:val="auto"/>
              </w:rPr>
              <w:t>8.2.2</w:t>
            </w:r>
          </w:p>
        </w:tc>
        <w:tc>
          <w:tcPr>
            <w:tcW w:w="9200" w:type="dxa"/>
            <w:vAlign w:val="bottom"/>
          </w:tcPr>
          <w:p>
            <w:pPr>
              <w:ind w:left="340"/>
              <w:spacing w:after="0"/>
              <w:rPr>
                <w:sz w:val="20"/>
                <w:szCs w:val="20"/>
                <w:color w:val="auto"/>
              </w:rPr>
            </w:pPr>
            <w:r>
              <w:rPr>
                <w:rFonts w:ascii="Arial" w:cs="Arial" w:eastAsia="Arial" w:hAnsi="Arial"/>
                <w:sz w:val="17"/>
                <w:szCs w:val="17"/>
                <w:color w:val="auto"/>
              </w:rPr>
              <w:t>All notices and correspondences shall be deemed to have been delivered under the following circumstances:</w:t>
            </w:r>
          </w:p>
        </w:tc>
      </w:tr>
    </w:tbl>
    <w:p>
      <w:pPr>
        <w:spacing w:after="0" w:line="187" w:lineRule="exact"/>
        <w:rPr>
          <w:sz w:val="20"/>
          <w:szCs w:val="20"/>
          <w:color w:val="auto"/>
        </w:rPr>
      </w:pPr>
    </w:p>
    <w:p>
      <w:pPr>
        <w:jc w:val="both"/>
        <w:ind w:left="2991" w:hanging="661"/>
        <w:spacing w:after="0" w:line="254" w:lineRule="auto"/>
        <w:tabs>
          <w:tab w:leader="none" w:pos="2991" w:val="left"/>
        </w:tabs>
        <w:numPr>
          <w:ilvl w:val="0"/>
          <w:numId w:val="593"/>
        </w:numPr>
        <w:rPr>
          <w:rFonts w:ascii="Arial" w:cs="Arial" w:eastAsia="Arial" w:hAnsi="Arial"/>
          <w:sz w:val="17"/>
          <w:szCs w:val="17"/>
          <w:color w:val="auto"/>
        </w:rPr>
      </w:pPr>
      <w:r>
        <w:rPr>
          <w:rFonts w:ascii="Arial" w:cs="Arial" w:eastAsia="Arial" w:hAnsi="Arial"/>
          <w:sz w:val="17"/>
          <w:szCs w:val="17"/>
          <w:color w:val="auto"/>
        </w:rPr>
        <w:t>If delivered by fax, the date displayed on the fax machine shall be the date of delivery, provided that, when such notices sent by fax are delivered later than 5:00 p.m. or on any non-working day in the place of delivery, the working day following the date displayed shall be the date of delivery;</w:t>
      </w:r>
    </w:p>
    <w:p>
      <w:pPr>
        <w:spacing w:after="0" w:line="176" w:lineRule="exact"/>
        <w:rPr>
          <w:rFonts w:ascii="Arial" w:cs="Arial" w:eastAsia="Arial" w:hAnsi="Arial"/>
          <w:sz w:val="17"/>
          <w:szCs w:val="17"/>
          <w:color w:val="auto"/>
        </w:rPr>
      </w:pPr>
    </w:p>
    <w:p>
      <w:pPr>
        <w:ind w:left="2991" w:hanging="661"/>
        <w:spacing w:after="0" w:line="264" w:lineRule="auto"/>
        <w:tabs>
          <w:tab w:leader="none" w:pos="2991" w:val="left"/>
        </w:tabs>
        <w:numPr>
          <w:ilvl w:val="0"/>
          <w:numId w:val="593"/>
        </w:numPr>
        <w:rPr>
          <w:rFonts w:ascii="Arial" w:cs="Arial" w:eastAsia="Arial" w:hAnsi="Arial"/>
          <w:sz w:val="17"/>
          <w:szCs w:val="17"/>
          <w:color w:val="auto"/>
        </w:rPr>
      </w:pPr>
      <w:r>
        <w:rPr>
          <w:rFonts w:ascii="Arial" w:cs="Arial" w:eastAsia="Arial" w:hAnsi="Arial"/>
          <w:sz w:val="17"/>
          <w:szCs w:val="17"/>
          <w:color w:val="auto"/>
        </w:rPr>
        <w:t>If delivered by personal delivery (including by express mail service), the date of signing for such notices shall be the date of delivery; and</w:t>
      </w:r>
    </w:p>
    <w:p>
      <w:pPr>
        <w:spacing w:after="0" w:line="167" w:lineRule="exact"/>
        <w:rPr>
          <w:rFonts w:ascii="Arial" w:cs="Arial" w:eastAsia="Arial" w:hAnsi="Arial"/>
          <w:sz w:val="17"/>
          <w:szCs w:val="17"/>
          <w:color w:val="auto"/>
        </w:rPr>
      </w:pPr>
    </w:p>
    <w:p>
      <w:pPr>
        <w:ind w:left="2991" w:hanging="661"/>
        <w:spacing w:after="0" w:line="265" w:lineRule="auto"/>
        <w:tabs>
          <w:tab w:leader="none" w:pos="2991" w:val="left"/>
        </w:tabs>
        <w:numPr>
          <w:ilvl w:val="0"/>
          <w:numId w:val="593"/>
        </w:numPr>
        <w:rPr>
          <w:rFonts w:ascii="Arial" w:cs="Arial" w:eastAsia="Arial" w:hAnsi="Arial"/>
          <w:sz w:val="17"/>
          <w:szCs w:val="17"/>
          <w:color w:val="auto"/>
        </w:rPr>
      </w:pPr>
      <w:r>
        <w:rPr>
          <w:rFonts w:ascii="Arial" w:cs="Arial" w:eastAsia="Arial" w:hAnsi="Arial"/>
          <w:sz w:val="17"/>
          <w:szCs w:val="17"/>
          <w:color w:val="auto"/>
        </w:rPr>
        <w:t>If delivered by registered mail, the Fifteenth (15</w:t>
      </w:r>
      <w:r>
        <w:rPr>
          <w:rFonts w:ascii="Arial" w:cs="Arial" w:eastAsia="Arial" w:hAnsi="Arial"/>
          <w:sz w:val="14"/>
          <w:szCs w:val="14"/>
          <w:color w:val="auto"/>
        </w:rPr>
        <w:t>th</w:t>
      </w:r>
      <w:r>
        <w:rPr>
          <w:rFonts w:ascii="Arial" w:cs="Arial" w:eastAsia="Arial" w:hAnsi="Arial"/>
          <w:sz w:val="17"/>
          <w:szCs w:val="17"/>
          <w:color w:val="auto"/>
        </w:rPr>
        <w:t>) day following the date shown in the return receipt of such registered mail shall be the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164465</wp:posOffset>
            </wp:positionV>
            <wp:extent cx="7184390" cy="412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91"/>
          </w:cols>
          <w:pgMar w:left="369" w:top="127" w:right="339" w:bottom="1440" w:gutter="0" w:footer="0" w:header="0"/>
        </w:sectPr>
      </w:pPr>
    </w:p>
    <w:bookmarkStart w:id="517" w:name="page518"/>
    <w:bookmarkEnd w:id="517"/>
    <w:p>
      <w:pPr>
        <w:ind w:left="1520"/>
        <w:spacing w:after="0"/>
        <w:tabs>
          <w:tab w:leader="none" w:pos="2360" w:val="left"/>
        </w:tabs>
        <w:rPr>
          <w:sz w:val="20"/>
          <w:szCs w:val="20"/>
          <w:color w:val="auto"/>
        </w:rPr>
      </w:pPr>
      <w:r>
        <w:rPr>
          <w:rFonts w:ascii="Arial" w:cs="Arial" w:eastAsia="Arial" w:hAnsi="Arial"/>
          <w:sz w:val="17"/>
          <w:szCs w:val="17"/>
          <w:color w:val="auto"/>
        </w:rPr>
        <w:t>8.2.3</w:t>
      </w:r>
      <w:r>
        <w:rPr>
          <w:sz w:val="20"/>
          <w:szCs w:val="20"/>
          <w:color w:val="auto"/>
        </w:rPr>
        <w:tab/>
      </w:r>
      <w:r>
        <w:rPr>
          <w:rFonts w:ascii="Arial" w:cs="Arial" w:eastAsia="Arial" w:hAnsi="Arial"/>
          <w:sz w:val="15"/>
          <w:szCs w:val="15"/>
          <w:color w:val="auto"/>
        </w:rPr>
        <w:t>Binding force</w:t>
      </w:r>
    </w:p>
    <w:p>
      <w:pPr>
        <w:spacing w:after="0" w:line="203"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This Agreement shall be binding on the Parties hereto.</w:t>
      </w:r>
    </w:p>
    <w:p>
      <w:pPr>
        <w:spacing w:after="0" w:line="20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3"/>
          <w:szCs w:val="13"/>
          <w:color w:val="auto"/>
        </w:rPr>
        <w:t>Language</w:t>
      </w:r>
    </w:p>
    <w:p>
      <w:pPr>
        <w:spacing w:after="0" w:line="20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This Agreement is written in Chinese and is executed in four (4) copies.</w:t>
      </w:r>
    </w:p>
    <w:p>
      <w:pPr>
        <w:spacing w:after="0" w:line="20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color w:val="auto"/>
        </w:rPr>
        <w:t>Day and Working Day</w:t>
      </w:r>
    </w:p>
    <w:p>
      <w:pPr>
        <w:spacing w:after="0" w:line="19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Day</w:t>
      </w:r>
      <w:r>
        <w:rPr>
          <w:rFonts w:ascii="Arial" w:cs="Arial" w:eastAsia="Arial" w:hAnsi="Arial"/>
          <w:sz w:val="17"/>
          <w:szCs w:val="17"/>
          <w:color w:val="auto"/>
        </w:rPr>
        <w:t>” referred to herein shall be the calendar day; “</w:t>
      </w:r>
      <w:r>
        <w:rPr>
          <w:rFonts w:ascii="Arial" w:cs="Arial" w:eastAsia="Arial" w:hAnsi="Arial"/>
          <w:sz w:val="17"/>
          <w:szCs w:val="17"/>
          <w:b w:val="1"/>
          <w:bCs w:val="1"/>
          <w:color w:val="auto"/>
        </w:rPr>
        <w:t>Working Day</w:t>
      </w:r>
      <w:r>
        <w:rPr>
          <w:rFonts w:ascii="Arial" w:cs="Arial" w:eastAsia="Arial" w:hAnsi="Arial"/>
          <w:sz w:val="17"/>
          <w:szCs w:val="17"/>
          <w:color w:val="auto"/>
        </w:rPr>
        <w:t>” referred to herein shall be any day from Monday to Friday.</w:t>
      </w:r>
    </w:p>
    <w:p>
      <w:pPr>
        <w:spacing w:after="0" w:line="20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3"/>
          <w:szCs w:val="13"/>
          <w:color w:val="auto"/>
        </w:rPr>
        <w:t>Headings</w:t>
      </w:r>
    </w:p>
    <w:p>
      <w:pPr>
        <w:spacing w:after="0" w:line="20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The headings hereunder are for reading convenience only and shall not be used for the interpretation of this Agreement.</w:t>
      </w:r>
    </w:p>
    <w:p>
      <w:pPr>
        <w:spacing w:after="0" w:line="20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3"/>
          <w:szCs w:val="13"/>
          <w:color w:val="auto"/>
        </w:rPr>
        <w:t>Pending matters</w:t>
      </w:r>
    </w:p>
    <w:p>
      <w:pPr>
        <w:spacing w:after="0" w:line="203"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Any matters not stipulated herein shall be resolved by the Parties hereto through friendly consultation in accordance with the laws of the PRC.</w:t>
      </w:r>
    </w:p>
    <w:p>
      <w:pPr>
        <w:spacing w:after="0" w:line="22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Termination</w:t>
      </w:r>
    </w:p>
    <w:p>
      <w:pPr>
        <w:spacing w:after="0" w:line="203" w:lineRule="exact"/>
        <w:rPr>
          <w:sz w:val="20"/>
          <w:szCs w:val="20"/>
          <w:color w:val="auto"/>
        </w:rPr>
      </w:pPr>
    </w:p>
    <w:p>
      <w:pPr>
        <w:jc w:val="both"/>
        <w:ind w:left="1520" w:firstLine="1"/>
        <w:spacing w:after="0" w:line="278" w:lineRule="auto"/>
        <w:rPr>
          <w:sz w:val="20"/>
          <w:szCs w:val="20"/>
          <w:color w:val="auto"/>
        </w:rPr>
      </w:pPr>
      <w:r>
        <w:rPr>
          <w:rFonts w:ascii="Arial" w:cs="Arial" w:eastAsia="Arial" w:hAnsi="Arial"/>
          <w:sz w:val="16"/>
          <w:szCs w:val="16"/>
          <w:color w:val="auto"/>
        </w:rPr>
        <w:t>The Parties hereto acknowledge that, in case of any change of shareholding structure of Party C or any increase or decrease of shareholders, Party A, Party C and all existing shareholders of Party C shall re-sign this Agreement and that this Agreement shall be automatically terminated and become invalid from the effective date of the option agreement re-signed by the aforesaid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Option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HAN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HAN Wei</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LI Yanjun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Yanjun</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HAN Wei</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179705</wp:posOffset>
            </wp:positionV>
            <wp:extent cx="7184390" cy="4127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8" w:name="page519"/>
    <w:bookmarkEnd w:id="518"/>
    <w:p>
      <w:pPr>
        <w:jc w:val="center"/>
        <w:spacing w:after="0"/>
        <w:rPr>
          <w:sz w:val="20"/>
          <w:szCs w:val="20"/>
          <w:color w:val="auto"/>
        </w:rPr>
      </w:pPr>
      <w:r>
        <w:rPr>
          <w:rFonts w:ascii="Arial" w:cs="Arial" w:eastAsia="Arial" w:hAnsi="Arial"/>
          <w:sz w:val="20"/>
          <w:szCs w:val="20"/>
          <w:b w:val="1"/>
          <w:bCs w:val="1"/>
          <w:color w:val="auto"/>
        </w:rPr>
        <w:t>Annex I Party C’s Shareholders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4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1"/>
              </w:rPr>
              <w:t>S/N</w:t>
            </w:r>
          </w:p>
        </w:tc>
        <w:tc>
          <w:tcPr>
            <w:tcW w:w="50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tcPr>
          <w:p>
            <w:pPr>
              <w:jc w:val="center"/>
              <w:ind w:right="113"/>
              <w:spacing w:after="0"/>
              <w:rPr>
                <w:sz w:val="20"/>
                <w:szCs w:val="20"/>
                <w:color w:val="auto"/>
              </w:rPr>
            </w:pPr>
            <w:r>
              <w:rPr>
                <w:rFonts w:ascii="Arial" w:cs="Arial" w:eastAsia="Arial" w:hAnsi="Arial"/>
                <w:sz w:val="17"/>
                <w:szCs w:val="17"/>
                <w:color w:val="auto"/>
                <w:w w:val="88"/>
              </w:rPr>
              <w:t>Name of Shareholders</w:t>
            </w:r>
          </w:p>
        </w:tc>
        <w:tc>
          <w:tcPr>
            <w:tcW w:w="320" w:type="dxa"/>
            <w:vAlign w:val="bottom"/>
            <w:tcBorders>
              <w:top w:val="single" w:sz="8" w:color="auto"/>
              <w:bottom w:val="single" w:sz="8" w:color="auto"/>
              <w:right w:val="single" w:sz="8" w:color="auto"/>
            </w:tcBorders>
          </w:tcPr>
          <w:p>
            <w:pPr>
              <w:spacing w:after="0"/>
              <w:rPr>
                <w:sz w:val="18"/>
                <w:szCs w:val="18"/>
                <w:color w:val="auto"/>
              </w:rPr>
            </w:pP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ID Card No.</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60" w:type="dxa"/>
            <w:vAlign w:val="bottom"/>
            <w:tcBorders>
              <w:bottom w:val="single" w:sz="8" w:color="auto"/>
            </w:tcBorders>
          </w:tcPr>
          <w:p>
            <w:pPr>
              <w:jc w:val="center"/>
              <w:ind w:left="57"/>
              <w:spacing w:after="0" w:line="192" w:lineRule="exact"/>
              <w:rPr>
                <w:sz w:val="20"/>
                <w:szCs w:val="20"/>
                <w:color w:val="auto"/>
              </w:rPr>
            </w:pPr>
            <w:r>
              <w:rPr>
                <w:rFonts w:ascii="Arial" w:cs="Arial" w:eastAsia="Arial" w:hAnsi="Arial"/>
                <w:sz w:val="17"/>
                <w:szCs w:val="17"/>
                <w:color w:val="auto"/>
                <w:w w:val="84"/>
              </w:rPr>
              <w:t>1</w:t>
            </w:r>
          </w:p>
        </w:tc>
        <w:tc>
          <w:tcPr>
            <w:tcW w:w="18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right="113"/>
              <w:spacing w:after="0" w:line="192" w:lineRule="exact"/>
              <w:rPr>
                <w:sz w:val="20"/>
                <w:szCs w:val="20"/>
                <w:color w:val="auto"/>
              </w:rPr>
            </w:pPr>
            <w:r>
              <w:rPr>
                <w:rFonts w:ascii="Arial" w:cs="Arial" w:eastAsia="Arial" w:hAnsi="Arial"/>
                <w:sz w:val="17"/>
                <w:szCs w:val="17"/>
                <w:color w:val="auto"/>
                <w:w w:val="94"/>
              </w:rPr>
              <w:t>HAN Wei</w:t>
            </w:r>
          </w:p>
        </w:tc>
        <w:tc>
          <w:tcPr>
            <w:tcW w:w="32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60" w:type="dxa"/>
            <w:vAlign w:val="bottom"/>
            <w:tcBorders>
              <w:bottom w:val="single" w:sz="8" w:color="auto"/>
            </w:tcBorders>
          </w:tcPr>
          <w:p>
            <w:pPr>
              <w:jc w:val="center"/>
              <w:ind w:left="57"/>
              <w:spacing w:after="0" w:line="192" w:lineRule="exact"/>
              <w:rPr>
                <w:sz w:val="20"/>
                <w:szCs w:val="20"/>
                <w:color w:val="auto"/>
              </w:rPr>
            </w:pPr>
            <w:r>
              <w:rPr>
                <w:rFonts w:ascii="Arial" w:cs="Arial" w:eastAsia="Arial" w:hAnsi="Arial"/>
                <w:sz w:val="17"/>
                <w:szCs w:val="17"/>
                <w:color w:val="auto"/>
                <w:w w:val="84"/>
              </w:rPr>
              <w:t>2</w:t>
            </w:r>
          </w:p>
        </w:tc>
        <w:tc>
          <w:tcPr>
            <w:tcW w:w="18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right="113"/>
              <w:spacing w:after="0" w:line="192" w:lineRule="exact"/>
              <w:rPr>
                <w:sz w:val="20"/>
                <w:szCs w:val="20"/>
                <w:color w:val="auto"/>
              </w:rPr>
            </w:pPr>
            <w:r>
              <w:rPr>
                <w:rFonts w:ascii="Arial" w:cs="Arial" w:eastAsia="Arial" w:hAnsi="Arial"/>
                <w:sz w:val="17"/>
                <w:szCs w:val="17"/>
                <w:color w:val="auto"/>
                <w:w w:val="91"/>
              </w:rPr>
              <w:t>LI Yanjun</w:t>
            </w:r>
          </w:p>
        </w:tc>
        <w:tc>
          <w:tcPr>
            <w:tcW w:w="32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4"/>
          </w:tcPr>
          <w:p>
            <w:pPr>
              <w:ind w:left="20"/>
              <w:spacing w:after="0"/>
              <w:rPr>
                <w:sz w:val="20"/>
                <w:szCs w:val="20"/>
                <w:color w:val="auto"/>
              </w:rPr>
            </w:pPr>
            <w:r>
              <w:rPr>
                <w:rFonts w:ascii="Arial" w:cs="Arial" w:eastAsia="Arial" w:hAnsi="Arial"/>
                <w:sz w:val="20"/>
                <w:szCs w:val="20"/>
                <w:b w:val="1"/>
                <w:bCs w:val="1"/>
                <w:color w:val="auto"/>
              </w:rPr>
              <w:t>Annex II Party C’s Shareholding Structure</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right w:val="single" w:sz="8" w:color="auto"/>
            </w:tcBorders>
            <w:gridSpan w:val="3"/>
          </w:tcPr>
          <w:p>
            <w:pPr>
              <w:jc w:val="center"/>
              <w:spacing w:after="0" w:line="180" w:lineRule="exact"/>
              <w:rPr>
                <w:sz w:val="20"/>
                <w:szCs w:val="20"/>
                <w:color w:val="auto"/>
              </w:rPr>
            </w:pPr>
            <w:r>
              <w:rPr>
                <w:rFonts w:ascii="Arial" w:cs="Arial" w:eastAsia="Arial" w:hAnsi="Arial"/>
                <w:sz w:val="17"/>
                <w:szCs w:val="17"/>
                <w:color w:val="auto"/>
                <w:w w:val="93"/>
              </w:rPr>
              <w:t>Amount of Contribution (CNY</w:t>
            </w:r>
          </w:p>
        </w:tc>
        <w:tc>
          <w:tcPr>
            <w:tcW w:w="2480" w:type="dxa"/>
            <w:vAlign w:val="bottom"/>
            <w:tcBorders>
              <w:right w:val="single" w:sz="8" w:color="auto"/>
            </w:tcBorders>
          </w:tcPr>
          <w:p>
            <w:pPr>
              <w:ind w:left="640"/>
              <w:spacing w:after="0" w:line="180" w:lineRule="exact"/>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720" w:type="dxa"/>
            <w:vAlign w:val="bottom"/>
            <w:tcBorders>
              <w:right w:val="single" w:sz="8" w:color="auto"/>
            </w:tcBorders>
            <w:gridSpan w:val="5"/>
            <w:vMerge w:val="continue"/>
          </w:tcPr>
          <w:p>
            <w:pPr>
              <w:spacing w:after="0"/>
              <w:rPr>
                <w:sz w:val="9"/>
                <w:szCs w:val="9"/>
                <w:color w:val="auto"/>
              </w:rPr>
            </w:pPr>
          </w:p>
        </w:tc>
        <w:tc>
          <w:tcPr>
            <w:tcW w:w="2120" w:type="dxa"/>
            <w:vAlign w:val="bottom"/>
            <w:gridSpan w:val="2"/>
            <w:vMerge w:val="restart"/>
          </w:tcPr>
          <w:p>
            <w:pPr>
              <w:jc w:val="center"/>
              <w:ind w:left="237"/>
              <w:spacing w:after="0"/>
              <w:rPr>
                <w:sz w:val="20"/>
                <w:szCs w:val="20"/>
                <w:color w:val="auto"/>
              </w:rPr>
            </w:pPr>
            <w:r>
              <w:rPr>
                <w:rFonts w:ascii="Arial" w:cs="Arial" w:eastAsia="Arial" w:hAnsi="Arial"/>
                <w:sz w:val="17"/>
                <w:szCs w:val="17"/>
                <w:color w:val="auto"/>
                <w:w w:val="90"/>
              </w:rPr>
              <w:t>10000)</w:t>
            </w:r>
          </w:p>
        </w:tc>
        <w:tc>
          <w:tcPr>
            <w:tcW w:w="34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2120" w:type="dxa"/>
            <w:vAlign w:val="bottom"/>
            <w:tcBorders>
              <w:bottom w:val="single" w:sz="8" w:color="auto"/>
            </w:tcBorders>
            <w:gridSpan w:val="2"/>
            <w:vMerge w:val="continue"/>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2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spacing w:after="0" w:line="192" w:lineRule="exact"/>
              <w:rPr>
                <w:sz w:val="20"/>
                <w:szCs w:val="20"/>
                <w:color w:val="auto"/>
              </w:rPr>
            </w:pPr>
            <w:r>
              <w:rPr>
                <w:rFonts w:ascii="Arial" w:cs="Arial" w:eastAsia="Arial" w:hAnsi="Arial"/>
                <w:sz w:val="17"/>
                <w:szCs w:val="17"/>
                <w:color w:val="auto"/>
                <w:w w:val="94"/>
              </w:rPr>
              <w:t>HAN Wei</w:t>
            </w:r>
          </w:p>
        </w:tc>
        <w:tc>
          <w:tcPr>
            <w:tcW w:w="254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jc w:val="center"/>
              <w:ind w:left="237"/>
              <w:spacing w:after="0" w:line="192" w:lineRule="exact"/>
              <w:rPr>
                <w:sz w:val="20"/>
                <w:szCs w:val="20"/>
                <w:color w:val="auto"/>
              </w:rPr>
            </w:pPr>
            <w:r>
              <w:rPr>
                <w:rFonts w:ascii="Arial" w:cs="Arial" w:eastAsia="Arial" w:hAnsi="Arial"/>
                <w:sz w:val="17"/>
                <w:szCs w:val="17"/>
                <w:color w:val="auto"/>
                <w:w w:val="84"/>
              </w:rPr>
              <w:t>190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2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spacing w:after="0" w:line="192" w:lineRule="exact"/>
              <w:rPr>
                <w:sz w:val="20"/>
                <w:szCs w:val="20"/>
                <w:color w:val="auto"/>
              </w:rPr>
            </w:pPr>
            <w:r>
              <w:rPr>
                <w:rFonts w:ascii="Arial" w:cs="Arial" w:eastAsia="Arial" w:hAnsi="Arial"/>
                <w:sz w:val="17"/>
                <w:szCs w:val="17"/>
                <w:color w:val="auto"/>
                <w:w w:val="94"/>
              </w:rPr>
              <w:t>LI Yanjun</w:t>
            </w:r>
          </w:p>
        </w:tc>
        <w:tc>
          <w:tcPr>
            <w:tcW w:w="254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jc w:val="center"/>
              <w:ind w:left="237"/>
              <w:spacing w:after="0" w:line="192" w:lineRule="exact"/>
              <w:rPr>
                <w:sz w:val="20"/>
                <w:szCs w:val="20"/>
                <w:color w:val="auto"/>
              </w:rPr>
            </w:pPr>
            <w:r>
              <w:rPr>
                <w:rFonts w:ascii="Arial" w:cs="Arial" w:eastAsia="Arial" w:hAnsi="Arial"/>
                <w:sz w:val="17"/>
                <w:szCs w:val="17"/>
                <w:color w:val="auto"/>
                <w:w w:val="84"/>
              </w:rPr>
              <w:t>10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77"/>
              <w:spacing w:after="0" w:line="192" w:lineRule="exact"/>
              <w:rPr>
                <w:sz w:val="20"/>
                <w:szCs w:val="20"/>
                <w:color w:val="auto"/>
              </w:rPr>
            </w:pPr>
            <w:r>
              <w:rPr>
                <w:rFonts w:ascii="Arial" w:cs="Arial" w:eastAsia="Arial" w:hAnsi="Arial"/>
                <w:sz w:val="17"/>
                <w:szCs w:val="17"/>
                <w:color w:val="auto"/>
                <w:w w:val="89"/>
              </w:rPr>
              <w:t>Total</w:t>
            </w:r>
          </w:p>
        </w:tc>
        <w:tc>
          <w:tcPr>
            <w:tcW w:w="254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jc w:val="center"/>
              <w:ind w:left="237"/>
              <w:spacing w:after="0" w:line="192" w:lineRule="exact"/>
              <w:rPr>
                <w:sz w:val="20"/>
                <w:szCs w:val="20"/>
                <w:color w:val="auto"/>
              </w:rPr>
            </w:pPr>
            <w:r>
              <w:rPr>
                <w:rFonts w:ascii="Arial" w:cs="Arial" w:eastAsia="Arial" w:hAnsi="Arial"/>
                <w:sz w:val="17"/>
                <w:szCs w:val="17"/>
                <w:color w:val="auto"/>
                <w:w w:val="84"/>
              </w:rPr>
              <w:t>200</w:t>
            </w:r>
          </w:p>
        </w:tc>
        <w:tc>
          <w:tcPr>
            <w:tcW w:w="3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519" w:name="page520"/>
    <w:bookmarkEnd w:id="519"/>
    <w:p>
      <w:pPr>
        <w:jc w:val="right"/>
        <w:spacing w:after="0"/>
        <w:rPr>
          <w:sz w:val="20"/>
          <w:szCs w:val="20"/>
          <w:color w:val="auto"/>
        </w:rPr>
      </w:pPr>
      <w:r>
        <w:rPr>
          <w:rFonts w:ascii="Arial" w:cs="Arial" w:eastAsia="Arial" w:hAnsi="Arial"/>
          <w:sz w:val="17"/>
          <w:szCs w:val="17"/>
          <w:b w:val="1"/>
          <w:bCs w:val="1"/>
          <w:color w:val="auto"/>
        </w:rPr>
        <w:t>Exhibit 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3115"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78" w:lineRule="exact"/>
        <w:rPr>
          <w:sz w:val="20"/>
          <w:szCs w:val="20"/>
          <w:color w:val="auto"/>
        </w:rPr>
      </w:pPr>
    </w:p>
    <w:p>
      <w:pPr>
        <w:jc w:val="both"/>
        <w:ind w:right="280"/>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Wuhan Xiaoyan Technology Co., Ltd. (“</w:t>
      </w:r>
      <w:r>
        <w:rPr>
          <w:rFonts w:ascii="Arial" w:cs="Arial" w:eastAsia="Arial" w:hAnsi="Arial"/>
          <w:sz w:val="17"/>
          <w:szCs w:val="17"/>
          <w:b w:val="1"/>
          <w:bCs w:val="1"/>
          <w:color w:val="auto"/>
        </w:rPr>
        <w:t>Wuhan</w:t>
      </w:r>
      <w:r>
        <w:rPr>
          <w:rFonts w:ascii="Arial" w:cs="Arial" w:eastAsia="Arial" w:hAnsi="Arial"/>
          <w:sz w:val="17"/>
          <w:szCs w:val="17"/>
          <w:color w:val="auto"/>
        </w:rPr>
        <w:t xml:space="preserve"> </w:t>
      </w:r>
      <w:r>
        <w:rPr>
          <w:rFonts w:ascii="Arial" w:cs="Arial" w:eastAsia="Arial" w:hAnsi="Arial"/>
          <w:sz w:val="17"/>
          <w:szCs w:val="17"/>
          <w:b w:val="1"/>
          <w:bCs w:val="1"/>
          <w:color w:val="auto"/>
        </w:rPr>
        <w:t>Xiaoyan”</w:t>
      </w:r>
      <w:r>
        <w:rPr>
          <w:rFonts w:ascii="Arial" w:cs="Arial" w:eastAsia="Arial" w:hAnsi="Arial"/>
          <w:sz w:val="17"/>
          <w:szCs w:val="17"/>
          <w:color w:val="auto"/>
        </w:rPr>
        <w:t>) of any specific obligations required by them as the shareholders of Wuhan Xiaoyan, all Authorizers hereby grant the authorization and sign this Power of</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HAN Wei, LI Yanjun,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The Authorizers hereby irrevocably authorize to the maximum scope permitted by law Wuhan Studyvip Online Education Co., Limited ("</w:t>
      </w:r>
      <w:r>
        <w:rPr>
          <w:rFonts w:ascii="Arial" w:cs="Arial" w:eastAsia="Arial" w:hAnsi="Arial"/>
          <w:sz w:val="15"/>
          <w:szCs w:val="15"/>
          <w:b w:val="1"/>
          <w:bCs w:val="1"/>
          <w:color w:val="auto"/>
        </w:rPr>
        <w:t>WFOE</w:t>
      </w:r>
      <w:r>
        <w:rPr>
          <w:rFonts w:ascii="Arial" w:cs="Arial" w:eastAsia="Arial" w:hAnsi="Arial"/>
          <w:sz w:val="15"/>
          <w:szCs w:val="15"/>
          <w:color w:val="auto"/>
        </w:rPr>
        <w:t>") or its designated person or authorized representative (“</w:t>
      </w:r>
      <w:r>
        <w:rPr>
          <w:rFonts w:ascii="Arial" w:cs="Arial" w:eastAsia="Arial" w:hAnsi="Arial"/>
          <w:sz w:val="15"/>
          <w:szCs w:val="15"/>
          <w:b w:val="1"/>
          <w:bCs w:val="1"/>
          <w:color w:val="auto"/>
        </w:rPr>
        <w:t>Authorized Person</w:t>
      </w:r>
      <w:r>
        <w:rPr>
          <w:rFonts w:ascii="Arial" w:cs="Arial" w:eastAsia="Arial" w:hAnsi="Arial"/>
          <w:sz w:val="15"/>
          <w:szCs w:val="15"/>
          <w:color w:val="auto"/>
        </w:rPr>
        <w:t>”) to exercise all their shareholder rights corresponding to all voting shares (“</w:t>
      </w:r>
      <w:r>
        <w:rPr>
          <w:rFonts w:ascii="Arial" w:cs="Arial" w:eastAsia="Arial" w:hAnsi="Arial"/>
          <w:sz w:val="15"/>
          <w:szCs w:val="15"/>
          <w:b w:val="1"/>
          <w:bCs w:val="1"/>
          <w:color w:val="auto"/>
        </w:rPr>
        <w:t>Shares</w:t>
      </w:r>
      <w:r>
        <w:rPr>
          <w:rFonts w:ascii="Arial" w:cs="Arial" w:eastAsia="Arial" w:hAnsi="Arial"/>
          <w:sz w:val="15"/>
          <w:szCs w:val="15"/>
          <w:color w:val="auto"/>
        </w:rPr>
        <w:t>”) held by them in Wuhan Xiaoyan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w:t>
      </w:r>
    </w:p>
    <w:p>
      <w:pPr>
        <w:ind w:right="40"/>
        <w:spacing w:after="0" w:line="246" w:lineRule="auto"/>
        <w:tabs>
          <w:tab w:leader="none" w:pos="236" w:val="left"/>
        </w:tabs>
        <w:numPr>
          <w:ilvl w:val="0"/>
          <w:numId w:val="594"/>
        </w:numPr>
        <w:rPr>
          <w:rFonts w:ascii="Arial" w:cs="Arial" w:eastAsia="Arial" w:hAnsi="Arial"/>
          <w:sz w:val="17"/>
          <w:szCs w:val="17"/>
          <w:color w:val="auto"/>
        </w:rPr>
      </w:pPr>
      <w:r>
        <w:rPr>
          <w:rFonts w:ascii="Arial" w:cs="Arial" w:eastAsia="Arial" w:hAnsi="Arial"/>
          <w:sz w:val="17"/>
          <w:szCs w:val="17"/>
          <w:color w:val="auto"/>
        </w:rPr>
        <w:t>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Wuhan Xiaoyan at the meeting of shareholders of Wuhan Xiaoyan.</w:t>
      </w:r>
    </w:p>
    <w:p>
      <w:pPr>
        <w:spacing w:after="0" w:line="20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designated by the board of directors of the WFOE.</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Unless the Business Operation Agreement signed by Wuhan Xiaoyan,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10th day of September,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HAN Wei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HAN 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84390" cy="412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0" w:name="page521"/>
    <w:bookmarkEnd w:id="520"/>
    <w:p>
      <w:pPr>
        <w:spacing w:after="0"/>
        <w:rPr>
          <w:sz w:val="20"/>
          <w:szCs w:val="20"/>
          <w:color w:val="auto"/>
        </w:rPr>
      </w:pPr>
      <w:r>
        <w:rPr>
          <w:rFonts w:ascii="Arial" w:cs="Arial" w:eastAsia="Arial" w:hAnsi="Arial"/>
          <w:sz w:val="17"/>
          <w:szCs w:val="17"/>
          <w:color w:val="auto"/>
        </w:rPr>
        <w:t>LI Yanjun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Yanjun</w:t>
      </w:r>
    </w:p>
    <w:p>
      <w:pPr>
        <w:spacing w:after="0" w:line="191" w:lineRule="exact"/>
        <w:rPr>
          <w:sz w:val="20"/>
          <w:szCs w:val="20"/>
          <w:color w:val="auto"/>
        </w:rPr>
      </w:pPr>
    </w:p>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Studyvip Online Education Co., Limited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LIU Tongbo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Title: Authorized Representative</w:t>
      </w:r>
    </w:p>
    <w:p>
      <w:pPr>
        <w:sectPr>
          <w:pgSz w:w="11900" w:h="16838" w:orient="portrait"/>
          <w:cols w:equalWidth="0" w:num="1">
            <w:col w:w="10139"/>
          </w:cols>
          <w:pgMar w:left="320" w:top="326" w:right="1440"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380" w:type="dxa"/>
            <w:vAlign w:val="bottom"/>
            <w:gridSpan w:val="2"/>
          </w:tcPr>
          <w:p>
            <w:pPr>
              <w:jc w:val="right"/>
              <w:spacing w:after="0"/>
              <w:rPr>
                <w:sz w:val="20"/>
                <w:szCs w:val="20"/>
                <w:color w:val="auto"/>
              </w:rPr>
            </w:pPr>
            <w:r>
              <w:rPr>
                <w:rFonts w:ascii="Arial" w:cs="Arial" w:eastAsia="Arial" w:hAnsi="Arial"/>
                <w:sz w:val="17"/>
                <w:szCs w:val="17"/>
                <w:b w:val="1"/>
                <w:bCs w:val="1"/>
                <w:color w:val="auto"/>
              </w:rPr>
              <w:t>Exhibit 4.62</w:t>
            </w:r>
          </w:p>
        </w:tc>
      </w:tr>
      <w:tr>
        <w:trPr>
          <w:trHeight w:val="396"/>
        </w:trPr>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380" w:type="dxa"/>
            <w:vAlign w:val="bottom"/>
            <w:gridSpan w:val="2"/>
          </w:tcPr>
          <w:p>
            <w:pPr>
              <w:jc w:val="right"/>
              <w:ind w:right="4880"/>
              <w:spacing w:after="0"/>
              <w:rPr>
                <w:sz w:val="20"/>
                <w:szCs w:val="20"/>
                <w:color w:val="auto"/>
              </w:rPr>
            </w:pPr>
            <w:r>
              <w:rPr>
                <w:rFonts w:ascii="Arial" w:cs="Arial" w:eastAsia="Arial" w:hAnsi="Arial"/>
                <w:sz w:val="20"/>
                <w:szCs w:val="20"/>
                <w:b w:val="1"/>
                <w:bCs w:val="1"/>
                <w:color w:val="auto"/>
                <w:w w:val="84"/>
              </w:rPr>
              <w:t>Spousal Consents</w:t>
            </w:r>
          </w:p>
        </w:tc>
      </w:tr>
      <w:tr>
        <w:trPr>
          <w:trHeight w:val="347"/>
        </w:trPr>
        <w:tc>
          <w:tcPr>
            <w:tcW w:w="4860" w:type="dxa"/>
            <w:vAlign w:val="bottom"/>
            <w:gridSpan w:val="4"/>
          </w:tcPr>
          <w:p>
            <w:pPr>
              <w:spacing w:after="0"/>
              <w:rPr>
                <w:sz w:val="20"/>
                <w:szCs w:val="20"/>
                <w:color w:val="auto"/>
              </w:rPr>
            </w:pPr>
            <w:r>
              <w:rPr>
                <w:rFonts w:ascii="Arial" w:cs="Arial" w:eastAsia="Arial" w:hAnsi="Arial"/>
                <w:sz w:val="17"/>
                <w:szCs w:val="17"/>
                <w:color w:val="auto"/>
                <w:w w:val="91"/>
              </w:rPr>
              <w:t>I, FANG Wen, (Citizen of the People's Republic of China; ID Card No.:</w:t>
            </w:r>
          </w:p>
        </w:tc>
        <w:tc>
          <w:tcPr>
            <w:tcW w:w="6380" w:type="dxa"/>
            <w:vAlign w:val="bottom"/>
            <w:gridSpan w:val="2"/>
          </w:tcPr>
          <w:p>
            <w:pPr>
              <w:jc w:val="right"/>
              <w:spacing w:after="0"/>
              <w:rPr>
                <w:sz w:val="20"/>
                <w:szCs w:val="20"/>
                <w:color w:val="auto"/>
              </w:rPr>
            </w:pPr>
            <w:r>
              <w:rPr>
                <w:rFonts w:ascii="Arial" w:cs="Arial" w:eastAsia="Arial" w:hAnsi="Arial"/>
                <w:sz w:val="17"/>
                <w:szCs w:val="17"/>
                <w:color w:val="auto"/>
              </w:rPr>
              <w:t>), is the lawful spouse of HAN Wei (Citizen of the People's Republic of China; ID</w:t>
            </w:r>
          </w:p>
        </w:tc>
      </w:tr>
      <w:tr>
        <w:trPr>
          <w:trHeight w:val="178"/>
        </w:trPr>
        <w:tc>
          <w:tcPr>
            <w:tcW w:w="1100" w:type="dxa"/>
            <w:vAlign w:val="bottom"/>
          </w:tcPr>
          <w:p>
            <w:pPr>
              <w:spacing w:after="0" w:line="179" w:lineRule="exact"/>
              <w:rPr>
                <w:sz w:val="20"/>
                <w:szCs w:val="20"/>
                <w:color w:val="auto"/>
              </w:rPr>
            </w:pPr>
            <w:r>
              <w:rPr>
                <w:rFonts w:ascii="Arial" w:cs="Arial" w:eastAsia="Arial" w:hAnsi="Arial"/>
                <w:sz w:val="17"/>
                <w:szCs w:val="17"/>
                <w:color w:val="auto"/>
              </w:rPr>
              <w:t>Card No.:</w:t>
            </w:r>
          </w:p>
        </w:tc>
        <w:tc>
          <w:tcPr>
            <w:tcW w:w="10140" w:type="dxa"/>
            <w:vAlign w:val="bottom"/>
            <w:gridSpan w:val="5"/>
          </w:tcPr>
          <w:p>
            <w:pPr>
              <w:jc w:val="right"/>
              <w:spacing w:after="0" w:line="179" w:lineRule="exact"/>
              <w:rPr>
                <w:sz w:val="20"/>
                <w:szCs w:val="20"/>
                <w:color w:val="auto"/>
              </w:rPr>
            </w:pPr>
            <w:r>
              <w:rPr>
                <w:rFonts w:ascii="Arial" w:cs="Arial" w:eastAsia="Arial" w:hAnsi="Arial"/>
                <w:sz w:val="17"/>
                <w:szCs w:val="17"/>
                <w:color w:val="auto"/>
                <w:w w:val="93"/>
              </w:rPr>
              <w:t>, the “</w:t>
            </w:r>
            <w:r>
              <w:rPr>
                <w:rFonts w:ascii="Arial" w:cs="Arial" w:eastAsia="Arial" w:hAnsi="Arial"/>
                <w:sz w:val="17"/>
                <w:szCs w:val="17"/>
                <w:b w:val="1"/>
                <w:bCs w:val="1"/>
                <w:color w:val="auto"/>
                <w:w w:val="93"/>
              </w:rPr>
              <w:t>My Spouse</w:t>
            </w:r>
            <w:r>
              <w:rPr>
                <w:rFonts w:ascii="Arial" w:cs="Arial" w:eastAsia="Arial" w:hAnsi="Arial"/>
                <w:sz w:val="17"/>
                <w:szCs w:val="17"/>
                <w:color w:val="auto"/>
                <w:w w:val="93"/>
              </w:rPr>
              <w:t>”). I hereby confirm and agree that the equity held by My Spouse presently and in the future (hereinafter referred to as “</w:t>
            </w:r>
            <w:r>
              <w:rPr>
                <w:rFonts w:ascii="Arial" w:cs="Arial" w:eastAsia="Arial" w:hAnsi="Arial"/>
                <w:sz w:val="17"/>
                <w:szCs w:val="17"/>
                <w:b w:val="1"/>
                <w:bCs w:val="1"/>
                <w:color w:val="auto"/>
                <w:w w:val="93"/>
              </w:rPr>
              <w:t>Equity</w:t>
            </w:r>
          </w:p>
        </w:tc>
      </w:tr>
      <w:tr>
        <w:trPr>
          <w:trHeight w:val="20"/>
        </w:trPr>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and Interest</w:t>
      </w:r>
      <w:r>
        <w:rPr>
          <w:rFonts w:ascii="Arial" w:cs="Arial" w:eastAsia="Arial" w:hAnsi="Arial"/>
          <w:sz w:val="16"/>
          <w:szCs w:val="16"/>
          <w:color w:val="auto"/>
        </w:rPr>
        <w:t>”) is the personal property of My Spouse, do not form the common property of me and My Spouse and can be disposed solely by My Spouse: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Wuhan Xiaoyan Technology Co., Ltd. (the “</w:t>
      </w:r>
      <w:r>
        <w:rPr>
          <w:rFonts w:ascii="Arial" w:cs="Arial" w:eastAsia="Arial" w:hAnsi="Arial"/>
          <w:sz w:val="17"/>
          <w:szCs w:val="17"/>
          <w:b w:val="1"/>
          <w:bCs w:val="1"/>
          <w:u w:val="single" w:color="auto"/>
          <w:color w:val="auto"/>
        </w:rPr>
        <w:t>Wuhan Xiaoyan</w:t>
      </w:r>
      <w:r>
        <w:rPr>
          <w:rFonts w:ascii="Arial" w:cs="Arial" w:eastAsia="Arial" w:hAnsi="Arial"/>
          <w:sz w:val="17"/>
          <w:szCs w:val="17"/>
          <w:color w:val="auto"/>
        </w:rPr>
        <w:t>”);</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Wuhan Xiaoyan or affecting in any manner any decision made by My Spouse.</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Wuhan Xiaoyan and its shareholders and Wuhan Studyvip Online Education Co. Limited).</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the 10th day of September,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00" w:type="dxa"/>
            <w:vAlign w:val="bottom"/>
          </w:tcPr>
          <w:p>
            <w:pPr>
              <w:spacing w:after="0"/>
              <w:rPr>
                <w:sz w:val="20"/>
                <w:szCs w:val="20"/>
                <w:color w:val="auto"/>
              </w:rPr>
            </w:pPr>
            <w:r>
              <w:rPr>
                <w:rFonts w:ascii="Arial" w:cs="Arial" w:eastAsia="Arial" w:hAnsi="Arial"/>
                <w:sz w:val="17"/>
                <w:szCs w:val="17"/>
                <w:color w:val="auto"/>
              </w:rPr>
              <w:t>Signature:</w:t>
            </w:r>
          </w:p>
        </w:tc>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FANG Wen</w:t>
            </w:r>
          </w:p>
        </w:tc>
      </w:tr>
      <w:tr>
        <w:trPr>
          <w:trHeight w:val="204"/>
        </w:trPr>
        <w:tc>
          <w:tcPr>
            <w:tcW w:w="1200" w:type="dxa"/>
            <w:vAlign w:val="bottom"/>
          </w:tcPr>
          <w:p>
            <w:pPr>
              <w:spacing w:after="0" w:line="192" w:lineRule="exact"/>
              <w:rPr>
                <w:sz w:val="20"/>
                <w:szCs w:val="20"/>
                <w:color w:val="auto"/>
              </w:rPr>
            </w:pPr>
            <w:r>
              <w:rPr>
                <w:rFonts w:ascii="Arial" w:cs="Arial" w:eastAsia="Arial" w:hAnsi="Arial"/>
                <w:sz w:val="17"/>
                <w:szCs w:val="17"/>
                <w:color w:val="auto"/>
              </w:rPr>
              <w:t>Name:</w:t>
            </w:r>
          </w:p>
        </w:tc>
        <w:tc>
          <w:tcPr>
            <w:tcW w:w="4640" w:type="dxa"/>
            <w:vAlign w:val="bottom"/>
          </w:tcPr>
          <w:p>
            <w:pPr>
              <w:spacing w:after="0"/>
              <w:rPr>
                <w:sz w:val="20"/>
                <w:szCs w:val="20"/>
                <w:color w:val="auto"/>
              </w:rPr>
            </w:pPr>
            <w:r>
              <w:rPr>
                <w:rFonts w:ascii="Arial" w:cs="Arial" w:eastAsia="Arial" w:hAnsi="Arial"/>
                <w:sz w:val="17"/>
                <w:szCs w:val="17"/>
                <w:color w:val="auto"/>
              </w:rPr>
              <w:t>FANG Wen</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HAN Wei hereby agrees and accepts this Spousal Consents: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20"/>
                <w:szCs w:val="20"/>
                <w:color w:val="auto"/>
              </w:rPr>
            </w:pPr>
            <w:r>
              <w:rPr>
                <w:rFonts w:ascii="Arial" w:cs="Arial" w:eastAsia="Arial" w:hAnsi="Arial"/>
                <w:sz w:val="17"/>
                <w:szCs w:val="17"/>
                <w:color w:val="auto"/>
              </w:rPr>
              <w:t>Signature: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HAN Wei</w:t>
            </w:r>
          </w:p>
        </w:tc>
      </w:tr>
      <w:tr>
        <w:trPr>
          <w:trHeight w:val="204"/>
        </w:trPr>
        <w:tc>
          <w:tcPr>
            <w:tcW w:w="1140" w:type="dxa"/>
            <w:vAlign w:val="bottom"/>
          </w:tcPr>
          <w:p>
            <w:pPr>
              <w:spacing w:after="0" w:line="192" w:lineRule="exact"/>
              <w:rPr>
                <w:sz w:val="20"/>
                <w:szCs w:val="20"/>
                <w:color w:val="auto"/>
              </w:rPr>
            </w:pPr>
            <w:r>
              <w:rPr>
                <w:rFonts w:ascii="Arial" w:cs="Arial" w:eastAsia="Arial" w:hAnsi="Arial"/>
                <w:sz w:val="17"/>
                <w:szCs w:val="17"/>
                <w:color w:val="auto"/>
              </w:rPr>
              <w:t>Name:</w:t>
            </w:r>
          </w:p>
        </w:tc>
        <w:tc>
          <w:tcPr>
            <w:tcW w:w="4700" w:type="dxa"/>
            <w:vAlign w:val="bottom"/>
          </w:tcPr>
          <w:p>
            <w:pPr>
              <w:spacing w:after="0"/>
              <w:rPr>
                <w:sz w:val="20"/>
                <w:szCs w:val="20"/>
                <w:color w:val="auto"/>
              </w:rPr>
            </w:pPr>
            <w:r>
              <w:rPr>
                <w:rFonts w:ascii="Arial" w:cs="Arial" w:eastAsia="Arial" w:hAnsi="Arial"/>
                <w:sz w:val="17"/>
                <w:szCs w:val="17"/>
                <w:color w:val="auto"/>
              </w:rPr>
              <w:t>HAN Wei</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Spousal Consents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2" w:name="page523"/>
    <w:bookmarkEnd w:id="522"/>
    <w:p>
      <w:pPr>
        <w:jc w:val="center"/>
        <w:spacing w:after="0"/>
        <w:rPr>
          <w:sz w:val="20"/>
          <w:szCs w:val="20"/>
          <w:color w:val="auto"/>
        </w:rPr>
      </w:pPr>
      <w:r>
        <w:rPr>
          <w:rFonts w:ascii="Arial" w:cs="Arial" w:eastAsia="Arial" w:hAnsi="Arial"/>
          <w:sz w:val="20"/>
          <w:szCs w:val="20"/>
          <w:b w:val="1"/>
          <w:bCs w:val="1"/>
          <w:color w:val="auto"/>
        </w:rPr>
        <w:t>Spousal Consents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gridSpan w:val="4"/>
          </w:tcPr>
          <w:p>
            <w:pPr>
              <w:spacing w:after="0"/>
              <w:rPr>
                <w:sz w:val="20"/>
                <w:szCs w:val="20"/>
                <w:color w:val="auto"/>
              </w:rPr>
            </w:pPr>
            <w:r>
              <w:rPr>
                <w:rFonts w:ascii="Arial" w:cs="Arial" w:eastAsia="Arial" w:hAnsi="Arial"/>
                <w:sz w:val="17"/>
                <w:szCs w:val="17"/>
                <w:color w:val="auto"/>
              </w:rPr>
              <w:t>I, HAN Hongwei, (Citizen of the People's Republic of China; ID Card No.:</w:t>
            </w:r>
          </w:p>
        </w:tc>
        <w:tc>
          <w:tcPr>
            <w:tcW w:w="5500" w:type="dxa"/>
            <w:vAlign w:val="bottom"/>
          </w:tcPr>
          <w:p>
            <w:pPr>
              <w:jc w:val="right"/>
              <w:spacing w:after="0"/>
              <w:rPr>
                <w:sz w:val="20"/>
                <w:szCs w:val="20"/>
                <w:color w:val="auto"/>
              </w:rPr>
            </w:pPr>
            <w:r>
              <w:rPr>
                <w:rFonts w:ascii="Arial" w:cs="Arial" w:eastAsia="Arial" w:hAnsi="Arial"/>
                <w:sz w:val="17"/>
                <w:szCs w:val="17"/>
                <w:color w:val="auto"/>
              </w:rPr>
              <w:t>), is the lawful spouse of LI Yanjun (Citizen of the People's Republic of</w:t>
            </w:r>
          </w:p>
        </w:tc>
      </w:tr>
      <w:tr>
        <w:trPr>
          <w:trHeight w:val="178"/>
        </w:trPr>
        <w:tc>
          <w:tcPr>
            <w:tcW w:w="2200" w:type="dxa"/>
            <w:vAlign w:val="bottom"/>
          </w:tcPr>
          <w:p>
            <w:pPr>
              <w:spacing w:after="0" w:line="179" w:lineRule="exact"/>
              <w:rPr>
                <w:sz w:val="20"/>
                <w:szCs w:val="20"/>
                <w:color w:val="auto"/>
              </w:rPr>
            </w:pPr>
            <w:r>
              <w:rPr>
                <w:rFonts w:ascii="Arial" w:cs="Arial" w:eastAsia="Arial" w:hAnsi="Arial"/>
                <w:sz w:val="17"/>
                <w:szCs w:val="17"/>
                <w:color w:val="auto"/>
              </w:rPr>
              <w:t>China; ID Card No.:</w:t>
            </w:r>
          </w:p>
        </w:tc>
        <w:tc>
          <w:tcPr>
            <w:tcW w:w="9040" w:type="dxa"/>
            <w:vAlign w:val="bottom"/>
            <w:gridSpan w:val="4"/>
          </w:tcPr>
          <w:p>
            <w:pPr>
              <w:jc w:val="right"/>
              <w:spacing w:after="0" w:line="179" w:lineRule="exact"/>
              <w:rPr>
                <w:sz w:val="20"/>
                <w:szCs w:val="20"/>
                <w:color w:val="auto"/>
              </w:rPr>
            </w:pPr>
            <w:r>
              <w:rPr>
                <w:rFonts w:ascii="Arial" w:cs="Arial" w:eastAsia="Arial" w:hAnsi="Arial"/>
                <w:sz w:val="17"/>
                <w:szCs w:val="17"/>
                <w:color w:val="auto"/>
                <w:w w:val="99"/>
              </w:rPr>
              <w:t>, the “</w:t>
            </w:r>
            <w:r>
              <w:rPr>
                <w:rFonts w:ascii="Arial" w:cs="Arial" w:eastAsia="Arial" w:hAnsi="Arial"/>
                <w:sz w:val="17"/>
                <w:szCs w:val="17"/>
                <w:b w:val="1"/>
                <w:bCs w:val="1"/>
                <w:color w:val="auto"/>
                <w:w w:val="99"/>
              </w:rPr>
              <w:t>My Spouse</w:t>
            </w:r>
            <w:r>
              <w:rPr>
                <w:rFonts w:ascii="Arial" w:cs="Arial" w:eastAsia="Arial" w:hAnsi="Arial"/>
                <w:sz w:val="17"/>
                <w:szCs w:val="17"/>
                <w:color w:val="auto"/>
                <w:w w:val="99"/>
              </w:rPr>
              <w:t>”). I hereby confirm and agree that the equity held by My Spouse presently and in the future (hereinafter</w:t>
            </w:r>
          </w:p>
        </w:tc>
      </w:tr>
      <w:tr>
        <w:trPr>
          <w:trHeight w:val="20"/>
        </w:trPr>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referred to as “</w:t>
      </w:r>
      <w:r>
        <w:rPr>
          <w:rFonts w:ascii="Arial" w:cs="Arial" w:eastAsia="Arial" w:hAnsi="Arial"/>
          <w:sz w:val="15"/>
          <w:szCs w:val="15"/>
          <w:b w:val="1"/>
          <w:bCs w:val="1"/>
          <w:u w:val="single" w:color="auto"/>
          <w:color w:val="auto"/>
        </w:rPr>
        <w:t>Equity and Interest</w:t>
      </w:r>
      <w:r>
        <w:rPr>
          <w:rFonts w:ascii="Arial" w:cs="Arial" w:eastAsia="Arial" w:hAnsi="Arial"/>
          <w:sz w:val="15"/>
          <w:szCs w:val="15"/>
          <w:color w:val="auto"/>
        </w:rPr>
        <w:t>”) are the personal property of My Spouse, do not form the common property of me and My Spouse and can be disposed solely by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My Spouse: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Wuhan Xiaoyan Technology Co., Ltd. (the “</w:t>
      </w:r>
      <w:r>
        <w:rPr>
          <w:rFonts w:ascii="Arial" w:cs="Arial" w:eastAsia="Arial" w:hAnsi="Arial"/>
          <w:sz w:val="17"/>
          <w:szCs w:val="17"/>
          <w:b w:val="1"/>
          <w:bCs w:val="1"/>
          <w:u w:val="single" w:color="auto"/>
          <w:color w:val="auto"/>
        </w:rPr>
        <w:t>Wuhan Xiaoyan</w:t>
      </w:r>
      <w:r>
        <w:rPr>
          <w:rFonts w:ascii="Arial" w:cs="Arial" w:eastAsia="Arial" w:hAnsi="Arial"/>
          <w:sz w:val="17"/>
          <w:szCs w:val="17"/>
          <w:color w:val="auto"/>
        </w:rPr>
        <w:t>”);</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Wuhan Xiaoyan or affecting in any manner any decision made by My Spouse.</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Wuhan Xiaoyan and its shareholders and Wuhan Studyvip Online Education Co. Limited.).</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the 10th day of September, 2019.</w:t>
      </w:r>
    </w:p>
    <w:p>
      <w:pPr>
        <w:spacing w:after="0" w:line="166"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[The remainder of this page is intentionally left blank]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00" w:type="dxa"/>
            <w:vAlign w:val="bottom"/>
          </w:tcPr>
          <w:p>
            <w:pPr>
              <w:spacing w:after="0"/>
              <w:rPr>
                <w:sz w:val="20"/>
                <w:szCs w:val="20"/>
                <w:color w:val="auto"/>
              </w:rPr>
            </w:pPr>
            <w:r>
              <w:rPr>
                <w:rFonts w:ascii="Arial" w:cs="Arial" w:eastAsia="Arial" w:hAnsi="Arial"/>
                <w:sz w:val="17"/>
                <w:szCs w:val="17"/>
                <w:color w:val="auto"/>
              </w:rPr>
              <w:t>Signature:</w:t>
            </w:r>
          </w:p>
        </w:tc>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HAN Hongwei</w:t>
            </w:r>
          </w:p>
        </w:tc>
      </w:tr>
      <w:tr>
        <w:trPr>
          <w:trHeight w:val="204"/>
        </w:trPr>
        <w:tc>
          <w:tcPr>
            <w:tcW w:w="1200" w:type="dxa"/>
            <w:vAlign w:val="bottom"/>
          </w:tcPr>
          <w:p>
            <w:pPr>
              <w:spacing w:after="0" w:line="192" w:lineRule="exact"/>
              <w:rPr>
                <w:sz w:val="20"/>
                <w:szCs w:val="20"/>
                <w:color w:val="auto"/>
              </w:rPr>
            </w:pPr>
            <w:r>
              <w:rPr>
                <w:rFonts w:ascii="Arial" w:cs="Arial" w:eastAsia="Arial" w:hAnsi="Arial"/>
                <w:sz w:val="17"/>
                <w:szCs w:val="17"/>
                <w:color w:val="auto"/>
              </w:rPr>
              <w:t>Name:</w:t>
            </w:r>
          </w:p>
        </w:tc>
        <w:tc>
          <w:tcPr>
            <w:tcW w:w="4640" w:type="dxa"/>
            <w:vAlign w:val="bottom"/>
          </w:tcPr>
          <w:p>
            <w:pPr>
              <w:spacing w:after="0"/>
              <w:rPr>
                <w:sz w:val="20"/>
                <w:szCs w:val="20"/>
                <w:color w:val="auto"/>
              </w:rPr>
            </w:pPr>
            <w:r>
              <w:rPr>
                <w:rFonts w:ascii="Arial" w:cs="Arial" w:eastAsia="Arial" w:hAnsi="Arial"/>
                <w:sz w:val="17"/>
                <w:szCs w:val="17"/>
                <w:color w:val="auto"/>
              </w:rPr>
              <w:t>HAN Hongwei</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LI Yanjun hereby agrees and accepts this Spousal Consents: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20"/>
                <w:szCs w:val="20"/>
                <w:color w:val="auto"/>
              </w:rPr>
            </w:pPr>
            <w:r>
              <w:rPr>
                <w:rFonts w:ascii="Arial" w:cs="Arial" w:eastAsia="Arial" w:hAnsi="Arial"/>
                <w:sz w:val="17"/>
                <w:szCs w:val="17"/>
                <w:color w:val="auto"/>
              </w:rPr>
              <w:t>Signature: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 Yanjun</w:t>
            </w:r>
          </w:p>
        </w:tc>
      </w:tr>
      <w:tr>
        <w:trPr>
          <w:trHeight w:val="204"/>
        </w:trPr>
        <w:tc>
          <w:tcPr>
            <w:tcW w:w="1140" w:type="dxa"/>
            <w:vAlign w:val="bottom"/>
          </w:tcPr>
          <w:p>
            <w:pPr>
              <w:spacing w:after="0" w:line="192" w:lineRule="exact"/>
              <w:rPr>
                <w:sz w:val="20"/>
                <w:szCs w:val="20"/>
                <w:color w:val="auto"/>
              </w:rPr>
            </w:pPr>
            <w:r>
              <w:rPr>
                <w:rFonts w:ascii="Arial" w:cs="Arial" w:eastAsia="Arial" w:hAnsi="Arial"/>
                <w:sz w:val="17"/>
                <w:szCs w:val="17"/>
                <w:color w:val="auto"/>
              </w:rPr>
              <w:t>Name:</w:t>
            </w:r>
          </w:p>
        </w:tc>
        <w:tc>
          <w:tcPr>
            <w:tcW w:w="4700" w:type="dxa"/>
            <w:vAlign w:val="bottom"/>
          </w:tcPr>
          <w:p>
            <w:pPr>
              <w:spacing w:after="0"/>
              <w:rPr>
                <w:sz w:val="20"/>
                <w:szCs w:val="20"/>
                <w:color w:val="auto"/>
              </w:rPr>
            </w:pPr>
            <w:r>
              <w:rPr>
                <w:rFonts w:ascii="Arial" w:cs="Arial" w:eastAsia="Arial" w:hAnsi="Arial"/>
                <w:sz w:val="17"/>
                <w:szCs w:val="17"/>
                <w:color w:val="auto"/>
              </w:rPr>
              <w:t>LI Yanjun</w:t>
            </w:r>
          </w:p>
        </w:tc>
      </w:tr>
    </w:tbl>
    <w:p>
      <w:pPr>
        <w:sectPr>
          <w:pgSz w:w="11900" w:h="16838" w:orient="portrait"/>
          <w:cols w:equalWidth="0" w:num="1">
            <w:col w:w="11240"/>
          </w:cols>
          <w:pgMar w:left="320" w:top="114" w:right="339" w:bottom="1440" w:gutter="0" w:footer="0" w:header="0"/>
        </w:sectPr>
      </w:pPr>
    </w:p>
    <w:bookmarkStart w:id="523" w:name="page524"/>
    <w:bookmarkEnd w:id="523"/>
    <w:p>
      <w:pPr>
        <w:jc w:val="right"/>
        <w:spacing w:after="0"/>
        <w:rPr>
          <w:sz w:val="20"/>
          <w:szCs w:val="20"/>
          <w:color w:val="auto"/>
        </w:rPr>
      </w:pPr>
      <w:r>
        <w:rPr>
          <w:rFonts w:ascii="Arial" w:cs="Arial" w:eastAsia="Arial" w:hAnsi="Arial"/>
          <w:sz w:val="17"/>
          <w:szCs w:val="17"/>
          <w:b w:val="1"/>
          <w:bCs w:val="1"/>
          <w:color w:val="auto"/>
        </w:rPr>
        <w:t>Exhibit 4.63</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Exclusive Technical Consultation and Service Agreement</w:t>
      </w:r>
    </w:p>
    <w:p>
      <w:pPr>
        <w:spacing w:after="0" w:line="177"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This Exclusive Technical Consultation and Service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14th day of September,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r>
        <w:rPr>
          <w:rFonts w:ascii="Arial" w:cs="Arial" w:eastAsia="Arial" w:hAnsi="Arial"/>
          <w:sz w:val="17"/>
          <w:szCs w:val="17"/>
          <w:color w:val="auto"/>
        </w:rPr>
        <w:t>: Guangzhou Wudawei Education Technology Co., Ltd.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No. 103 (even), No. 90-96, Kexue grand avenue, Huangpu District, Guangzhou, China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 Haohan</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shares or investment interests are held by Party B.</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182" w:lineRule="exact"/>
        <w:rPr>
          <w:sz w:val="20"/>
          <w:szCs w:val="20"/>
          <w:color w:val="auto"/>
        </w:rPr>
      </w:pPr>
    </w:p>
    <w:p>
      <w:pPr>
        <w:ind w:left="860" w:hanging="860"/>
        <w:spacing w:after="0"/>
        <w:tabs>
          <w:tab w:leader="none" w:pos="86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165" w:lineRule="exact"/>
        <w:rPr>
          <w:rFonts w:ascii="Arial" w:cs="Arial" w:eastAsia="Arial" w:hAnsi="Arial"/>
          <w:sz w:val="17"/>
          <w:szCs w:val="17"/>
          <w:color w:val="auto"/>
        </w:rPr>
      </w:pPr>
    </w:p>
    <w:p>
      <w:pPr>
        <w:ind w:left="860" w:right="100" w:hanging="860"/>
        <w:spacing w:after="0" w:line="264" w:lineRule="auto"/>
        <w:tabs>
          <w:tab w:leader="none" w:pos="86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Party A agrees to provide technical consultation and related services to Party B and Party B’s Subsidiaries, and Party B and Party B’s Subsidiaries agree to accept such technical consultation and related services provided by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30480</wp:posOffset>
            </wp:positionV>
            <wp:extent cx="7184390" cy="4127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4" w:name="page525"/>
    <w:bookmarkEnd w:id="524"/>
    <w:p>
      <w:pPr>
        <w:ind w:right="40"/>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22" w:lineRule="exact"/>
        <w:rPr>
          <w:sz w:val="20"/>
          <w:szCs w:val="20"/>
          <w:color w:val="auto"/>
        </w:rPr>
      </w:pPr>
    </w:p>
    <w:p>
      <w:pPr>
        <w:ind w:left="860" w:hanging="860"/>
        <w:spacing w:after="0"/>
        <w:tabs>
          <w:tab w:leader="none" w:pos="860" w:val="left"/>
        </w:tabs>
        <w:numPr>
          <w:ilvl w:val="0"/>
          <w:numId w:val="596"/>
        </w:numPr>
        <w:rPr>
          <w:rFonts w:ascii="Arial" w:cs="Arial" w:eastAsia="Arial" w:hAnsi="Arial"/>
          <w:sz w:val="17"/>
          <w:szCs w:val="17"/>
          <w:b w:val="1"/>
          <w:bCs w:val="1"/>
          <w:color w:val="auto"/>
        </w:rPr>
      </w:pPr>
      <w:r>
        <w:rPr>
          <w:rFonts w:ascii="Arial" w:cs="Arial" w:eastAsia="Arial" w:hAnsi="Arial"/>
          <w:sz w:val="17"/>
          <w:szCs w:val="17"/>
          <w:b w:val="1"/>
          <w:bCs w:val="1"/>
          <w:color w:val="auto"/>
        </w:rPr>
        <w:t>Technical Consultation and Services: Sole and Exclusive Rights and Interests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1.1</w:t>
            </w: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Within the term of this Agreement, Party A agrees that it shall, as the exclusive technical consultation and services provider of Party B and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Party B’s Subsidiaries, provide Party B and Party B’s Subsidiaries with the relevant technical consultation and services (See Annex I for</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specific content) according to the terms of this 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1.2</w:t>
            </w:r>
          </w:p>
        </w:tc>
        <w:tc>
          <w:tcPr>
            <w:tcW w:w="9780" w:type="dxa"/>
            <w:vAlign w:val="bottom"/>
          </w:tcPr>
          <w:p>
            <w:pPr>
              <w:ind w:left="320"/>
              <w:spacing w:after="0"/>
              <w:rPr>
                <w:sz w:val="20"/>
                <w:szCs w:val="20"/>
                <w:color w:val="auto"/>
              </w:rPr>
            </w:pPr>
            <w:r>
              <w:rPr>
                <w:rFonts w:ascii="Arial" w:cs="Arial" w:eastAsia="Arial" w:hAnsi="Arial"/>
                <w:sz w:val="17"/>
                <w:szCs w:val="17"/>
                <w:color w:val="auto"/>
                <w:w w:val="94"/>
              </w:rPr>
              <w:t>Party B and Party B’s Subsidiaries agree to accept the technical consultation and services provided by Party A within the term of this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Agreement. In consideration of the value of the technical consultation and services provided by Party A and the good cooperative relationship</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among the Parties hereto, Party B and Party B’s Subsidiaries further agree that, unless they obtain the prior written consent of Party A, they</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shall not accept any technical consultation and services provided by any third party in respect of the business scope involved herein within the</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term of this 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For all rights, titles, interests and intellectual property rights (including but not limited to any copyrights, patents, technical know-how and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1"/>
              </w:rPr>
              <w:t>business secrets) arising out of the performance of this Agreement, whether developed by Party A or developed by Party B and Party B’s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Subsidiaries based on Party A’s intellectual property rights or developed by Party A based on any intellectual property rights of Party B and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Party B’s Subsidiaries, Party A shall enjoy any sole and exclusive rights and interests therein, and Party B and Party B’s Subsidiaries shall not</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assert any rights, titles, interests and intellectual property rights to Party A.</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Provided that, if developed by Party A based on any intellectual property rights of Party B and Party B’s Subsidiaries, Party B and Party B’s</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7"/>
              </w:rPr>
              <w:t>Subsidiaries shall ensure that such intellectual property rights are free from any defects, otherwise, any losses caused to Party A shall be borne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by Party B and Party B’s Subsidiaries. If Party A bear the compensation liability to any third party therefor, Party A shall have the right to</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recover all its losses from Party B and Party B’s Subsidiaries after Party A makes such compensation.</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In consideration of the good cooperative relationship among the Parties hereto, Party B and Party B’s Subsidiaries undertake that, if they are</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8"/>
              </w:rPr>
              <w:t>intended to carry out any business cooperation with any other enterprises, they shall obtain the consent of Party A, and Party A or its affiliates</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rPr>
              <w:t>shall have the priority of cooperation under the same conditions.</w:t>
            </w:r>
          </w:p>
        </w:tc>
      </w:tr>
    </w:tbl>
    <w:p>
      <w:pPr>
        <w:spacing w:after="0" w:line="145" w:lineRule="exact"/>
        <w:rPr>
          <w:sz w:val="20"/>
          <w:szCs w:val="20"/>
          <w:color w:val="auto"/>
        </w:rPr>
      </w:pPr>
    </w:p>
    <w:p>
      <w:pPr>
        <w:ind w:left="860" w:hanging="860"/>
        <w:spacing w:after="0"/>
        <w:tabs>
          <w:tab w:leader="none" w:pos="860" w:val="left"/>
        </w:tabs>
        <w:numPr>
          <w:ilvl w:val="0"/>
          <w:numId w:val="597"/>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 and Payment of Technical Consultation and Service Fees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Service Fees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The Parties hereto agree that any Service Fees under this Agreement shall be determined and paid in such way as listed in Annex II hereto.</w:t>
            </w:r>
          </w:p>
        </w:tc>
      </w:tr>
      <w:tr>
        <w:trPr>
          <w:trHeight w:val="374"/>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Party B and Party B’s Subsidiaries fail to pay any Service Fees and other expenses according to the provisions of this Agreement, Party B</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Party B’s Subsidiaries shall separately pay to Party A a default fine on the basis of 0.05% of the amount owed per day.</w:t>
            </w:r>
          </w:p>
        </w:tc>
      </w:tr>
      <w:tr>
        <w:trPr>
          <w:trHeight w:val="345"/>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A shall have the right to assign its employees or certified public accountants of China or other countries (hereinafter referred to as “</w:t>
            </w:r>
            <w:r>
              <w:rPr>
                <w:rFonts w:ascii="Arial" w:cs="Arial" w:eastAsia="Arial" w:hAnsi="Arial"/>
                <w:sz w:val="17"/>
                <w:szCs w:val="17"/>
                <w:b w:val="1"/>
                <w:bCs w:val="1"/>
                <w:color w:val="auto"/>
                <w:w w:val="89"/>
              </w:rPr>
              <w:t>Party</w:t>
            </w:r>
          </w:p>
        </w:tc>
      </w:tr>
      <w:tr>
        <w:trPr>
          <w:trHeight w:val="203"/>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88"/>
              </w:rPr>
              <w:t>A’s Authorized Representative</w:t>
            </w:r>
            <w:r>
              <w:rPr>
                <w:rFonts w:ascii="Arial" w:cs="Arial" w:eastAsia="Arial" w:hAnsi="Arial"/>
                <w:sz w:val="17"/>
                <w:szCs w:val="17"/>
                <w:color w:val="auto"/>
                <w:w w:val="88"/>
              </w:rPr>
              <w:t>”) at its own expense to check the accounts of Party B and Party B’s Subsidiaries so as to audit the calculation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method and amount of Service Fees. Therefore, Party B and Party B’s Subsidiaries shall provide Party A’s Authorized Representative with any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documents, accounts, records and data required by Party A’s Authorized Representative so that Party A’s Authorized Representative can audit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the accounts of Party B and Party B’s Subsidiaries and determine the amount of Service Fees. Unless there are any gross errors, the amount of</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Service Fees shall be subject to the amount determined by Party A’s Authorized Representative.</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2" w:right="299" w:bottom="1440" w:gutter="0" w:footer="0" w:header="0"/>
        </w:sectPr>
      </w:pPr>
    </w:p>
    <w:bookmarkStart w:id="525" w:name="page526"/>
    <w:bookmarkEnd w:id="525"/>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Unless the Parties hereto reach an agreement through further consultation, any Service Fees paid by Party B and Party B’s Subsidiaries to Party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 according to this Agreement shall not be deducted or offset. Party B and Party B’s Subsidiaries shall solely be responsible for any relevant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expenses (such as bank charges) incurred from the payment of Service Fees.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In addition, Party B and Party B’s Subsidiaries shall pay to Party A any actual expenses incurred from the provision by Party A of its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consultation and service under this Agreement while paying the Service Fees, including but not limited to any traveling expenses,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transportation fees, printing expenses and postage.</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2.6</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Parties hereto agree that all economic losses arising out of the performance of this Agreement shall be borne jointly by the Parties hereto.</w:t>
            </w:r>
          </w:p>
        </w:tc>
      </w:tr>
    </w:tbl>
    <w:p>
      <w:pPr>
        <w:spacing w:after="0" w:line="170" w:lineRule="exact"/>
        <w:rPr>
          <w:sz w:val="20"/>
          <w:szCs w:val="20"/>
          <w:color w:val="auto"/>
        </w:rPr>
      </w:pPr>
    </w:p>
    <w:p>
      <w:pPr>
        <w:ind w:left="860" w:hanging="860"/>
        <w:spacing w:after="0"/>
        <w:tabs>
          <w:tab w:leader="none" w:pos="860" w:val="left"/>
        </w:tabs>
        <w:numPr>
          <w:ilvl w:val="0"/>
          <w:numId w:val="598"/>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17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3"/>
          <w:szCs w:val="13"/>
          <w:color w:val="auto"/>
        </w:rPr>
        <w:t>Party A hereby represents and warrants as follows:</w:t>
      </w:r>
    </w:p>
    <w:p>
      <w:pPr>
        <w:spacing w:after="0" w:line="191"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Party A is a company legally incorporated and validly existing under the laws of the PRC;</w:t>
      </w:r>
    </w:p>
    <w:p>
      <w:pPr>
        <w:spacing w:after="0" w:line="191" w:lineRule="exact"/>
        <w:rPr>
          <w:sz w:val="20"/>
          <w:szCs w:val="20"/>
          <w:color w:val="auto"/>
        </w:rPr>
      </w:pPr>
    </w:p>
    <w:p>
      <w:pPr>
        <w:ind w:left="2580" w:right="240" w:hanging="858"/>
        <w:spacing w:after="0" w:line="254"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Party A shall perform this Agreement within its corporate power and business scope, has obtained any necessary corporate authorizations and consents and approvals from any third party and government departments and has not breached any legal or contractual restrictions that are binding or influential on it; and</w:t>
      </w:r>
    </w:p>
    <w:p>
      <w:pPr>
        <w:spacing w:after="0" w:line="139"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This Agreement shall constitute a legal, effective, binding and enforceable legal document for Party A once signed.</w:t>
      </w:r>
    </w:p>
    <w:p>
      <w:pPr>
        <w:spacing w:after="0" w:line="19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3"/>
          <w:szCs w:val="13"/>
          <w:color w:val="auto"/>
        </w:rPr>
        <w:t>Party B and Party B’s Subsidiaries hereby represent and warrant as follows:</w:t>
      </w:r>
    </w:p>
    <w:p>
      <w:pPr>
        <w:spacing w:after="0" w:line="191"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Party B and Party B’s Subsidiaries are legal persons legally incorporated and validly existing under the laws of the PRC;</w:t>
      </w:r>
    </w:p>
    <w:p>
      <w:pPr>
        <w:spacing w:after="0" w:line="191" w:lineRule="exact"/>
        <w:rPr>
          <w:sz w:val="20"/>
          <w:szCs w:val="20"/>
          <w:color w:val="auto"/>
        </w:rPr>
      </w:pPr>
    </w:p>
    <w:p>
      <w:pPr>
        <w:jc w:val="both"/>
        <w:ind w:left="2580" w:right="80" w:hanging="858"/>
        <w:spacing w:after="0" w:line="304" w:lineRule="auto"/>
        <w:tabs>
          <w:tab w:leader="none" w:pos="25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Party B and Party B’s Subsidiaries shall sign and perform this Agreement within their corporate power and business scope, have obtained any necessary corporate authorizations and consents and approvals from any third party or government departments and have not breached any legal or contractual restrictions that are binding or influential on it; and</w:t>
      </w:r>
    </w:p>
    <w:p>
      <w:pPr>
        <w:spacing w:after="0" w:line="104" w:lineRule="exact"/>
        <w:rPr>
          <w:sz w:val="20"/>
          <w:szCs w:val="20"/>
          <w:color w:val="auto"/>
        </w:rPr>
      </w:pPr>
    </w:p>
    <w:p>
      <w:pPr>
        <w:jc w:val="both"/>
        <w:ind w:left="2580" w:right="80" w:hanging="858"/>
        <w:spacing w:after="0" w:line="264" w:lineRule="auto"/>
        <w:tabs>
          <w:tab w:leader="none" w:pos="256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This Agreement shall constitute a legal, effective, binding and enforceable legal document for Party B and Party B’s Subsidiaries once signed.</w:t>
      </w:r>
    </w:p>
    <w:p>
      <w:pPr>
        <w:spacing w:after="0" w:line="127" w:lineRule="exact"/>
        <w:rPr>
          <w:sz w:val="20"/>
          <w:szCs w:val="20"/>
          <w:color w:val="auto"/>
        </w:rPr>
      </w:pPr>
    </w:p>
    <w:p>
      <w:pPr>
        <w:ind w:left="860" w:hanging="860"/>
        <w:spacing w:after="0"/>
        <w:tabs>
          <w:tab w:leader="none" w:pos="860" w:val="left"/>
        </w:tabs>
        <w:numPr>
          <w:ilvl w:val="0"/>
          <w:numId w:val="599"/>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4.1</w:t>
            </w:r>
          </w:p>
        </w:tc>
        <w:tc>
          <w:tcPr>
            <w:tcW w:w="9780" w:type="dxa"/>
            <w:vAlign w:val="bottom"/>
          </w:tcPr>
          <w:p>
            <w:pPr>
              <w:ind w:left="320"/>
              <w:spacing w:after="0"/>
              <w:rPr>
                <w:sz w:val="20"/>
                <w:szCs w:val="20"/>
                <w:color w:val="auto"/>
              </w:rPr>
            </w:pPr>
            <w:r>
              <w:rPr>
                <w:rFonts w:ascii="Arial" w:cs="Arial" w:eastAsia="Arial" w:hAnsi="Arial"/>
                <w:sz w:val="17"/>
                <w:szCs w:val="17"/>
                <w:color w:val="auto"/>
                <w:w w:val="92"/>
              </w:rPr>
              <w:t>The Parties agree that they shall try to take all reasonable security measures to keep in confidence any confidential data and information</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0"/>
              </w:rPr>
              <w:t>(hereinafter referred to as “Confidential Information”, the providing party of such data and information shall clearly notify in writing that such</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5"/>
              </w:rPr>
              <w:t>data and information shall be the Confidential Information when providing them) known or accessed by them due to the signing and</w:t>
            </w:r>
          </w:p>
        </w:tc>
      </w:tr>
      <w:tr>
        <w:trPr>
          <w:trHeight w:val="199"/>
        </w:trPr>
        <w:tc>
          <w:tcPr>
            <w:tcW w:w="540" w:type="dxa"/>
            <w:vAlign w:val="bottom"/>
          </w:tcPr>
          <w:p>
            <w:pPr>
              <w:spacing w:after="0"/>
              <w:rPr>
                <w:sz w:val="17"/>
                <w:szCs w:val="17"/>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93"/>
              </w:rPr>
              <w:t>performance of this Agreement. Without the prior written consent of the Confidential Information provider, such Confidential Information</w:t>
            </w:r>
          </w:p>
        </w:tc>
      </w:tr>
      <w:tr>
        <w:trPr>
          <w:trHeight w:val="212"/>
        </w:trPr>
        <w:tc>
          <w:tcPr>
            <w:tcW w:w="5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7"/>
                <w:szCs w:val="17"/>
                <w:color w:val="auto"/>
                <w:w w:val="89"/>
              </w:rPr>
              <w:t>shall not be disclosed, provided or transferred to any third party (including any merger of the receiving party of such Confidential Information</w:t>
            </w:r>
          </w:p>
        </w:tc>
      </w:tr>
    </w:tbl>
    <w:p>
      <w:pPr>
        <w:ind w:left="1720" w:right="20"/>
        <w:spacing w:after="0" w:line="264" w:lineRule="auto"/>
        <w:rPr>
          <w:sz w:val="20"/>
          <w:szCs w:val="20"/>
          <w:color w:val="auto"/>
        </w:rPr>
      </w:pPr>
      <w:r>
        <w:rPr>
          <w:rFonts w:ascii="Arial" w:cs="Arial" w:eastAsia="Arial" w:hAnsi="Arial"/>
          <w:sz w:val="16"/>
          <w:szCs w:val="16"/>
          <w:color w:val="auto"/>
        </w:rPr>
        <w:t>with or into any third party, and any direct or indirect control thereof by any third party). Once this Agreement is terminated, Party A and Party B and Party B’s Subsidiaries shall return any documents, data or software containing any Confidential Information to the original owner or providing party of such Confidential Information or destroy them with the consent of the original owner or provider, including removing any Confidential Information from any related memory devices and shall not continue to use these Confidential Information. Party A and Party B and Party B’s Subsidiaries shall take any necessary measures to disclose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184390" cy="4127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6" w:name="page527"/>
    <w:bookmarkEnd w:id="526"/>
    <w:p>
      <w:pPr>
        <w:ind w:left="1720" w:right="80"/>
        <w:spacing w:after="0" w:line="272" w:lineRule="auto"/>
        <w:rPr>
          <w:sz w:val="20"/>
          <w:szCs w:val="20"/>
          <w:color w:val="auto"/>
        </w:rPr>
      </w:pPr>
      <w:r>
        <w:rPr>
          <w:rFonts w:ascii="Arial" w:cs="Arial" w:eastAsia="Arial" w:hAnsi="Arial"/>
          <w:sz w:val="16"/>
          <w:szCs w:val="16"/>
          <w:color w:val="auto"/>
        </w:rPr>
        <w:t>Confidential Information only to any staff members, agents or professional advisors of Party B and Party B’s Subsidiaries who need to know such Confidential Information and to cause such staff members, agents or professional advisors of Party B and Party B’s Subsidiaries to comply with any confidentiality obligations under this Agreement. Party A, Party B and Party B’s Subsidiaries and such staff members, agents or professional advisors of Party B and Party B’s Subsidiaries shall sign a specific non-disclosure agreement.</w:t>
      </w:r>
    </w:p>
    <w:p>
      <w:pPr>
        <w:spacing w:after="0" w:line="125"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No restrictions mentioned above shall apply to:</w:t>
      </w:r>
    </w:p>
    <w:p>
      <w:pPr>
        <w:spacing w:after="0" w:line="191"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5"/>
          <w:szCs w:val="15"/>
          <w:color w:val="auto"/>
        </w:rPr>
        <w:t>any information that has become generally available to the public at the time of disclosure;</w:t>
      </w:r>
    </w:p>
    <w:p>
      <w:pPr>
        <w:spacing w:after="0" w:line="191" w:lineRule="exact"/>
        <w:rPr>
          <w:sz w:val="20"/>
          <w:szCs w:val="20"/>
          <w:color w:val="auto"/>
        </w:rPr>
      </w:pPr>
    </w:p>
    <w:p>
      <w:pPr>
        <w:ind w:left="2580" w:right="540" w:hanging="858"/>
        <w:spacing w:after="0" w:line="264" w:lineRule="auto"/>
        <w:tabs>
          <w:tab w:leader="none" w:pos="25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any information that has become generally available to the public after disclosure through no fault of the receiving party of Confidential Information;</w:t>
      </w:r>
    </w:p>
    <w:p>
      <w:pPr>
        <w:spacing w:after="0" w:line="131" w:lineRule="exact"/>
        <w:rPr>
          <w:sz w:val="20"/>
          <w:szCs w:val="20"/>
          <w:color w:val="auto"/>
        </w:rPr>
      </w:pPr>
    </w:p>
    <w:p>
      <w:pPr>
        <w:ind w:left="2580" w:right="520" w:hanging="858"/>
        <w:spacing w:after="0" w:line="254" w:lineRule="auto"/>
        <w:tabs>
          <w:tab w:leader="none" w:pos="256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any information that can be proved by the receiving party of Confidential Information to have been in the possession of the receiving party before disclosure and not to be directly or indirectly received from the providing party of Confidential Information; and</w:t>
      </w:r>
    </w:p>
    <w:p>
      <w:pPr>
        <w:spacing w:after="0" w:line="139" w:lineRule="exact"/>
        <w:rPr>
          <w:sz w:val="20"/>
          <w:szCs w:val="20"/>
          <w:color w:val="auto"/>
        </w:rPr>
      </w:pPr>
    </w:p>
    <w:p>
      <w:pPr>
        <w:ind w:left="2580" w:right="120" w:hanging="858"/>
        <w:spacing w:after="0" w:line="304" w:lineRule="auto"/>
        <w:tabs>
          <w:tab w:leader="none" w:pos="256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5"/>
          <w:szCs w:val="15"/>
          <w:color w:val="auto"/>
        </w:rPr>
        <w:t>any information required by law to be disclosed by the receiving party of Confidential Information to the relevant government departments, stock exchange and other institutions, or any of the above Confidential Information disclosed by the receiving party of Confidential Information to its direct legal advisors and financial consultants due to its normal business needs.</w:t>
      </w:r>
    </w:p>
    <w:p>
      <w:pPr>
        <w:spacing w:after="0" w:line="104"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3"/>
          <w:szCs w:val="13"/>
          <w:color w:val="auto"/>
        </w:rPr>
        <w:t>The Parties hereto agree that, whether this Agreement is modified, canceled or terminated, these provisions hereof shall remain in force.</w:t>
      </w:r>
    </w:p>
    <w:p>
      <w:pPr>
        <w:spacing w:after="0" w:line="187" w:lineRule="exact"/>
        <w:rPr>
          <w:sz w:val="20"/>
          <w:szCs w:val="20"/>
          <w:color w:val="auto"/>
        </w:rPr>
      </w:pPr>
    </w:p>
    <w:p>
      <w:pPr>
        <w:ind w:left="860" w:hanging="860"/>
        <w:spacing w:after="0"/>
        <w:tabs>
          <w:tab w:leader="none" w:pos="860" w:val="left"/>
        </w:tabs>
        <w:numPr>
          <w:ilvl w:val="0"/>
          <w:numId w:val="600"/>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Except as otherwise stipulated herein, if any Party fails to fully perform or suspends the performance of its obligations under this Agreement,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and such party fails to correct the above acts within Ten (10) days from receipt of a notice from the other party or makes any untrue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representations and warranties, such party shall be deemed to have breached this Agreement.</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any Party hereto breaches this Agreement or any representations and warranties made by such party in this Agreement, the non-breaching</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party may notify in writing the breaching party of correcting such breach within Ten (10) days from receipt of a notice, taking appropriate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measures to effectively and promptly avoid any damage and continuing to perform this Agreement. In case of any damage arising out of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breach, the breaching party shall make compensation to the non-breaching party to enable the non-breaching party to obtain all rights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interests that should have been obtained during the performance of this Agreement.</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5.3</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If any breach of this Agreement by any Party hereto renders the other party to bear any costs and liabilities or suffer any losses (including but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not limited to any loss of profits), the breaching party shall make compensation to the non-breaching party in respect of any of the above costs,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7"/>
              </w:rPr>
              <w:t>liabilities or losses (including but not limited to any interest payment or loss and lawyer’s fees arising out of such breach). The total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compensatory payment paid by the breaching party to the non-breaching party shall be the same as the losses arising out of such breach,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the above compensatory payment shall include any interests that should have been obtained by the non-breaching party in the event that the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Parties hereto normally perform this Agreement, provided that such compensatory payment shall not exceed any losses reasonably expected by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the Parties hereto at the time of the conclusion of this Agreement that may be caused by such breach of this Agreement.</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5.4</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and Party B’s Subsidiaries shall bear full responsibility for any claims made by any third party arising out of any failure by Party B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B’s Subsidiaries to carry on their business according to Party A’s instructions or any improper use of Party A’s intellectual property rights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or</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527" w:name="page528"/>
    <w:bookmarkEnd w:id="527"/>
    <w:tbl>
      <w:tblPr>
        <w:tblLayout w:type="fixed"/>
        <w:tblInd w:w="860"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9660" w:type="dxa"/>
            <w:vAlign w:val="bottom"/>
          </w:tcPr>
          <w:p>
            <w:pPr>
              <w:ind w:left="320"/>
              <w:spacing w:after="0"/>
              <w:rPr>
                <w:sz w:val="20"/>
                <w:szCs w:val="20"/>
                <w:color w:val="auto"/>
              </w:rPr>
            </w:pPr>
            <w:r>
              <w:rPr>
                <w:rFonts w:ascii="Arial" w:cs="Arial" w:eastAsia="Arial" w:hAnsi="Arial"/>
                <w:sz w:val="17"/>
                <w:szCs w:val="17"/>
                <w:color w:val="auto"/>
                <w:w w:val="91"/>
              </w:rPr>
              <w:t>any improper technical operation. If Party B and Party B’s Subsidiaries find that any third party uses any of Party A’s intellectual property</w:t>
            </w:r>
          </w:p>
        </w:tc>
      </w:tr>
      <w:tr>
        <w:trPr>
          <w:trHeight w:val="199"/>
        </w:trPr>
        <w:tc>
          <w:tcPr>
            <w:tcW w:w="540" w:type="dxa"/>
            <w:vAlign w:val="bottom"/>
          </w:tcPr>
          <w:p>
            <w:pPr>
              <w:spacing w:after="0"/>
              <w:rPr>
                <w:sz w:val="17"/>
                <w:szCs w:val="17"/>
                <w:color w:val="auto"/>
              </w:rPr>
            </w:pPr>
          </w:p>
        </w:tc>
        <w:tc>
          <w:tcPr>
            <w:tcW w:w="9660" w:type="dxa"/>
            <w:vAlign w:val="bottom"/>
          </w:tcPr>
          <w:p>
            <w:pPr>
              <w:ind w:left="320"/>
              <w:spacing w:after="0"/>
              <w:rPr>
                <w:sz w:val="20"/>
                <w:szCs w:val="20"/>
                <w:color w:val="auto"/>
              </w:rPr>
            </w:pPr>
            <w:r>
              <w:rPr>
                <w:rFonts w:ascii="Arial" w:cs="Arial" w:eastAsia="Arial" w:hAnsi="Arial"/>
                <w:sz w:val="17"/>
                <w:szCs w:val="17"/>
                <w:color w:val="auto"/>
                <w:w w:val="92"/>
              </w:rPr>
              <w:t>rights without the legal authorization, Party B and Party B’s Subsidiaries shall immediately notify Party A and cooperate with Party A in</w:t>
            </w:r>
          </w:p>
        </w:tc>
      </w:tr>
      <w:tr>
        <w:trPr>
          <w:trHeight w:val="212"/>
        </w:trPr>
        <w:tc>
          <w:tcPr>
            <w:tcW w:w="54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7"/>
                <w:szCs w:val="17"/>
                <w:color w:val="auto"/>
              </w:rPr>
              <w:t>taking any actions.</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5.5</w:t>
            </w:r>
          </w:p>
        </w:tc>
        <w:tc>
          <w:tcPr>
            <w:tcW w:w="9660" w:type="dxa"/>
            <w:vAlign w:val="bottom"/>
          </w:tcPr>
          <w:p>
            <w:pPr>
              <w:ind w:left="320"/>
              <w:spacing w:after="0"/>
              <w:rPr>
                <w:sz w:val="20"/>
                <w:szCs w:val="20"/>
                <w:color w:val="auto"/>
              </w:rPr>
            </w:pPr>
            <w:r>
              <w:rPr>
                <w:rFonts w:ascii="Arial" w:cs="Arial" w:eastAsia="Arial" w:hAnsi="Arial"/>
                <w:sz w:val="17"/>
                <w:szCs w:val="17"/>
                <w:color w:val="auto"/>
                <w:w w:val="87"/>
              </w:rPr>
              <w:t>If both of the Parties hereto breach this Agreement, the respective amount of compensation payable by the Parties hereto shall be determined</w:t>
            </w:r>
          </w:p>
        </w:tc>
      </w:tr>
      <w:tr>
        <w:trPr>
          <w:trHeight w:val="212"/>
        </w:trPr>
        <w:tc>
          <w:tcPr>
            <w:tcW w:w="54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7"/>
                <w:szCs w:val="17"/>
                <w:color w:val="auto"/>
              </w:rPr>
              <w:t>according to the degree of their respective breach.</w:t>
            </w:r>
          </w:p>
        </w:tc>
      </w:tr>
    </w:tbl>
    <w:p>
      <w:pPr>
        <w:spacing w:after="0" w:line="145" w:lineRule="exact"/>
        <w:rPr>
          <w:sz w:val="20"/>
          <w:szCs w:val="20"/>
          <w:color w:val="auto"/>
        </w:rPr>
      </w:pPr>
    </w:p>
    <w:p>
      <w:pPr>
        <w:ind w:left="860" w:hanging="860"/>
        <w:spacing w:after="0"/>
        <w:tabs>
          <w:tab w:leader="none" w:pos="860" w:val="left"/>
        </w:tabs>
        <w:numPr>
          <w:ilvl w:val="0"/>
          <w:numId w:val="601"/>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Performance and Term</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6.1</w:t>
            </w:r>
          </w:p>
        </w:tc>
        <w:tc>
          <w:tcPr>
            <w:tcW w:w="9580" w:type="dxa"/>
            <w:vAlign w:val="bottom"/>
          </w:tcPr>
          <w:p>
            <w:pPr>
              <w:ind w:left="320"/>
              <w:spacing w:after="0"/>
              <w:rPr>
                <w:sz w:val="20"/>
                <w:szCs w:val="20"/>
                <w:color w:val="auto"/>
              </w:rPr>
            </w:pPr>
            <w:r>
              <w:rPr>
                <w:rFonts w:ascii="Arial" w:cs="Arial" w:eastAsia="Arial" w:hAnsi="Arial"/>
                <w:sz w:val="17"/>
                <w:szCs w:val="17"/>
                <w:color w:val="auto"/>
              </w:rPr>
              <w:t>This Agreement shall be signed on the date first above written and become effective at the same time.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6.2</w:t>
            </w:r>
          </w:p>
        </w:tc>
        <w:tc>
          <w:tcPr>
            <w:tcW w:w="958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copies.</w:t>
            </w:r>
          </w:p>
        </w:tc>
      </w:tr>
      <w:tr>
        <w:trPr>
          <w:trHeight w:val="37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6.3</w:t>
            </w:r>
          </w:p>
        </w:tc>
        <w:tc>
          <w:tcPr>
            <w:tcW w:w="9580" w:type="dxa"/>
            <w:vAlign w:val="bottom"/>
          </w:tcPr>
          <w:p>
            <w:pPr>
              <w:ind w:left="320"/>
              <w:spacing w:after="0"/>
              <w:rPr>
                <w:sz w:val="20"/>
                <w:szCs w:val="20"/>
                <w:color w:val="auto"/>
              </w:rPr>
            </w:pPr>
            <w:r>
              <w:rPr>
                <w:rFonts w:ascii="Arial" w:cs="Arial" w:eastAsia="Arial" w:hAnsi="Arial"/>
                <w:sz w:val="17"/>
                <w:szCs w:val="17"/>
                <w:color w:val="auto"/>
                <w:w w:val="89"/>
              </w:rPr>
              <w:t>Unless Party A cancels this Agreement in advance, the term of this Agreement shall be terminated upon dissolution of both of Party B and</w:t>
            </w:r>
          </w:p>
        </w:tc>
      </w:tr>
      <w:tr>
        <w:trPr>
          <w:trHeight w:val="199"/>
        </w:trPr>
        <w:tc>
          <w:tcPr>
            <w:tcW w:w="540" w:type="dxa"/>
            <w:vAlign w:val="bottom"/>
          </w:tcPr>
          <w:p>
            <w:pPr>
              <w:spacing w:after="0"/>
              <w:rPr>
                <w:sz w:val="17"/>
                <w:szCs w:val="17"/>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w w:val="88"/>
              </w:rPr>
              <w:t>Party B’s Subsidiaries in accordance with the laws of the PRC. Upon Party A’s request prior to the expiration of this Agreement, the Parties</w:t>
            </w:r>
          </w:p>
        </w:tc>
      </w:tr>
      <w:tr>
        <w:trPr>
          <w:trHeight w:val="199"/>
        </w:trPr>
        <w:tc>
          <w:tcPr>
            <w:tcW w:w="540" w:type="dxa"/>
            <w:vAlign w:val="bottom"/>
          </w:tcPr>
          <w:p>
            <w:pPr>
              <w:spacing w:after="0"/>
              <w:rPr>
                <w:sz w:val="17"/>
                <w:szCs w:val="17"/>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w w:val="90"/>
              </w:rPr>
              <w:t>hereto shall either extend the term of this Agreement at Party A’s request so as to continue to perform this Agreement or sign a separate</w:t>
            </w:r>
          </w:p>
        </w:tc>
      </w:tr>
      <w:tr>
        <w:trPr>
          <w:trHeight w:val="212"/>
        </w:trPr>
        <w:tc>
          <w:tcPr>
            <w:tcW w:w="54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7"/>
                <w:szCs w:val="17"/>
                <w:color w:val="auto"/>
              </w:rPr>
              <w:t>exclusive technical consultation and service agreement at Party A’s request.</w:t>
            </w:r>
          </w:p>
        </w:tc>
      </w:tr>
    </w:tbl>
    <w:p>
      <w:pPr>
        <w:spacing w:after="0" w:line="145" w:lineRule="exact"/>
        <w:rPr>
          <w:sz w:val="20"/>
          <w:szCs w:val="20"/>
          <w:color w:val="auto"/>
        </w:rPr>
      </w:pPr>
    </w:p>
    <w:p>
      <w:pPr>
        <w:ind w:left="860" w:hanging="860"/>
        <w:spacing w:after="0"/>
        <w:tabs>
          <w:tab w:leader="none" w:pos="860" w:val="left"/>
        </w:tabs>
        <w:numPr>
          <w:ilvl w:val="0"/>
          <w:numId w:val="602"/>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7.1</w:t>
            </w:r>
          </w:p>
        </w:tc>
        <w:tc>
          <w:tcPr>
            <w:tcW w:w="9740" w:type="dxa"/>
            <w:vAlign w:val="bottom"/>
          </w:tcPr>
          <w:p>
            <w:pPr>
              <w:ind w:left="320"/>
              <w:spacing w:after="0"/>
              <w:rPr>
                <w:sz w:val="20"/>
                <w:szCs w:val="20"/>
                <w:color w:val="auto"/>
              </w:rPr>
            </w:pPr>
            <w:r>
              <w:rPr>
                <w:rFonts w:ascii="Arial" w:cs="Arial" w:eastAsia="Arial" w:hAnsi="Arial"/>
                <w:sz w:val="17"/>
                <w:szCs w:val="17"/>
                <w:color w:val="auto"/>
                <w:w w:val="94"/>
              </w:rPr>
              <w:t>Unless renewed according to the relevant provisions hereof, this Agreement shall be terminated on the expiry date of the term of this</w:t>
            </w:r>
          </w:p>
        </w:tc>
      </w:tr>
      <w:tr>
        <w:trPr>
          <w:trHeight w:val="212"/>
        </w:trPr>
        <w:tc>
          <w:tcPr>
            <w:tcW w:w="5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rPr>
              <w:t>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7.2</w:t>
            </w:r>
          </w:p>
        </w:tc>
        <w:tc>
          <w:tcPr>
            <w:tcW w:w="9740" w:type="dxa"/>
            <w:vAlign w:val="bottom"/>
          </w:tcPr>
          <w:p>
            <w:pPr>
              <w:ind w:left="320"/>
              <w:spacing w:after="0"/>
              <w:rPr>
                <w:sz w:val="20"/>
                <w:szCs w:val="20"/>
                <w:color w:val="auto"/>
              </w:rPr>
            </w:pPr>
            <w:r>
              <w:rPr>
                <w:rFonts w:ascii="Arial" w:cs="Arial" w:eastAsia="Arial" w:hAnsi="Arial"/>
                <w:sz w:val="17"/>
                <w:szCs w:val="17"/>
                <w:color w:val="auto"/>
                <w:w w:val="87"/>
              </w:rPr>
              <w:t>The Parties hereto may terminate this Agreement upon consensus through consultation. Party B and Party B’s Subsidiaries shall not terminate</w:t>
            </w:r>
          </w:p>
        </w:tc>
      </w:tr>
      <w:tr>
        <w:trPr>
          <w:trHeight w:val="199"/>
        </w:trPr>
        <w:tc>
          <w:tcPr>
            <w:tcW w:w="540" w:type="dxa"/>
            <w:vAlign w:val="bottom"/>
          </w:tcPr>
          <w:p>
            <w:pPr>
              <w:spacing w:after="0"/>
              <w:rPr>
                <w:sz w:val="17"/>
                <w:szCs w:val="17"/>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w w:val="94"/>
              </w:rPr>
              <w:t>this Agreement within the term of this Agreement without the written consent of Party A. Party A shall have the right to terminate this</w:t>
            </w:r>
          </w:p>
        </w:tc>
      </w:tr>
      <w:tr>
        <w:trPr>
          <w:trHeight w:val="212"/>
        </w:trPr>
        <w:tc>
          <w:tcPr>
            <w:tcW w:w="5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7"/>
                <w:szCs w:val="17"/>
                <w:color w:val="auto"/>
                <w:w w:val="97"/>
              </w:rPr>
              <w:t>Agreement at any time by giving a written notice to Party B, Party B's Subsidiaries and shareholders Thirty (30) days in advance.</w:t>
            </w:r>
          </w:p>
        </w:tc>
      </w:tr>
      <w:tr>
        <w:trPr>
          <w:trHeight w:val="36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7.3</w:t>
            </w:r>
          </w:p>
        </w:tc>
        <w:tc>
          <w:tcPr>
            <w:tcW w:w="9740" w:type="dxa"/>
            <w:vAlign w:val="bottom"/>
          </w:tcPr>
          <w:p>
            <w:pPr>
              <w:ind w:left="320"/>
              <w:spacing w:after="0"/>
              <w:rPr>
                <w:sz w:val="20"/>
                <w:szCs w:val="20"/>
                <w:color w:val="auto"/>
              </w:rPr>
            </w:pPr>
            <w:r>
              <w:rPr>
                <w:rFonts w:ascii="Arial" w:cs="Arial" w:eastAsia="Arial" w:hAnsi="Arial"/>
                <w:sz w:val="17"/>
                <w:szCs w:val="17"/>
                <w:color w:val="auto"/>
                <w:w w:val="97"/>
              </w:rPr>
              <w:t>Any rights and obligations of the Parties hereto under the Articles 4 and 5 hereof shall survive the termination of this Agreement.</w:t>
            </w:r>
          </w:p>
        </w:tc>
      </w:tr>
    </w:tbl>
    <w:p>
      <w:pPr>
        <w:spacing w:after="0" w:line="170" w:lineRule="exact"/>
        <w:rPr>
          <w:sz w:val="20"/>
          <w:szCs w:val="20"/>
          <w:color w:val="auto"/>
        </w:rPr>
      </w:pPr>
    </w:p>
    <w:p>
      <w:pPr>
        <w:ind w:left="860" w:hanging="860"/>
        <w:spacing w:after="0"/>
        <w:tabs>
          <w:tab w:leader="none" w:pos="860" w:val="left"/>
        </w:tabs>
        <w:numPr>
          <w:ilvl w:val="0"/>
          <w:numId w:val="603"/>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resolve such disputes through consultation in good faith. If such disputes cannot be resolved through consultation, any Party may submit such</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disputes to China International Economic and Trade Arbitration Commission for resolution by arbitration in accordance with the existing</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proceedings shall be Chinese. Any arbitral award shall be final and binding upon the Parties. No provisions of this Article shall be affected by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any termination or cancellation of this Agreement.</w:t>
            </w:r>
          </w:p>
        </w:tc>
      </w:tr>
      <w:tr>
        <w:trPr>
          <w:trHeight w:val="34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8.2</w:t>
            </w: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Agreement based on the principle of good faith.</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528" w:name="page529"/>
    <w:bookmarkEnd w:id="528"/>
    <w:p>
      <w:pPr>
        <w:ind w:left="860" w:hanging="860"/>
        <w:spacing w:after="0"/>
        <w:tabs>
          <w:tab w:leader="none" w:pos="860" w:val="left"/>
        </w:tabs>
        <w:numPr>
          <w:ilvl w:val="0"/>
          <w:numId w:val="604"/>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9.1</w:t>
            </w:r>
          </w:p>
        </w:tc>
        <w:tc>
          <w:tcPr>
            <w:tcW w:w="9800" w:type="dxa"/>
            <w:vAlign w:val="bottom"/>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Force Majeure Events</w:t>
            </w:r>
            <w:r>
              <w:rPr>
                <w:rFonts w:ascii="Arial" w:cs="Arial" w:eastAsia="Arial" w:hAnsi="Arial"/>
                <w:sz w:val="17"/>
                <w:szCs w:val="17"/>
                <w:color w:val="auto"/>
                <w:w w:val="94"/>
              </w:rPr>
              <w:t>” mean any events beyond the reasonable control of one party that are unavoidable by the affected party with</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0"/>
              </w:rPr>
              <w:t>reasonable care, including but not limited to any acts of government, natural force, fire, explosion, storm, flood, earthquake, tide, lightning or</w:t>
            </w:r>
          </w:p>
        </w:tc>
      </w:tr>
      <w:tr>
        <w:trPr>
          <w:trHeight w:val="195"/>
        </w:trPr>
        <w:tc>
          <w:tcPr>
            <w:tcW w:w="540" w:type="dxa"/>
            <w:vAlign w:val="bottom"/>
          </w:tcPr>
          <w:p>
            <w:pPr>
              <w:spacing w:after="0"/>
              <w:rPr>
                <w:sz w:val="16"/>
                <w:szCs w:val="16"/>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87"/>
              </w:rPr>
              <w:t>war, provided that any credit, capital or financing shortage shall not be deemed to be the event beyond the reasonable control of one party. The</w:t>
            </w:r>
          </w:p>
        </w:tc>
      </w:tr>
      <w:tr>
        <w:trPr>
          <w:trHeight w:val="203"/>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89"/>
              </w:rPr>
              <w:t>party affected by any Force Majeure Events (hereinafter referred to as “</w:t>
            </w:r>
            <w:r>
              <w:rPr>
                <w:rFonts w:ascii="Arial" w:cs="Arial" w:eastAsia="Arial" w:hAnsi="Arial"/>
                <w:sz w:val="17"/>
                <w:szCs w:val="17"/>
                <w:b w:val="1"/>
                <w:bCs w:val="1"/>
                <w:color w:val="auto"/>
                <w:w w:val="89"/>
              </w:rPr>
              <w:t>Affected Party</w:t>
            </w:r>
            <w:r>
              <w:rPr>
                <w:rFonts w:ascii="Arial" w:cs="Arial" w:eastAsia="Arial" w:hAnsi="Arial"/>
                <w:sz w:val="17"/>
                <w:szCs w:val="17"/>
                <w:color w:val="auto"/>
                <w:w w:val="89"/>
              </w:rPr>
              <w:t>”) shall be exempted from its responsibility in whole or</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3"/>
              </w:rPr>
              <w:t>in part according to the effects of such Force Majeure Events on this Agreement, and the Affected Party who seeks exemption from its</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2"/>
              </w:rPr>
              <w:t>responsibility for the performance of this Agreement due to such Force Majeure Events shall notify the other party of such Force Majeure</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87"/>
              </w:rPr>
              <w:t>Events not later than Ten (10) days after occurrence of such Force Majeure Events so that the Parties hereto negotiate about the amendment to</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0"/>
              </w:rPr>
              <w:t>this Agreement according to the effects of such Force Majeure Events and exempt in whole or in part the Affected Party from its obligations</w:t>
            </w:r>
          </w:p>
        </w:tc>
      </w:tr>
      <w:tr>
        <w:trPr>
          <w:trHeight w:val="212"/>
        </w:trPr>
        <w:tc>
          <w:tcPr>
            <w:tcW w:w="540" w:type="dxa"/>
            <w:vAlign w:val="bottom"/>
          </w:tcPr>
          <w:p>
            <w:pPr>
              <w:spacing w:after="0"/>
              <w:rPr>
                <w:sz w:val="18"/>
                <w:szCs w:val="18"/>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rPr>
              <w:t>under this Agreement.</w:t>
            </w:r>
          </w:p>
        </w:tc>
      </w:tr>
      <w:tr>
        <w:trPr>
          <w:trHeight w:val="34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800" w:type="dxa"/>
            <w:vAlign w:val="bottom"/>
          </w:tcPr>
          <w:p>
            <w:pPr>
              <w:ind w:left="32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40" w:type="dxa"/>
            <w:vAlign w:val="bottom"/>
          </w:tcPr>
          <w:p>
            <w:pPr>
              <w:spacing w:after="0"/>
              <w:rPr>
                <w:sz w:val="17"/>
                <w:szCs w:val="17"/>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87"/>
              </w:rPr>
              <w:t>performance of its obligations delayed or hindered by such Force Majeure Events. Once such Force Majeure Events are eliminated, the Parties</w:t>
            </w:r>
          </w:p>
        </w:tc>
      </w:tr>
      <w:tr>
        <w:trPr>
          <w:trHeight w:val="212"/>
        </w:trPr>
        <w:tc>
          <w:tcPr>
            <w:tcW w:w="540" w:type="dxa"/>
            <w:vAlign w:val="bottom"/>
          </w:tcPr>
          <w:p>
            <w:pPr>
              <w:spacing w:after="0"/>
              <w:rPr>
                <w:sz w:val="18"/>
                <w:szCs w:val="18"/>
                <w:color w:val="auto"/>
              </w:rPr>
            </w:pPr>
          </w:p>
        </w:tc>
        <w:tc>
          <w:tcPr>
            <w:tcW w:w="9800" w:type="dxa"/>
            <w:vAlign w:val="bottom"/>
          </w:tcPr>
          <w:p>
            <w:pPr>
              <w:ind w:left="320"/>
              <w:spacing w:after="0"/>
              <w:rPr>
                <w:sz w:val="20"/>
                <w:szCs w:val="20"/>
                <w:color w:val="auto"/>
              </w:rPr>
            </w:pPr>
            <w:r>
              <w:rPr>
                <w:rFonts w:ascii="Arial" w:cs="Arial" w:eastAsia="Arial" w:hAnsi="Arial"/>
                <w:sz w:val="17"/>
                <w:szCs w:val="17"/>
                <w:color w:val="auto"/>
                <w:w w:val="98"/>
              </w:rPr>
              <w:t>hereto agree that they shall use their best efforts to restore the performance of their rights and obligations under this Agreement.</w:t>
            </w:r>
          </w:p>
        </w:tc>
      </w:tr>
    </w:tbl>
    <w:p>
      <w:pPr>
        <w:spacing w:after="0" w:line="145" w:lineRule="exact"/>
        <w:rPr>
          <w:sz w:val="20"/>
          <w:szCs w:val="20"/>
          <w:color w:val="auto"/>
        </w:rPr>
      </w:pPr>
    </w:p>
    <w:p>
      <w:pPr>
        <w:ind w:left="860" w:hanging="860"/>
        <w:spacing w:after="0"/>
        <w:tabs>
          <w:tab w:leader="none" w:pos="860" w:val="left"/>
        </w:tabs>
        <w:numPr>
          <w:ilvl w:val="0"/>
          <w:numId w:val="605"/>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7184390" cy="4127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9" w:name="page530"/>
    <w:bookmarkEnd w:id="529"/>
    <w:p>
      <w:pPr>
        <w:spacing w:after="0"/>
        <w:rPr>
          <w:sz w:val="20"/>
          <w:szCs w:val="20"/>
          <w:color w:val="auto"/>
        </w:rPr>
      </w:pPr>
      <w:r>
        <w:rPr>
          <w:rFonts w:ascii="Arial" w:cs="Arial" w:eastAsia="Arial" w:hAnsi="Arial"/>
          <w:sz w:val="17"/>
          <w:szCs w:val="17"/>
          <w:b w:val="1"/>
          <w:bCs w:val="1"/>
          <w:color w:val="auto"/>
        </w:rPr>
        <w:t>Party A</w:t>
      </w:r>
    </w:p>
    <w:p>
      <w:pPr>
        <w:spacing w:after="0" w:line="170" w:lineRule="exact"/>
        <w:rPr>
          <w:sz w:val="20"/>
          <w:szCs w:val="20"/>
          <w:color w:val="auto"/>
        </w:rPr>
      </w:pPr>
    </w:p>
    <w:p>
      <w:pPr>
        <w:ind w:right="2559"/>
        <w:spacing w:after="0" w:line="252" w:lineRule="auto"/>
        <w:rPr>
          <w:sz w:val="20"/>
          <w:szCs w:val="20"/>
          <w:color w:val="auto"/>
        </w:rPr>
      </w:pPr>
      <w:r>
        <w:rPr>
          <w:rFonts w:ascii="Arial" w:cs="Arial" w:eastAsia="Arial" w:hAnsi="Arial"/>
          <w:sz w:val="17"/>
          <w:szCs w:val="17"/>
          <w:color w:val="auto"/>
        </w:rPr>
        <w:t>Address: Building No. 6, Chaolai Science and Technology Park, Laiguangying, Chaoyang District, Beijing,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LIU Tongbo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and Party B's Subsidiaries</w:t>
      </w:r>
    </w:p>
    <w:p>
      <w:pPr>
        <w:spacing w:after="0" w:line="170" w:lineRule="exact"/>
        <w:rPr>
          <w:sz w:val="20"/>
          <w:szCs w:val="20"/>
          <w:color w:val="auto"/>
        </w:rPr>
      </w:pPr>
    </w:p>
    <w:p>
      <w:pPr>
        <w:ind w:right="3299"/>
        <w:spacing w:after="0" w:line="252" w:lineRule="auto"/>
        <w:rPr>
          <w:sz w:val="20"/>
          <w:szCs w:val="20"/>
          <w:color w:val="auto"/>
        </w:rPr>
      </w:pPr>
      <w:r>
        <w:rPr>
          <w:rFonts w:ascii="Arial" w:cs="Arial" w:eastAsia="Arial" w:hAnsi="Arial"/>
          <w:sz w:val="17"/>
          <w:szCs w:val="17"/>
          <w:color w:val="auto"/>
        </w:rPr>
        <w:t>Address: Room No. 103 (even), No. 90-96, Kexue grand avenue, Huangpu District, Guangzhou, China Tel.: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Attn.: LI Haohan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84390" cy="4127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30" w:name="page531"/>
    <w:bookmarkEnd w:id="530"/>
    <w:p>
      <w:pPr>
        <w:ind w:left="860" w:hanging="860"/>
        <w:spacing w:after="0"/>
        <w:tabs>
          <w:tab w:leader="none" w:pos="860" w:val="left"/>
        </w:tabs>
        <w:numPr>
          <w:ilvl w:val="0"/>
          <w:numId w:val="606"/>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Unless any Party hereto obtains the prior written consent of the other party, such party shall not assign to any third party its rights or obligations under this Agreement except that Party A assigns its obligations under this Agreement to its affiliates. For the purpose as set forth in this Agreement, the aforesaid “affiliates” mean any enterprises controlled by Party A, controlling Party A or under common control of any third party with Party A. For the purpose as set forth in this Article, “control” means any possession by an enterprise of its influence power to directly or indirectly decide on and/or control the operating management of another enterprise, whether such influence power is formed by holding any shares of the controlled enterprise or formed by any contractual arrangement with the controlled enterprise.</w:t>
      </w:r>
    </w:p>
    <w:p>
      <w:pPr>
        <w:spacing w:after="0" w:line="121" w:lineRule="exact"/>
        <w:rPr>
          <w:sz w:val="20"/>
          <w:szCs w:val="20"/>
          <w:color w:val="auto"/>
        </w:rPr>
      </w:pPr>
    </w:p>
    <w:p>
      <w:pPr>
        <w:ind w:left="860" w:hanging="860"/>
        <w:spacing w:after="0"/>
        <w:tabs>
          <w:tab w:leader="none" w:pos="860" w:val="left"/>
        </w:tabs>
        <w:numPr>
          <w:ilvl w:val="0"/>
          <w:numId w:val="607"/>
        </w:numPr>
        <w:rPr>
          <w:rFonts w:ascii="Arial" w:cs="Arial" w:eastAsia="Arial" w:hAnsi="Arial"/>
          <w:sz w:val="17"/>
          <w:szCs w:val="17"/>
          <w:b w:val="1"/>
          <w:bCs w:val="1"/>
          <w:color w:val="auto"/>
        </w:rPr>
      </w:pPr>
      <w:r>
        <w:rPr>
          <w:rFonts w:ascii="Arial" w:cs="Arial" w:eastAsia="Arial" w:hAnsi="Arial"/>
          <w:sz w:val="17"/>
          <w:szCs w:val="17"/>
          <w:b w:val="1"/>
          <w:bCs w:val="1"/>
          <w:color w:val="auto"/>
        </w:rPr>
        <w:t>Newly Added Party B’s Subsidiaries</w:t>
      </w:r>
    </w:p>
    <w:p>
      <w:pPr>
        <w:spacing w:after="0" w:line="170"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case of any newly added Party B’s Subsidiary at any time after the effective date of this Agreement, Party B shall urge such newly added Party B’s Subsidiary to sign a letter of acceptance of rights and obligations in such form and substance as shown in Annex III hereto and any other legal documents permitted or required by the laws of the PRC so as to enable such newly added Party B’s Subsidiary to join this Agreement and fully accept any obligations and rights to be assumed and enjoyed by Party B’s Subsidiaries under this Agreement. From the execution date of such letter of acceptance of rights and obligations and any other legal documents permitted or required by the laws of the PRC, such newly added Party B’s Subsidiaries shall be deemed to be a signatory to this Agreement. Any other Parties hereto hereby agree to and fully accept the foregoing arrangement.</w:t>
      </w:r>
    </w:p>
    <w:p>
      <w:pPr>
        <w:spacing w:after="0" w:line="126" w:lineRule="exact"/>
        <w:rPr>
          <w:sz w:val="20"/>
          <w:szCs w:val="20"/>
          <w:color w:val="auto"/>
        </w:rPr>
      </w:pPr>
    </w:p>
    <w:p>
      <w:pPr>
        <w:ind w:left="860" w:hanging="860"/>
        <w:spacing w:after="0"/>
        <w:tabs>
          <w:tab w:leader="none" w:pos="860" w:val="left"/>
        </w:tabs>
        <w:numPr>
          <w:ilvl w:val="0"/>
          <w:numId w:val="608"/>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17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Parties hereby acknowledge that this Agreement shall be a fair and reasonable agreement reached by the Parties hereto on the basis of equality and mutual benefit. If any provisions of this Agreement are invalid or unenforceable due to any inconsistencies between such provisions and the relevant laws, such provisions shall be invalid or unenforceable only to the extent of jurisdiction of the relevant laws and shall not affect the legal effect of any other provisions of this Agreement.</w:t>
      </w:r>
    </w:p>
    <w:p>
      <w:pPr>
        <w:spacing w:after="0" w:line="100" w:lineRule="exact"/>
        <w:rPr>
          <w:sz w:val="20"/>
          <w:szCs w:val="20"/>
          <w:color w:val="auto"/>
        </w:rPr>
      </w:pPr>
    </w:p>
    <w:p>
      <w:pPr>
        <w:ind w:left="860" w:hanging="860"/>
        <w:spacing w:after="0"/>
        <w:tabs>
          <w:tab w:leader="none" w:pos="860" w:val="left"/>
        </w:tabs>
        <w:numPr>
          <w:ilvl w:val="0"/>
          <w:numId w:val="609"/>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Supplements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Parties hereto shall make in writing any amendments and supplements to this Agreement. Any amendment and supplementary agreements duly signed by the Parties in relation to this Agreement shall form an integral part of this Agreement and be equally authentic as this Agreement.</w:t>
      </w:r>
    </w:p>
    <w:p>
      <w:pPr>
        <w:spacing w:after="0" w:line="139" w:lineRule="exact"/>
        <w:rPr>
          <w:sz w:val="20"/>
          <w:szCs w:val="20"/>
          <w:color w:val="auto"/>
        </w:rPr>
      </w:pPr>
    </w:p>
    <w:p>
      <w:pPr>
        <w:ind w:left="860" w:hanging="860"/>
        <w:spacing w:after="0"/>
        <w:tabs>
          <w:tab w:leader="none" w:pos="860" w:val="left"/>
        </w:tabs>
        <w:numPr>
          <w:ilvl w:val="0"/>
          <w:numId w:val="610"/>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162" w:lineRule="exact"/>
        <w:rPr>
          <w:sz w:val="20"/>
          <w:szCs w:val="20"/>
          <w:color w:val="auto"/>
        </w:rPr>
      </w:pPr>
    </w:p>
    <w:p>
      <w:pPr>
        <w:ind w:left="860" w:hanging="860"/>
        <w:spacing w:after="0"/>
        <w:tabs>
          <w:tab w:leader="none" w:pos="860" w:val="left"/>
        </w:tabs>
        <w:numPr>
          <w:ilvl w:val="0"/>
          <w:numId w:val="611"/>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170" w:lineRule="exact"/>
        <w:rPr>
          <w:sz w:val="20"/>
          <w:szCs w:val="20"/>
          <w:color w:val="auto"/>
        </w:rPr>
      </w:pPr>
    </w:p>
    <w:p>
      <w:pPr>
        <w:ind w:right="460"/>
        <w:spacing w:after="0" w:line="254" w:lineRule="auto"/>
        <w:rPr>
          <w:sz w:val="20"/>
          <w:szCs w:val="20"/>
          <w:color w:val="auto"/>
        </w:rPr>
      </w:pPr>
      <w:r>
        <w:rPr>
          <w:rFonts w:ascii="Arial" w:cs="Arial" w:eastAsia="Arial" w:hAnsi="Arial"/>
          <w:sz w:val="17"/>
          <w:szCs w:val="17"/>
          <w:color w:val="auto"/>
        </w:rPr>
        <w:t>Except for any written amendments, supplements or modifications to this Agreement after the signing of this Agreement, this Agreement shall constitute an entire agreement among the Parties hereto in respect of the subject matter of this Agreement and supersede all prior oral and written negotiations, representations and agreements among the Parties in respect of the subject matter of this Agreement.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authorized representative as of the date first above written.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is the signature page to the Exclusive Technical Consultation and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1" w:name="page532"/>
    <w:bookmarkEnd w:id="531"/>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Legal or Authorized Representative: </w:t>
      </w:r>
      <w:r>
        <w:rPr>
          <w:rFonts w:ascii="Arial" w:cs="Arial" w:eastAsia="Arial" w:hAnsi="Arial"/>
          <w:sz w:val="15"/>
          <w:szCs w:val="15"/>
          <w:u w:val="single" w:color="auto"/>
          <w:color w:val="auto"/>
        </w:rPr>
        <w:t>/s/ LIU Tongbo</w:t>
      </w:r>
      <w:r>
        <w:rPr>
          <w:rFonts w:ascii="Arial" w:cs="Arial" w:eastAsia="Arial" w:hAnsi="Arial"/>
          <w:sz w:val="15"/>
          <w:szCs w:val="15"/>
          <w:color w:val="auto"/>
        </w:rPr>
        <w:t xml:space="preserve"> (Seal)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Legal or Authorized Representative: /s/ LI Haohan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84390" cy="412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3">
                      <a:extLst>
                        <a:ext uri="{28A0092B-C50C-407E-A947-70E740481C1C}"/>
                      </a:extLst>
                    </a:blip>
                    <a:srcRect/>
                    <a:stretch>
                      <a:fillRect/>
                    </a:stretch>
                  </pic:blipFill>
                  <pic:spPr bwMode="auto">
                    <a:xfrm>
                      <a:off x="0" y="0"/>
                      <a:ext cx="7184390" cy="4127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-6350</wp:posOffset>
            </wp:positionV>
            <wp:extent cx="60579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4">
                      <a:extLst>
                        <a:ext uri="{28A0092B-C50C-407E-A947-70E740481C1C}"/>
                      </a:extLst>
                    </a:blip>
                    <a:srcRect/>
                    <a:stretch>
                      <a:fillRect/>
                    </a:stretch>
                  </pic:blipFill>
                  <pic:spPr bwMode="auto">
                    <a:xfrm>
                      <a:off x="0" y="0"/>
                      <a:ext cx="605790" cy="7620"/>
                    </a:xfrm>
                    <a:prstGeom prst="rect">
                      <a:avLst/>
                    </a:prstGeom>
                    <a:noFill/>
                  </pic:spPr>
                </pic:pic>
              </a:graphicData>
            </a:graphic>
          </wp:anchor>
        </w:drawing>
      </w:r>
    </w:p>
    <w:p>
      <w:pPr>
        <w:sectPr>
          <w:pgSz w:w="11900" w:h="16838" w:orient="portrait"/>
          <w:cols w:equalWidth="0" w:num="1">
            <w:col w:w="10139"/>
          </w:cols>
          <w:pgMar w:left="320" w:top="285" w:right="1440" w:bottom="1440" w:gutter="0" w:footer="0" w:header="0"/>
        </w:sectPr>
      </w:pPr>
    </w:p>
    <w:bookmarkStart w:id="532" w:name="page533"/>
    <w:bookmarkEnd w:id="532"/>
    <w:p>
      <w:pPr>
        <w:jc w:val="center"/>
        <w:ind w:right="-119"/>
        <w:spacing w:after="0"/>
        <w:rPr>
          <w:sz w:val="20"/>
          <w:szCs w:val="20"/>
          <w:color w:val="auto"/>
        </w:rPr>
      </w:pPr>
      <w:r>
        <w:rPr>
          <w:rFonts w:ascii="Arial" w:cs="Arial" w:eastAsia="Arial" w:hAnsi="Arial"/>
          <w:sz w:val="20"/>
          <w:szCs w:val="20"/>
          <w:b w:val="1"/>
          <w:bCs w:val="1"/>
          <w:color w:val="auto"/>
        </w:rPr>
        <w:t>Annex I List of Technical Consultation and Services</w:t>
      </w:r>
    </w:p>
    <w:p>
      <w:pPr>
        <w:spacing w:after="0" w:line="169" w:lineRule="exact"/>
        <w:rPr>
          <w:sz w:val="20"/>
          <w:szCs w:val="20"/>
          <w:color w:val="auto"/>
        </w:rPr>
      </w:pPr>
    </w:p>
    <w:p>
      <w:pPr>
        <w:ind w:left="860" w:hanging="860"/>
        <w:spacing w:after="0"/>
        <w:tabs>
          <w:tab w:leader="none" w:pos="8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Provide the development and research services.</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Provide website design and design, installation, commissioning and maintenance services of computer network systems.</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Provide database support and software services.</w:t>
      </w:r>
    </w:p>
    <w:p>
      <w:pPr>
        <w:spacing w:after="0" w:line="165" w:lineRule="exact"/>
        <w:rPr>
          <w:rFonts w:ascii="Arial" w:cs="Arial" w:eastAsia="Arial" w:hAnsi="Arial"/>
          <w:sz w:val="17"/>
          <w:szCs w:val="17"/>
          <w:color w:val="auto"/>
        </w:rPr>
      </w:pPr>
    </w:p>
    <w:p>
      <w:pPr>
        <w:ind w:left="860" w:hanging="860"/>
        <w:spacing w:after="0" w:line="264" w:lineRule="auto"/>
        <w:tabs>
          <w:tab w:leader="none" w:pos="8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Provide economic information consultation, project investment consultation, scientific and technological information consultation, enterprise management consultation and other consultation services.</w:t>
      </w:r>
    </w:p>
    <w:p>
      <w:pPr>
        <w:spacing w:after="0" w:line="130" w:lineRule="exact"/>
        <w:rPr>
          <w:rFonts w:ascii="Arial" w:cs="Arial" w:eastAsia="Arial" w:hAnsi="Arial"/>
          <w:sz w:val="17"/>
          <w:szCs w:val="17"/>
          <w:color w:val="auto"/>
        </w:rPr>
      </w:pPr>
    </w:p>
    <w:p>
      <w:pPr>
        <w:ind w:left="860" w:hanging="860"/>
        <w:spacing w:after="0"/>
        <w:tabs>
          <w:tab w:leader="none" w:pos="8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Provide pre-job training and in-service training services.</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Provide technical development, consultation and technology transfer services.</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Provide public relations services.</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Provide market survey and research services.</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Provide the services of developing medium and short term market development plans and market planning service.</w:t>
      </w:r>
    </w:p>
    <w:p>
      <w:pPr>
        <w:spacing w:after="0" w:line="165" w:lineRule="exact"/>
        <w:rPr>
          <w:rFonts w:ascii="Arial" w:cs="Arial" w:eastAsia="Arial" w:hAnsi="Arial"/>
          <w:sz w:val="17"/>
          <w:szCs w:val="17"/>
          <w:color w:val="auto"/>
        </w:rPr>
      </w:pPr>
    </w:p>
    <w:p>
      <w:pPr>
        <w:ind w:left="860" w:hanging="860"/>
        <w:spacing w:after="0"/>
        <w:tabs>
          <w:tab w:leader="none" w:pos="86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Provide technical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533" w:name="page534"/>
    <w:bookmarkEnd w:id="533"/>
    <w:p>
      <w:pPr>
        <w:jc w:val="center"/>
        <w:ind w:right="40"/>
        <w:spacing w:after="0"/>
        <w:rPr>
          <w:sz w:val="20"/>
          <w:szCs w:val="20"/>
          <w:color w:val="auto"/>
        </w:rPr>
      </w:pPr>
      <w:r>
        <w:rPr>
          <w:rFonts w:ascii="Arial" w:cs="Arial" w:eastAsia="Arial" w:hAnsi="Arial"/>
          <w:sz w:val="20"/>
          <w:szCs w:val="20"/>
          <w:b w:val="1"/>
          <w:bCs w:val="1"/>
          <w:color w:val="auto"/>
        </w:rPr>
        <w:t>Annex II Calculation and Payment Methods of Service Fees</w:t>
      </w:r>
    </w:p>
    <w:p>
      <w:pPr>
        <w:spacing w:after="0" w:line="169" w:lineRule="exact"/>
        <w:rPr>
          <w:sz w:val="20"/>
          <w:szCs w:val="20"/>
          <w:color w:val="auto"/>
        </w:rPr>
      </w:pPr>
    </w:p>
    <w:p>
      <w:pPr>
        <w:ind w:left="860" w:right="60" w:hanging="860"/>
        <w:spacing w:after="0" w:line="251" w:lineRule="auto"/>
        <w:tabs>
          <w:tab w:leader="none" w:pos="860" w:val="left"/>
        </w:tabs>
        <w:numPr>
          <w:ilvl w:val="0"/>
          <w:numId w:val="613"/>
        </w:numPr>
        <w:rPr>
          <w:rFonts w:ascii="Arial" w:cs="Arial" w:eastAsia="Arial" w:hAnsi="Arial"/>
          <w:sz w:val="17"/>
          <w:szCs w:val="17"/>
          <w:color w:val="auto"/>
        </w:rPr>
      </w:pPr>
      <w:r>
        <w:rPr>
          <w:rFonts w:ascii="Arial" w:cs="Arial" w:eastAsia="Arial" w:hAnsi="Arial"/>
          <w:sz w:val="17"/>
          <w:szCs w:val="17"/>
          <w:color w:val="auto"/>
        </w:rPr>
        <w:t>The Service Fees under this Agreement shall be calculated on the basis of 10% to 100% of the monthly total business income of Party B and/or Party B’s Subsidiaries, and the specific proportion of the above Service Fees (limited to 10% to 100%) shall be determined and notified in writing by Party A to Party B and/or Party B’s Subsidiaries according to the actual technical support service provided by Party A as required by Party B and/or Party B’s Subsidiaries and based on the number of persons and number of days invested by Party A.</w:t>
      </w:r>
    </w:p>
    <w:p>
      <w:pPr>
        <w:spacing w:after="0" w:line="141" w:lineRule="exact"/>
        <w:rPr>
          <w:sz w:val="20"/>
          <w:szCs w:val="20"/>
          <w:color w:val="auto"/>
        </w:rPr>
      </w:pPr>
    </w:p>
    <w:p>
      <w:pPr>
        <w:ind w:left="860" w:hanging="860"/>
        <w:spacing w:after="0"/>
        <w:tabs>
          <w:tab w:leader="none" w:pos="860" w:val="left"/>
        </w:tabs>
        <w:numPr>
          <w:ilvl w:val="0"/>
          <w:numId w:val="614"/>
        </w:numPr>
        <w:rPr>
          <w:rFonts w:ascii="Arial" w:cs="Arial" w:eastAsia="Arial" w:hAnsi="Arial"/>
          <w:sz w:val="17"/>
          <w:szCs w:val="17"/>
          <w:color w:val="auto"/>
        </w:rPr>
      </w:pPr>
      <w:r>
        <w:rPr>
          <w:rFonts w:ascii="Arial" w:cs="Arial" w:eastAsia="Arial" w:hAnsi="Arial"/>
          <w:sz w:val="17"/>
          <w:szCs w:val="17"/>
          <w:color w:val="auto"/>
        </w:rPr>
        <w:t>Party B shall determine the amount of Service Fees according to the following factors:</w:t>
      </w:r>
    </w:p>
    <w:p>
      <w:pPr>
        <w:spacing w:after="0" w:line="165" w:lineRule="exact"/>
        <w:rPr>
          <w:rFonts w:ascii="Arial" w:cs="Arial" w:eastAsia="Arial" w:hAnsi="Arial"/>
          <w:sz w:val="17"/>
          <w:szCs w:val="17"/>
          <w:color w:val="auto"/>
        </w:rPr>
      </w:pPr>
    </w:p>
    <w:p>
      <w:pPr>
        <w:ind w:left="1720" w:hanging="861"/>
        <w:spacing w:after="0"/>
        <w:tabs>
          <w:tab w:leader="none" w:pos="1720" w:val="left"/>
        </w:tabs>
        <w:numPr>
          <w:ilvl w:val="1"/>
          <w:numId w:val="614"/>
        </w:numPr>
        <w:rPr>
          <w:rFonts w:ascii="Arial" w:cs="Arial" w:eastAsia="Arial" w:hAnsi="Arial"/>
          <w:sz w:val="17"/>
          <w:szCs w:val="17"/>
          <w:color w:val="auto"/>
        </w:rPr>
      </w:pPr>
      <w:r>
        <w:rPr>
          <w:rFonts w:ascii="Arial" w:cs="Arial" w:eastAsia="Arial" w:hAnsi="Arial"/>
          <w:sz w:val="17"/>
          <w:szCs w:val="17"/>
          <w:color w:val="auto"/>
        </w:rPr>
        <w:t>Technical difficulty and complexity of the technical consultation and services;</w:t>
      </w:r>
    </w:p>
    <w:p>
      <w:pPr>
        <w:spacing w:after="0" w:line="190" w:lineRule="exact"/>
        <w:rPr>
          <w:rFonts w:ascii="Arial" w:cs="Arial" w:eastAsia="Arial" w:hAnsi="Arial"/>
          <w:sz w:val="17"/>
          <w:szCs w:val="17"/>
          <w:color w:val="auto"/>
        </w:rPr>
      </w:pPr>
    </w:p>
    <w:p>
      <w:pPr>
        <w:ind w:left="1720" w:hanging="861"/>
        <w:spacing w:after="0"/>
        <w:tabs>
          <w:tab w:leader="none" w:pos="1720" w:val="left"/>
        </w:tabs>
        <w:numPr>
          <w:ilvl w:val="1"/>
          <w:numId w:val="614"/>
        </w:numPr>
        <w:rPr>
          <w:rFonts w:ascii="Arial" w:cs="Arial" w:eastAsia="Arial" w:hAnsi="Arial"/>
          <w:sz w:val="17"/>
          <w:szCs w:val="17"/>
          <w:color w:val="auto"/>
        </w:rPr>
      </w:pPr>
      <w:r>
        <w:rPr>
          <w:rFonts w:ascii="Arial" w:cs="Arial" w:eastAsia="Arial" w:hAnsi="Arial"/>
          <w:sz w:val="17"/>
          <w:szCs w:val="17"/>
          <w:color w:val="auto"/>
        </w:rPr>
        <w:t>Time spent by Party A’s employees in the technical consultation and services;</w:t>
      </w:r>
    </w:p>
    <w:p>
      <w:pPr>
        <w:spacing w:after="0" w:line="190" w:lineRule="exact"/>
        <w:rPr>
          <w:rFonts w:ascii="Arial" w:cs="Arial" w:eastAsia="Arial" w:hAnsi="Arial"/>
          <w:sz w:val="17"/>
          <w:szCs w:val="17"/>
          <w:color w:val="auto"/>
        </w:rPr>
      </w:pPr>
    </w:p>
    <w:p>
      <w:pPr>
        <w:ind w:left="1720" w:hanging="861"/>
        <w:spacing w:after="0"/>
        <w:tabs>
          <w:tab w:leader="none" w:pos="1720" w:val="left"/>
        </w:tabs>
        <w:numPr>
          <w:ilvl w:val="1"/>
          <w:numId w:val="614"/>
        </w:numPr>
        <w:rPr>
          <w:rFonts w:ascii="Arial" w:cs="Arial" w:eastAsia="Arial" w:hAnsi="Arial"/>
          <w:sz w:val="17"/>
          <w:szCs w:val="17"/>
          <w:color w:val="auto"/>
        </w:rPr>
      </w:pPr>
      <w:r>
        <w:rPr>
          <w:rFonts w:ascii="Arial" w:cs="Arial" w:eastAsia="Arial" w:hAnsi="Arial"/>
          <w:sz w:val="17"/>
          <w:szCs w:val="17"/>
          <w:color w:val="auto"/>
        </w:rPr>
        <w:t>Specific content and commercial value of the technical consultation and services;</w:t>
      </w:r>
    </w:p>
    <w:p>
      <w:pPr>
        <w:spacing w:after="0" w:line="190" w:lineRule="exact"/>
        <w:rPr>
          <w:rFonts w:ascii="Arial" w:cs="Arial" w:eastAsia="Arial" w:hAnsi="Arial"/>
          <w:sz w:val="17"/>
          <w:szCs w:val="17"/>
          <w:color w:val="auto"/>
        </w:rPr>
      </w:pPr>
    </w:p>
    <w:p>
      <w:pPr>
        <w:ind w:left="1720" w:hanging="861"/>
        <w:spacing w:after="0"/>
        <w:tabs>
          <w:tab w:leader="none" w:pos="1720" w:val="left"/>
        </w:tabs>
        <w:numPr>
          <w:ilvl w:val="1"/>
          <w:numId w:val="614"/>
        </w:numPr>
        <w:rPr>
          <w:rFonts w:ascii="Arial" w:cs="Arial" w:eastAsia="Arial" w:hAnsi="Arial"/>
          <w:sz w:val="17"/>
          <w:szCs w:val="17"/>
          <w:color w:val="auto"/>
        </w:rPr>
      </w:pPr>
      <w:r>
        <w:rPr>
          <w:rFonts w:ascii="Arial" w:cs="Arial" w:eastAsia="Arial" w:hAnsi="Arial"/>
          <w:sz w:val="17"/>
          <w:szCs w:val="17"/>
          <w:color w:val="auto"/>
        </w:rPr>
        <w:t>Market reference price of similar technical consultation and services.</w:t>
      </w:r>
    </w:p>
    <w:p>
      <w:pPr>
        <w:spacing w:after="0" w:line="191" w:lineRule="exact"/>
        <w:rPr>
          <w:sz w:val="20"/>
          <w:szCs w:val="20"/>
          <w:color w:val="auto"/>
        </w:rPr>
      </w:pPr>
    </w:p>
    <w:p>
      <w:pPr>
        <w:ind w:left="860" w:right="140" w:hanging="860"/>
        <w:spacing w:after="0" w:line="249" w:lineRule="auto"/>
        <w:tabs>
          <w:tab w:leader="none" w:pos="860" w:val="left"/>
        </w:tabs>
        <w:numPr>
          <w:ilvl w:val="0"/>
          <w:numId w:val="615"/>
        </w:numPr>
        <w:rPr>
          <w:rFonts w:ascii="Arial" w:cs="Arial" w:eastAsia="Arial" w:hAnsi="Arial"/>
          <w:sz w:val="17"/>
          <w:szCs w:val="17"/>
          <w:color w:val="auto"/>
        </w:rPr>
      </w:pPr>
      <w:r>
        <w:rPr>
          <w:rFonts w:ascii="Arial" w:cs="Arial" w:eastAsia="Arial" w:hAnsi="Arial"/>
          <w:sz w:val="17"/>
          <w:szCs w:val="17"/>
          <w:color w:val="auto"/>
        </w:rPr>
        <w:t>Party A shall summarize and calculate the Service Fees on a quarterly basis and shall, within Thirty (30) days from the start date of any quarter, send a bill of technical Service Fees for the last quarter to Party B and/or Party B’s Subsidiaries so as to give a notice to Party B and/or Party B’s Subsidiaries. Within Ten (10) working days after receipt of such notice, Party B and/or Party B’s Subsidiaries shall pay such Service Fees to the bank account designated by Party A. Party B and/or Party B’s Subsidiaries shall send by fax or by mail a copy of the remittance voucher to Party A within Ten (10) working days after remittance.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 w:type="dxa"/>
            <w:vAlign w:val="bottom"/>
          </w:tcPr>
          <w:p>
            <w:pPr>
              <w:spacing w:after="0"/>
              <w:rPr>
                <w:sz w:val="20"/>
                <w:szCs w:val="20"/>
                <w:color w:val="auto"/>
              </w:rPr>
            </w:pPr>
            <w:r>
              <w:rPr>
                <w:rFonts w:ascii="Arial" w:cs="Arial" w:eastAsia="Arial" w:hAnsi="Arial"/>
                <w:sz w:val="17"/>
                <w:szCs w:val="17"/>
                <w:color w:val="auto"/>
              </w:rPr>
              <w:t>IV.</w:t>
            </w:r>
          </w:p>
        </w:tc>
        <w:tc>
          <w:tcPr>
            <w:tcW w:w="10760" w:type="dxa"/>
            <w:vAlign w:val="bottom"/>
          </w:tcPr>
          <w:p>
            <w:pPr>
              <w:ind w:left="340"/>
              <w:spacing w:after="0"/>
              <w:rPr>
                <w:sz w:val="20"/>
                <w:szCs w:val="20"/>
                <w:color w:val="auto"/>
              </w:rPr>
            </w:pPr>
            <w:r>
              <w:rPr>
                <w:rFonts w:ascii="Arial" w:cs="Arial" w:eastAsia="Arial" w:hAnsi="Arial"/>
                <w:sz w:val="17"/>
                <w:szCs w:val="17"/>
                <w:color w:val="auto"/>
                <w:w w:val="91"/>
              </w:rPr>
              <w:t>If Party A considers that it is necessary to adjust the service pricing mechanism as stipulated herein that is not continuously applicable for some reason,</w:t>
            </w:r>
          </w:p>
        </w:tc>
      </w:tr>
      <w:tr>
        <w:trPr>
          <w:trHeight w:val="199"/>
        </w:trPr>
        <w:tc>
          <w:tcPr>
            <w:tcW w:w="520" w:type="dxa"/>
            <w:vAlign w:val="bottom"/>
          </w:tcPr>
          <w:p>
            <w:pPr>
              <w:spacing w:after="0"/>
              <w:rPr>
                <w:sz w:val="17"/>
                <w:szCs w:val="17"/>
                <w:color w:val="auto"/>
              </w:rPr>
            </w:pPr>
          </w:p>
        </w:tc>
        <w:tc>
          <w:tcPr>
            <w:tcW w:w="10760" w:type="dxa"/>
            <w:vAlign w:val="bottom"/>
          </w:tcPr>
          <w:p>
            <w:pPr>
              <w:ind w:left="340"/>
              <w:spacing w:after="0"/>
              <w:rPr>
                <w:sz w:val="20"/>
                <w:szCs w:val="20"/>
                <w:color w:val="auto"/>
              </w:rPr>
            </w:pPr>
            <w:r>
              <w:rPr>
                <w:rFonts w:ascii="Arial" w:cs="Arial" w:eastAsia="Arial" w:hAnsi="Arial"/>
                <w:sz w:val="17"/>
                <w:szCs w:val="17"/>
                <w:color w:val="auto"/>
                <w:w w:val="92"/>
              </w:rPr>
              <w:t>Party A shall give a prompt written notice to Party B and/or Party B’s Subsidiaries, and such written notice shall take effect when it is served to Party B</w:t>
            </w:r>
          </w:p>
        </w:tc>
      </w:tr>
      <w:tr>
        <w:trPr>
          <w:trHeight w:val="212"/>
        </w:trPr>
        <w:tc>
          <w:tcPr>
            <w:tcW w:w="52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7"/>
                <w:szCs w:val="17"/>
                <w:color w:val="auto"/>
              </w:rPr>
              <w:t>and/or Party B’s Subsidiaries.</w:t>
            </w:r>
          </w:p>
        </w:tc>
      </w:tr>
      <w:tr>
        <w:trPr>
          <w:trHeight w:val="104"/>
        </w:trPr>
        <w:tc>
          <w:tcPr>
            <w:tcW w:w="520" w:type="dxa"/>
            <w:vAlign w:val="bottom"/>
            <w:tcBorders>
              <w:bottom w:val="single" w:sz="8" w:color="9A9A9A"/>
            </w:tcBorders>
          </w:tcPr>
          <w:p>
            <w:pPr>
              <w:spacing w:after="0"/>
              <w:rPr>
                <w:sz w:val="9"/>
                <w:szCs w:val="9"/>
                <w:color w:val="auto"/>
              </w:rPr>
            </w:pPr>
          </w:p>
        </w:tc>
        <w:tc>
          <w:tcPr>
            <w:tcW w:w="10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14" w:right="299" w:bottom="1440" w:gutter="0" w:footer="0" w:header="0"/>
        </w:sectPr>
      </w:pPr>
    </w:p>
    <w:bookmarkStart w:id="534" w:name="page535"/>
    <w:bookmarkEnd w:id="534"/>
    <w:p>
      <w:pPr>
        <w:jc w:val="center"/>
        <w:spacing w:after="0"/>
        <w:rPr>
          <w:sz w:val="20"/>
          <w:szCs w:val="20"/>
          <w:color w:val="auto"/>
        </w:rPr>
      </w:pPr>
      <w:r>
        <w:rPr>
          <w:rFonts w:ascii="Arial" w:cs="Arial" w:eastAsia="Arial" w:hAnsi="Arial"/>
          <w:sz w:val="20"/>
          <w:szCs w:val="20"/>
          <w:b w:val="1"/>
          <w:bCs w:val="1"/>
          <w:color w:val="auto"/>
        </w:rPr>
        <w:t>Annex III Letter of Acceptance of Rights and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Our company</w:t>
      </w:r>
      <w:r>
        <w:rPr>
          <w:rFonts w:ascii="Arial" w:cs="Arial" w:eastAsia="Arial" w:hAnsi="Arial"/>
          <w:sz w:val="15"/>
          <w:szCs w:val="15"/>
          <w:b w:val="1"/>
          <w:bCs w:val="1"/>
          <w:color w:val="auto"/>
        </w:rPr>
        <w:t>, ______, is a subsidiary of ______ Co., Ltd. (hereinafter referred to as “______”) incorporated with ______on the ______day of , and Tianjin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Shangde holds % of ______ the shares/equity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accordance with the Exclusive Technical Consultation and Service Agreement (hereinafter referred to as “Agreement”) entered into by ______________Co.,</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Limited and other parties on the day of ______, our company as a newly added “Party B’s Subsidiary” under the Agreement shall join the Agreement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Article 12 of the Agreement</w:t>
      </w:r>
    </w:p>
    <w:p>
      <w:pPr>
        <w:spacing w:after="0" w:line="149"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76"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114" w:right="339" w:bottom="1440" w:gutter="0" w:footer="0" w:header="0"/>
        </w:sectPr>
      </w:pPr>
    </w:p>
    <w:bookmarkStart w:id="535" w:name="page536"/>
    <w:bookmarkEnd w:id="535"/>
    <w:p>
      <w:pPr>
        <w:jc w:val="right"/>
        <w:spacing w:after="0"/>
        <w:rPr>
          <w:sz w:val="20"/>
          <w:szCs w:val="20"/>
          <w:color w:val="auto"/>
        </w:rPr>
      </w:pPr>
      <w:r>
        <w:rPr>
          <w:rFonts w:ascii="Arial" w:cs="Arial" w:eastAsia="Arial" w:hAnsi="Arial"/>
          <w:sz w:val="17"/>
          <w:szCs w:val="17"/>
          <w:b w:val="1"/>
          <w:bCs w:val="1"/>
          <w:color w:val="auto"/>
        </w:rPr>
        <w:t>Exhibit 4.64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 Operation Agreement</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Business Operation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14th day of September,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Guangzhou Wudawei Education Technology Co., Ltd.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No. 103 (even), No. 90-96, Kexue grand avenue, Huangpu District, Guangzhou,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 Haohan</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Party B’s Subsidiaries</w:t>
      </w:r>
      <w:r>
        <w:rPr>
          <w:rFonts w:ascii="Arial" w:cs="Arial" w:eastAsia="Arial" w:hAnsi="Arial"/>
          <w:sz w:val="17"/>
          <w:szCs w:val="17"/>
          <w:color w:val="auto"/>
        </w:rPr>
        <w:t>: Any companies, schools and related institutions (hereinafter referred to as the “</w:t>
      </w:r>
      <w:r>
        <w:rPr>
          <w:rFonts w:ascii="Arial" w:cs="Arial" w:eastAsia="Arial" w:hAnsi="Arial"/>
          <w:sz w:val="17"/>
          <w:szCs w:val="17"/>
          <w:b w:val="1"/>
          <w:bCs w:val="1"/>
          <w:color w:val="auto"/>
        </w:rPr>
        <w:t>Party B’s Subsidiaries</w:t>
      </w:r>
      <w:r>
        <w:rPr>
          <w:rFonts w:ascii="Arial" w:cs="Arial" w:eastAsia="Arial" w:hAnsi="Arial"/>
          <w:sz w:val="17"/>
          <w:szCs w:val="17"/>
          <w:color w:val="auto"/>
        </w:rPr>
        <w:t>”) to be updated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this Agreement in which 50% or more of the shares or investment interests are held by Party 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860" w:hanging="860"/>
        <w:spacing w:after="0"/>
        <w:tabs>
          <w:tab w:leader="none" w:pos="860" w:val="left"/>
        </w:tabs>
        <w:numPr>
          <w:ilvl w:val="0"/>
          <w:numId w:val="616"/>
        </w:numPr>
        <w:rPr>
          <w:rFonts w:ascii="Arial" w:cs="Arial" w:eastAsia="Arial" w:hAnsi="Arial"/>
          <w:sz w:val="17"/>
          <w:szCs w:val="17"/>
          <w:color w:val="auto"/>
        </w:rPr>
      </w:pPr>
      <w:r>
        <w:rPr>
          <w:rFonts w:ascii="Arial" w:cs="Arial" w:eastAsia="Arial" w:hAnsi="Arial"/>
          <w:sz w:val="17"/>
          <w:szCs w:val="17"/>
          <w:color w:val="auto"/>
        </w:rPr>
        <w:t>Party A is a wholly foreign-owned enterprise legally incorporated and validly existing within the territory of the PRC.</w:t>
      </w:r>
    </w:p>
    <w:p>
      <w:pPr>
        <w:spacing w:after="0" w:line="203" w:lineRule="exact"/>
        <w:rPr>
          <w:rFonts w:ascii="Arial" w:cs="Arial" w:eastAsia="Arial" w:hAnsi="Arial"/>
          <w:sz w:val="17"/>
          <w:szCs w:val="17"/>
          <w:color w:val="auto"/>
        </w:rPr>
      </w:pPr>
    </w:p>
    <w:p>
      <w:pPr>
        <w:ind w:left="860" w:hanging="860"/>
        <w:spacing w:after="0"/>
        <w:tabs>
          <w:tab w:leader="none" w:pos="860" w:val="left"/>
        </w:tabs>
        <w:numPr>
          <w:ilvl w:val="0"/>
          <w:numId w:val="616"/>
        </w:numPr>
        <w:rPr>
          <w:rFonts w:ascii="Arial" w:cs="Arial" w:eastAsia="Arial" w:hAnsi="Arial"/>
          <w:sz w:val="17"/>
          <w:szCs w:val="17"/>
          <w:color w:val="auto"/>
        </w:rPr>
      </w:pPr>
      <w:r>
        <w:rPr>
          <w:rFonts w:ascii="Arial" w:cs="Arial" w:eastAsia="Arial" w:hAnsi="Arial"/>
          <w:sz w:val="17"/>
          <w:szCs w:val="17"/>
          <w:color w:val="auto"/>
        </w:rPr>
        <w:t>Party B is a limited liability company incorporated in the PRC.</w:t>
      </w:r>
    </w:p>
    <w:p>
      <w:pPr>
        <w:spacing w:after="0" w:line="203" w:lineRule="exact"/>
        <w:rPr>
          <w:rFonts w:ascii="Arial" w:cs="Arial" w:eastAsia="Arial" w:hAnsi="Arial"/>
          <w:sz w:val="17"/>
          <w:szCs w:val="17"/>
          <w:color w:val="auto"/>
        </w:rPr>
      </w:pPr>
    </w:p>
    <w:p>
      <w:pPr>
        <w:jc w:val="both"/>
        <w:ind w:left="860" w:hanging="860"/>
        <w:spacing w:after="0" w:line="304" w:lineRule="auto"/>
        <w:tabs>
          <w:tab w:leader="none" w:pos="860" w:val="left"/>
        </w:tabs>
        <w:numPr>
          <w:ilvl w:val="0"/>
          <w:numId w:val="616"/>
        </w:numPr>
        <w:rPr>
          <w:rFonts w:ascii="Arial" w:cs="Arial" w:eastAsia="Arial" w:hAnsi="Arial"/>
          <w:sz w:val="15"/>
          <w:szCs w:val="15"/>
          <w:color w:val="auto"/>
        </w:rPr>
      </w:pPr>
      <w:r>
        <w:rPr>
          <w:rFonts w:ascii="Arial" w:cs="Arial" w:eastAsia="Arial" w:hAnsi="Arial"/>
          <w:sz w:val="15"/>
          <w:szCs w:val="15"/>
          <w:color w:val="auto"/>
        </w:rPr>
        <w:t>Party A has established the business relationship with Party B and Party B’s Subsidiaries by signing the Exclusive Technical Consultation and Service Agreement and other agreements; Party B and Party B’s Subsidiaries shall pay various amounts to Party A under such agreements, and therefore any daily operating activities of Party B and Party B’s Subsidiaries will have a substantial impact on their ability to pay the corresponding amounts to Party A.</w:t>
      </w:r>
    </w:p>
    <w:p>
      <w:pPr>
        <w:spacing w:after="0" w:line="141" w:lineRule="exact"/>
        <w:rPr>
          <w:rFonts w:ascii="Arial" w:cs="Arial" w:eastAsia="Arial" w:hAnsi="Arial"/>
          <w:sz w:val="15"/>
          <w:szCs w:val="15"/>
          <w:color w:val="auto"/>
        </w:rPr>
      </w:pPr>
    </w:p>
    <w:p>
      <w:pPr>
        <w:ind w:left="860" w:hanging="860"/>
        <w:spacing w:after="0"/>
        <w:tabs>
          <w:tab w:leader="none" w:pos="860"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Any interests held by Party C in Party B and the shareholding structure are shown in Annex II hereto.</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0" w:lineRule="exact"/>
        <w:rPr>
          <w:sz w:val="20"/>
          <w:szCs w:val="20"/>
          <w:color w:val="auto"/>
        </w:rPr>
      </w:pPr>
    </w:p>
    <w:p>
      <w:pPr>
        <w:ind w:left="860" w:hanging="860"/>
        <w:spacing w:after="0"/>
        <w:tabs>
          <w:tab w:leader="none" w:pos="860" w:val="left"/>
        </w:tabs>
        <w:numPr>
          <w:ilvl w:val="0"/>
          <w:numId w:val="617"/>
        </w:numPr>
        <w:rPr>
          <w:rFonts w:ascii="Arial" w:cs="Arial" w:eastAsia="Arial" w:hAnsi="Arial"/>
          <w:sz w:val="17"/>
          <w:szCs w:val="17"/>
          <w:b w:val="1"/>
          <w:bCs w:val="1"/>
          <w:color w:val="auto"/>
        </w:rPr>
      </w:pPr>
      <w:r>
        <w:rPr>
          <w:rFonts w:ascii="Arial" w:cs="Arial" w:eastAsia="Arial" w:hAnsi="Arial"/>
          <w:sz w:val="17"/>
          <w:szCs w:val="17"/>
          <w:b w:val="1"/>
          <w:bCs w:val="1"/>
          <w:color w:val="auto"/>
        </w:rPr>
        <w:t>Obligation of omission</w:t>
      </w:r>
    </w:p>
    <w:p>
      <w:pPr>
        <w:spacing w:after="0" w:line="207" w:lineRule="exact"/>
        <w:rPr>
          <w:rFonts w:ascii="Arial" w:cs="Arial" w:eastAsia="Arial" w:hAnsi="Arial"/>
          <w:sz w:val="17"/>
          <w:szCs w:val="17"/>
          <w:b w:val="1"/>
          <w:bCs w:val="1"/>
          <w:color w:val="auto"/>
        </w:rPr>
      </w:pPr>
    </w:p>
    <w:p>
      <w:pPr>
        <w:jc w:val="both"/>
        <w:ind w:left="8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In order to ensure that Party B and Party B’s Subsidiaries perform any agreements signed with Party A and their obligations to Party A, Party B, Party B’s Subsidiaries and Party C hereby acknowledge and agree that, unless they obtain the prior written consent of Party A or any other parties designated by Party A, Party B and Party B’s Subsidiaries shall not conduct any transactions and actions that may have substantial adverse effects on their assets, business, personnel, obligations, rights or company operations, including but not limited to:</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36" w:name="page537"/>
    <w:bookmarkEnd w:id="536"/>
    <w:p>
      <w:pPr>
        <w:ind w:left="1440" w:right="40" w:hanging="572"/>
        <w:spacing w:after="0" w:line="264" w:lineRule="auto"/>
        <w:tabs>
          <w:tab w:leader="none" w:pos="14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Carrying out any activities beyond the normal business scope of the company or failure to operate company business in any way as consistent and usual as those in the past;</w:t>
      </w:r>
    </w:p>
    <w:p>
      <w:pPr>
        <w:spacing w:after="0" w:line="168"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Borrowing money from any third party or assuming any debts;</w:t>
      </w:r>
    </w:p>
    <w:p>
      <w:pPr>
        <w:spacing w:after="0" w:line="203"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Changing or removing any directors of the company or dismissing and replacing any senior managers of the company;</w:t>
      </w:r>
    </w:p>
    <w:p>
      <w:pPr>
        <w:spacing w:after="0" w:line="203" w:lineRule="exact"/>
        <w:rPr>
          <w:sz w:val="20"/>
          <w:szCs w:val="20"/>
          <w:color w:val="auto"/>
        </w:rPr>
      </w:pPr>
    </w:p>
    <w:p>
      <w:pPr>
        <w:ind w:left="1440" w:right="40" w:hanging="572"/>
        <w:spacing w:after="0" w:line="264" w:lineRule="auto"/>
        <w:tabs>
          <w:tab w:leader="none" w:pos="142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Selling to or acquiring from any third party or otherwise disposing of any assets or rights (including but not limited to any intellectual property rights) with the total value of RMB 0.05 million or more;</w:t>
      </w:r>
    </w:p>
    <w:p>
      <w:pPr>
        <w:spacing w:after="0" w:line="168" w:lineRule="exact"/>
        <w:rPr>
          <w:sz w:val="20"/>
          <w:szCs w:val="20"/>
          <w:color w:val="auto"/>
        </w:rPr>
      </w:pPr>
    </w:p>
    <w:p>
      <w:pPr>
        <w:ind w:left="1440" w:right="40" w:hanging="572"/>
        <w:spacing w:after="0" w:line="264" w:lineRule="auto"/>
        <w:tabs>
          <w:tab w:leader="none" w:pos="142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Providing any third party with any form of guarantees or creating any form of encumbrances on any assets of the company (including any intellectual property rights);</w:t>
      </w:r>
    </w:p>
    <w:p>
      <w:pPr>
        <w:spacing w:after="0" w:line="168"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3"/>
          <w:szCs w:val="13"/>
          <w:color w:val="auto"/>
        </w:rPr>
        <w:t>Amending the articles of association or changing the business scope of the company;</w:t>
      </w:r>
    </w:p>
    <w:p>
      <w:pPr>
        <w:spacing w:after="0" w:line="203"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color w:val="auto"/>
        </w:rPr>
        <w:t>Changing the normal business procedures of the company or modifying any major internal rules and regulations of the company;</w:t>
      </w:r>
    </w:p>
    <w:p>
      <w:pPr>
        <w:spacing w:after="0" w:line="203"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color w:val="auto"/>
        </w:rPr>
        <w:t>Transferring their rights and obligations under this Agreement to any third party;</w:t>
      </w:r>
    </w:p>
    <w:p>
      <w:pPr>
        <w:spacing w:after="0" w:line="203"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3"/>
          <w:szCs w:val="13"/>
          <w:color w:val="auto"/>
        </w:rPr>
        <w:t>Making any major adjustments to their business operation model, marketing strategy, management policy or customer relations; and</w:t>
      </w:r>
    </w:p>
    <w:p>
      <w:pPr>
        <w:spacing w:after="0" w:line="203"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color w:val="auto"/>
        </w:rPr>
        <w:t>Distributing any bonus and dividend in any form.</w:t>
      </w:r>
    </w:p>
    <w:p>
      <w:pPr>
        <w:spacing w:after="0" w:line="199" w:lineRule="exact"/>
        <w:rPr>
          <w:sz w:val="20"/>
          <w:szCs w:val="20"/>
          <w:color w:val="auto"/>
        </w:rPr>
      </w:pPr>
    </w:p>
    <w:p>
      <w:pPr>
        <w:ind w:left="860" w:hanging="860"/>
        <w:spacing w:after="0"/>
        <w:tabs>
          <w:tab w:leader="none" w:pos="860" w:val="left"/>
        </w:tabs>
        <w:numPr>
          <w:ilvl w:val="0"/>
          <w:numId w:val="618"/>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Management and Personnel Arrangement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2.1</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Party B, Party B’s Subsidiaries and Party C hereby agree to accept any appointment and dismissal of employees of the company provided by</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A from time to time and any opinions and instructions on the daily operating management, financial management system, etc., of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company and strictly implement them.</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2.2</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Party B, Party B’s Subsidiaries and Party C hereby agree that Party C shall, in accordance with the laws and regulations and the articles of</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association, elect or appoint any persons designated by Party A as director (or executive director) or supervisor of Party B and Party B’s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Subsidiaries and cause such persons elected as director to elect the chairman of the company (if the company has a board of directors)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according to Party A’s recommendation of candidate and shall appoint any persons designated by Party A as general manager, chief financial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officer and other senior managers of Party B and Party B’s Subsidiaries.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2.3</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When the aforesaid directors or senior managers designated by Party A leave Party A for any reasons whatsoever (including but not limited to</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3"/>
              </w:rPr>
              <w:t>any voluntary resignation and dismissal by Party A), they will be disqualified from holding a post in Party B and Party B’s Subsidiaries. In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such a case, Party B, Party B’s Subsidiaries and Party C shall immediately dismiss the aforesaid persons from any post in Party B and Party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B’s Subsidiaries and immediately elect or employ any other persons otherwise designated by Party A to hold such post.</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2.4</w:t>
            </w: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For the purpose of the Section 2.3 above, Party B, Party B’s Subsidiaries and Party C shall, in accordance with the laws, articles of association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and this Agreement, take all necessary internal and external procedures of the company to complete the above dismissal and appointment</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procedures.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2.5</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Party C hereby agrees that, when signing this Agreement, it shall sign a power of attorney in such form and substance as shown in Annex III</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hereto and shall, according to such power of attorney, irrevocably authorize any persons designated by Party A to exercise its shareholder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rights on its</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5" w:right="299" w:bottom="1440" w:gutter="0" w:footer="0" w:header="0"/>
        </w:sectPr>
      </w:pPr>
    </w:p>
    <w:bookmarkStart w:id="537" w:name="page538"/>
    <w:bookmarkEnd w:id="537"/>
    <w:p>
      <w:pPr>
        <w:jc w:val="both"/>
        <w:ind w:left="1720" w:right="40"/>
        <w:spacing w:after="0" w:line="254" w:lineRule="auto"/>
        <w:rPr>
          <w:sz w:val="20"/>
          <w:szCs w:val="20"/>
          <w:color w:val="auto"/>
        </w:rPr>
      </w:pPr>
      <w:r>
        <w:rPr>
          <w:rFonts w:ascii="Arial" w:cs="Arial" w:eastAsia="Arial" w:hAnsi="Arial"/>
          <w:sz w:val="17"/>
          <w:szCs w:val="17"/>
          <w:color w:val="auto"/>
        </w:rPr>
        <w:t>behalf and exercise all shareholders’ voting rights in the name of shareholders at any meeting of shareholders held by Party B and Party B’s Subsidiaries. Party C further agrees that it shall replace at any time the designated authorized persons in the forgoing power of attorney according to Party A’s requirements.</w:t>
      </w:r>
    </w:p>
    <w:p>
      <w:pPr>
        <w:spacing w:after="0" w:line="173" w:lineRule="exact"/>
        <w:rPr>
          <w:sz w:val="20"/>
          <w:szCs w:val="20"/>
          <w:color w:val="auto"/>
        </w:rPr>
      </w:pPr>
    </w:p>
    <w:p>
      <w:pPr>
        <w:ind w:left="860" w:hanging="860"/>
        <w:spacing w:after="0"/>
        <w:tabs>
          <w:tab w:leader="none" w:pos="860" w:val="left"/>
        </w:tabs>
        <w:numPr>
          <w:ilvl w:val="0"/>
          <w:numId w:val="619"/>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If any of the agreements among Party A and Party B and Party B’s Subsidiaries is terminated or expires, Party A shall have the right to decide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whether to terminate all agreements among Party A and Party B and Party B’s Subsidiaries, including but not limited to any Exclusive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Technical Consultation and Service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Considering that Party A has established the business relationship with Party B and Party B’s Subsidiaries by signing an Exclusive Technical</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Consultation and Service Agreement and other agreements, any daily operating activities of Party B and Party B’s Subsidiaries will have a</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substantial impact on their ability to pay the corresponding amounts to Party A. Party C agrees that, subject to the provisions of Article 1</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hereof, any incomes or interests shall be immediately paid or transferred without compensation to Party A when they are realized, under no</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conditions, out of any bonuses, dividend distributions or any other similar incomes or interests (regardless of their specific form) that are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received by Party C from Party B and Party B’s Subsidiaries in the capacity of a shareholder of Party B and Party B’s Subsidiaries and that it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shall, according to Party A’s requirements, provide all necessary documents or take all necessary actions to realize such payment or transfer.</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3.3</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added Party B’s Subsidiary at any time after the effective date of this Agreement, Party B and Party C shall cause such newly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added Party B’s Subsidiary to sign a letter of acceptance of rights and obligations in such form and substance as shown in Annex IV hereto and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any other legal documents permitted or required by the laws of the PRC so as to enable such newly added Party B’s Subsidiary to join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 and fully accept any obligations and rights to be assumed and enjoyed by Party B’s Subsidiaries under this Agreement. From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execution date of such letter of acceptance of rights and obligations and any other legal documents permitted or required by the laws of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PRC, such newly added Party B’s Subsidiary shall be deemed to be a signatory to this Agreement. Any other Parties hereto hereby agree to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fully accept the foregoing arrangement.</w:t>
            </w:r>
          </w:p>
        </w:tc>
      </w:tr>
    </w:tbl>
    <w:p>
      <w:pPr>
        <w:spacing w:after="0" w:line="183" w:lineRule="exact"/>
        <w:rPr>
          <w:sz w:val="20"/>
          <w:szCs w:val="20"/>
          <w:color w:val="auto"/>
        </w:rPr>
      </w:pPr>
    </w:p>
    <w:p>
      <w:pPr>
        <w:ind w:left="860" w:hanging="860"/>
        <w:spacing w:after="0"/>
        <w:tabs>
          <w:tab w:leader="none" w:pos="860" w:val="left"/>
        </w:tabs>
        <w:numPr>
          <w:ilvl w:val="0"/>
          <w:numId w:val="620"/>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and Amendment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This Agreement and all agreements and/or documents referred to or expressly contained herein shall constitute an entire agreement among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Parties in respect of the subject matter of this Agreement and supersede all prior oral and written agreements, contracts, understandings and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communications among the Parties in relation to the subject matter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No amendments to this Agreement shall be valid unless a written agreement is signed by the Parties. Any amendment and supplementary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agreements duly signed by the Parties in relation to this Agreement shall form an integral part of this Agreement and be equally authentic as</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w:t>
            </w:r>
          </w:p>
        </w:tc>
      </w:tr>
    </w:tbl>
    <w:p>
      <w:pPr>
        <w:spacing w:after="0" w:line="183" w:lineRule="exact"/>
        <w:rPr>
          <w:sz w:val="20"/>
          <w:szCs w:val="20"/>
          <w:color w:val="auto"/>
        </w:rPr>
      </w:pPr>
    </w:p>
    <w:p>
      <w:pPr>
        <w:ind w:left="860" w:hanging="860"/>
        <w:spacing w:after="0"/>
        <w:tabs>
          <w:tab w:leader="none" w:pos="860" w:val="left"/>
        </w:tabs>
        <w:numPr>
          <w:ilvl w:val="0"/>
          <w:numId w:val="621"/>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This Agreement shall be governed by and construed in accordance with the laws of the PRC.</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621"/>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resolve such disputes through consultation in good faith. If such disputes can not be resolved through consultation, any Party may submit such</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disputes</w:t>
            </w:r>
          </w:p>
        </w:tc>
      </w:tr>
      <w:tr>
        <w:trPr>
          <w:trHeight w:val="598"/>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3</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5" w:right="299" w:bottom="1440" w:gutter="0" w:footer="0" w:header="0"/>
        </w:sectPr>
      </w:pPr>
    </w:p>
    <w:bookmarkStart w:id="538" w:name="page539"/>
    <w:bookmarkEnd w:id="538"/>
    <w:p>
      <w:pPr>
        <w:jc w:val="both"/>
        <w:ind w:left="1720" w:right="40"/>
        <w:spacing w:after="0" w:line="251" w:lineRule="auto"/>
        <w:rPr>
          <w:sz w:val="20"/>
          <w:szCs w:val="20"/>
          <w:color w:val="auto"/>
        </w:rPr>
      </w:pPr>
      <w:r>
        <w:rPr>
          <w:rFonts w:ascii="Arial" w:cs="Arial" w:eastAsia="Arial" w:hAnsi="Arial"/>
          <w:sz w:val="17"/>
          <w:szCs w:val="17"/>
          <w:color w:val="auto"/>
        </w:rPr>
        <w:t>to China International Economic and Trade Arbitration Commission for resolution by 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179" w:lineRule="exact"/>
        <w:rPr>
          <w:sz w:val="20"/>
          <w:szCs w:val="20"/>
          <w:color w:val="auto"/>
        </w:rPr>
      </w:pPr>
    </w:p>
    <w:p>
      <w:pPr>
        <w:ind w:left="1720" w:right="40" w:hanging="859"/>
        <w:spacing w:after="0" w:line="264" w:lineRule="auto"/>
        <w:tabs>
          <w:tab w:leader="none" w:pos="170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64" w:lineRule="exact"/>
        <w:rPr>
          <w:sz w:val="20"/>
          <w:szCs w:val="20"/>
          <w:color w:val="auto"/>
        </w:rPr>
      </w:pPr>
    </w:p>
    <w:p>
      <w:pPr>
        <w:ind w:left="860" w:hanging="860"/>
        <w:spacing w:after="0"/>
        <w:tabs>
          <w:tab w:leader="none" w:pos="860" w:val="left"/>
        </w:tabs>
        <w:numPr>
          <w:ilvl w:val="0"/>
          <w:numId w:val="622"/>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rFonts w:ascii="Arial" w:cs="Arial" w:eastAsia="Arial" w:hAnsi="Arial"/>
          <w:sz w:val="17"/>
          <w:szCs w:val="17"/>
          <w:b w:val="1"/>
          <w:bCs w:val="1"/>
          <w:color w:val="auto"/>
        </w:rPr>
      </w:pPr>
    </w:p>
    <w:p>
      <w:pPr>
        <w:jc w:val="both"/>
        <w:ind w:left="860" w:right="40" w:firstLine="2"/>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2"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A,</w:t>
      </w:r>
    </w:p>
    <w:p>
      <w:pPr>
        <w:spacing w:after="0" w:line="207" w:lineRule="exact"/>
        <w:rPr>
          <w:rFonts w:ascii="Arial" w:cs="Arial" w:eastAsia="Arial" w:hAnsi="Arial"/>
          <w:sz w:val="17"/>
          <w:szCs w:val="17"/>
          <w:b w:val="1"/>
          <w:bCs w:val="1"/>
          <w:color w:val="auto"/>
        </w:rPr>
      </w:pPr>
    </w:p>
    <w:p>
      <w:pPr>
        <w:ind w:left="860" w:right="2840"/>
        <w:spacing w:after="0" w:line="489" w:lineRule="auto"/>
        <w:rPr>
          <w:rFonts w:ascii="Arial" w:cs="Arial" w:eastAsia="Arial" w:hAnsi="Arial"/>
          <w:sz w:val="17"/>
          <w:szCs w:val="17"/>
          <w:b w:val="1"/>
          <w:bCs w:val="1"/>
          <w:color w:val="auto"/>
        </w:rPr>
      </w:pPr>
      <w:r>
        <w:rPr>
          <w:rFonts w:ascii="Arial" w:cs="Arial" w:eastAsia="Arial" w:hAnsi="Arial"/>
          <w:sz w:val="17"/>
          <w:szCs w:val="17"/>
          <w:color w:val="auto"/>
        </w:rPr>
        <w:t>Address: Building No. 6, Chaolai Science and Technology Park, Laiguangying, Chaoyang District, Beijing, China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LIU Tongbo</w:t>
      </w:r>
    </w:p>
    <w:p>
      <w:pPr>
        <w:spacing w:after="0" w:line="199"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Party B and Party B’s Subsidiaries</w:t>
      </w:r>
    </w:p>
    <w:p>
      <w:pPr>
        <w:spacing w:after="0" w:line="207" w:lineRule="exact"/>
        <w:rPr>
          <w:rFonts w:ascii="Arial" w:cs="Arial" w:eastAsia="Arial" w:hAnsi="Arial"/>
          <w:sz w:val="17"/>
          <w:szCs w:val="17"/>
          <w:b w:val="1"/>
          <w:bCs w:val="1"/>
          <w:color w:val="auto"/>
        </w:rPr>
      </w:pPr>
    </w:p>
    <w:p>
      <w:pPr>
        <w:ind w:left="860" w:right="3580" w:firstLine="12"/>
        <w:spacing w:after="0" w:line="489" w:lineRule="auto"/>
        <w:rPr>
          <w:rFonts w:ascii="Arial" w:cs="Arial" w:eastAsia="Arial" w:hAnsi="Arial"/>
          <w:sz w:val="17"/>
          <w:szCs w:val="17"/>
          <w:b w:val="1"/>
          <w:bCs w:val="1"/>
          <w:color w:val="auto"/>
        </w:rPr>
      </w:pPr>
      <w:r>
        <w:rPr>
          <w:rFonts w:ascii="Arial" w:cs="Arial" w:eastAsia="Arial" w:hAnsi="Arial"/>
          <w:sz w:val="17"/>
          <w:szCs w:val="17"/>
          <w:color w:val="auto"/>
        </w:rPr>
        <w:t>Address: Room No. 103 (even), No. 90-96, Kexue grand avenue, Huangpu District, Guangzhou, China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 Haohan</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622"/>
        </w:numPr>
        <w:rPr>
          <w:rFonts w:ascii="Arial" w:cs="Arial" w:eastAsia="Arial" w:hAnsi="Arial"/>
          <w:sz w:val="17"/>
          <w:szCs w:val="17"/>
          <w:b w:val="1"/>
          <w:bCs w:val="1"/>
          <w:color w:val="auto"/>
        </w:rPr>
      </w:pPr>
      <w:r>
        <w:rPr>
          <w:rFonts w:ascii="Arial" w:cs="Arial" w:eastAsia="Arial" w:hAnsi="Arial"/>
          <w:sz w:val="17"/>
          <w:szCs w:val="17"/>
          <w:b w:val="1"/>
          <w:bCs w:val="1"/>
          <w:color w:val="auto"/>
        </w:rPr>
        <w:t>Entry into Force, Term and Miscellaneous Provisions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8.1</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Any written consents, suggestions and designations of Party A involved herein and any other decisions that have a substantial impact on the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daily operation of Party B and Party B’s Subsidiaries shall be made by Party A’s board of directors and/or executive director.</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8.2</w:t>
            </w: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This Agreement is executed by the parties hereto and take effect as of the date first written above herein. Unless Party A cancels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Agreement in advance, the term of this Agreement shall be terminated upon dissolution of both of Party B and Party B’s Subsidiaries in</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accordance with the laws of the PRC. Upon Party A’s request prior to the expiration of this Agreement, the Parties shall extend the term of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Agreement at Party A’s request and shall sign a separate business operation agreement or continue to perform this Agreement according to</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Party A’s requirements.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8.3</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Notwithstanding the above, the Parties acknowledge that, in case of any change of Party B’s shareholding structure or any increase or decrease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of shareholders and other circumstances, Party A, Party B, Party B’s Subsidiaries and all existing shareholders of Party B shall re-sign this</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4"/>
              </w:rPr>
              <w:t>Agreement, and this Agreement shall automatically be terminated and become invalid from the effective date of the business operation</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agreement re-signed by the foregoing Parties.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8.4</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Within the term of this Agreement, Party B, Party B’s Subsidiaries and Party C shall not terminate this Agreement in advance. Party A shall</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2"/>
              </w:rPr>
              <w:t>have the right to terminate this Agreement at any time by giving a written notice to Party B, Party B’s Subsidiaries and shareholders Thirty</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(30) days in advance.</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4</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5" w:right="299" w:bottom="1440" w:gutter="0" w:footer="0" w:header="0"/>
        </w:sectPr>
      </w:pPr>
    </w:p>
    <w:bookmarkStart w:id="539" w:name="page540"/>
    <w:bookmarkEnd w:id="539"/>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8.5</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Parties hereby acknowledge that this Agreement shall be a fair and reasonable agreement reached by the Parties hereto on the basis of</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equality and mutual benefit. If any provisions of this Agreement are deemed to be illegal or unenforceable by any applicable law, such</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provisions shall be deemed to have been deleted from this Agreement and become invalid, provided that any other provisions of this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Agreement shall remain in force, and this Agreement shall be deemed to have not contained such provisions from the beginning. The Parties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hereto shall mutually negotiate about the replacement of such provisions that are deemed to have been deleted with any legal and valid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provisions acceptable to the Parties.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8.6</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No failure by any Party to exercise its rights, powers or privileges under this Agreement shall be treated as a waiver of such rights, powers or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privileges by such Party. No single or partial exercise by any Party of its rights, powers or privileges under this Agreement shall exclude any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exercise by such Party of its other rights, powers or privileges under this Agreement.</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8.7</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is written in Chinese and is executed in Four (4) original copies.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8.8</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Party B, Party B’s Subsidiaries and Party C shall not transfer to any third party their rights and obligations under this Agreement unless they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obtain the prior written consent of Party A.</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duly authorized representative as of the date first above written.</w:t>
      </w:r>
    </w:p>
    <w:p>
      <w:pPr>
        <w:spacing w:after="0" w:line="215"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540" w:name="page541"/>
    <w:bookmarkEnd w:id="540"/>
    <w:p>
      <w:pPr>
        <w:jc w:val="right"/>
        <w:ind w:right="2159"/>
        <w:spacing w:after="0"/>
        <w:rPr>
          <w:sz w:val="20"/>
          <w:szCs w:val="20"/>
          <w:color w:val="auto"/>
        </w:rPr>
      </w:pPr>
      <w:r>
        <w:rPr>
          <w:rFonts w:ascii="Arial" w:cs="Arial" w:eastAsia="Arial" w:hAnsi="Arial"/>
          <w:sz w:val="17"/>
          <w:szCs w:val="17"/>
          <w:color w:val="auto"/>
        </w:rPr>
        <w:t>[This page is the signature page to the Business Operation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 Haohan</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5" w:right="1440" w:bottom="1440" w:gutter="0" w:footer="0" w:header="0"/>
        </w:sectPr>
      </w:pPr>
    </w:p>
    <w:bookmarkStart w:id="541" w:name="page542"/>
    <w:bookmarkEnd w:id="541"/>
    <w:p>
      <w:pPr>
        <w:jc w:val="right"/>
        <w:ind w:right="1099"/>
        <w:spacing w:after="0"/>
        <w:rPr>
          <w:sz w:val="20"/>
          <w:szCs w:val="20"/>
          <w:color w:val="auto"/>
        </w:rPr>
      </w:pPr>
      <w:r>
        <w:rPr>
          <w:rFonts w:ascii="Arial" w:cs="Arial" w:eastAsia="Arial" w:hAnsi="Arial"/>
          <w:sz w:val="17"/>
          <w:szCs w:val="17"/>
          <w:b w:val="1"/>
          <w:bCs w:val="1"/>
          <w:color w:val="auto"/>
        </w:rPr>
        <w:t>[This page is intentionally left blank as the signature page of the Business Operation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LI Haohan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Haohan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DU Peiheng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DU Peiheng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306070</wp:posOffset>
            </wp:positionV>
            <wp:extent cx="7184390" cy="412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521" w:right="1440" w:bottom="1440" w:gutter="0" w:footer="0" w:header="0"/>
        </w:sectPr>
      </w:pPr>
    </w:p>
    <w:bookmarkStart w:id="542" w:name="page543"/>
    <w:bookmarkEnd w:id="542"/>
    <w:p>
      <w:pPr>
        <w:jc w:val="center"/>
        <w:ind w:right="40"/>
        <w:spacing w:after="0"/>
        <w:rPr>
          <w:sz w:val="20"/>
          <w:szCs w:val="20"/>
          <w:color w:val="auto"/>
        </w:rPr>
      </w:pPr>
      <w:r>
        <w:rPr>
          <w:rFonts w:ascii="Arial" w:cs="Arial" w:eastAsia="Arial" w:hAnsi="Arial"/>
          <w:sz w:val="20"/>
          <w:szCs w:val="20"/>
          <w:b w:val="1"/>
          <w:bCs w:val="1"/>
          <w:color w:val="auto"/>
        </w:rPr>
        <w:t>Annex I Party B’s Shareholders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8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7"/>
                <w:szCs w:val="17"/>
                <w:color w:val="auto"/>
              </w:rPr>
              <w:t>ID Card No.</w:t>
            </w:r>
          </w:p>
        </w:tc>
        <w:tc>
          <w:tcPr>
            <w:tcW w:w="2840" w:type="dxa"/>
            <w:vAlign w:val="bottom"/>
          </w:tcPr>
          <w:p>
            <w:pPr>
              <w:spacing w:after="0"/>
              <w:rPr>
                <w:sz w:val="20"/>
                <w:szCs w:val="20"/>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LI Haohan</w:t>
            </w:r>
          </w:p>
        </w:tc>
        <w:tc>
          <w:tcPr>
            <w:tcW w:w="218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217"/>
        </w:trPr>
        <w:tc>
          <w:tcPr>
            <w:tcW w:w="2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DU Peiheng</w:t>
            </w:r>
          </w:p>
        </w:tc>
        <w:tc>
          <w:tcPr>
            <w:tcW w:w="218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r>
      <w:tr>
        <w:trPr>
          <w:trHeight w:val="25"/>
        </w:trPr>
        <w:tc>
          <w:tcPr>
            <w:tcW w:w="28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840" w:type="dxa"/>
            <w:vAlign w:val="bottom"/>
          </w:tcPr>
          <w:p>
            <w:pPr>
              <w:spacing w:after="0"/>
              <w:rPr>
                <w:sz w:val="2"/>
                <w:szCs w:val="2"/>
                <w:color w:val="auto"/>
              </w:rPr>
            </w:pPr>
          </w:p>
        </w:tc>
      </w:tr>
      <w:tr>
        <w:trPr>
          <w:trHeight w:val="695"/>
        </w:trPr>
        <w:tc>
          <w:tcPr>
            <w:tcW w:w="2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543" w:name="page544"/>
    <w:bookmarkEnd w:id="543"/>
    <w:p>
      <w:pPr>
        <w:jc w:val="center"/>
        <w:ind w:right="40"/>
        <w:spacing w:after="0"/>
        <w:rPr>
          <w:sz w:val="20"/>
          <w:szCs w:val="20"/>
          <w:color w:val="auto"/>
        </w:rPr>
      </w:pPr>
      <w:r>
        <w:rPr>
          <w:rFonts w:ascii="Arial" w:cs="Arial" w:eastAsia="Arial" w:hAnsi="Arial"/>
          <w:sz w:val="20"/>
          <w:szCs w:val="20"/>
          <w:b w:val="1"/>
          <w:bCs w:val="1"/>
          <w:color w:val="auto"/>
        </w:rPr>
        <w:t>Annex II Party B’s Shareholding Structure</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Amount of Contribution</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(CNY10000)</w:t>
            </w:r>
          </w:p>
        </w:tc>
        <w:tc>
          <w:tcPr>
            <w:tcW w:w="248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0" w:type="dxa"/>
            <w:vAlign w:val="bottom"/>
            <w:tcBorders>
              <w:left w:val="single" w:sz="8" w:color="auto"/>
              <w:right w:val="single" w:sz="8" w:color="auto"/>
            </w:tcBorders>
          </w:tcPr>
          <w:p>
            <w:pPr>
              <w:spacing w:after="0"/>
              <w:rPr>
                <w:sz w:val="8"/>
                <w:szCs w:val="8"/>
                <w:color w:val="auto"/>
              </w:rPr>
            </w:pPr>
          </w:p>
        </w:tc>
        <w:tc>
          <w:tcPr>
            <w:tcW w:w="572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LI Haohan</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190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DU Peiheng</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Total</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200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14" w:right="299" w:bottom="1440" w:gutter="0" w:footer="0" w:header="0"/>
        </w:sectPr>
      </w:pPr>
    </w:p>
    <w:bookmarkStart w:id="544" w:name="page545"/>
    <w:bookmarkEnd w:id="544"/>
    <w:p>
      <w:pPr>
        <w:jc w:val="center"/>
        <w:spacing w:after="0"/>
        <w:rPr>
          <w:sz w:val="20"/>
          <w:szCs w:val="20"/>
          <w:color w:val="auto"/>
        </w:rPr>
      </w:pPr>
      <w:r>
        <w:rPr>
          <w:rFonts w:ascii="Arial" w:cs="Arial" w:eastAsia="Arial" w:hAnsi="Arial"/>
          <w:sz w:val="20"/>
          <w:szCs w:val="20"/>
          <w:b w:val="1"/>
          <w:bCs w:val="1"/>
          <w:color w:val="auto"/>
        </w:rPr>
        <w:t>Annex III Power of Attorney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Guangzhou Wudawei Education Technology Co., Ltd. (“</w:t>
      </w:r>
      <w:r>
        <w:rPr>
          <w:rFonts w:ascii="Arial" w:cs="Arial" w:eastAsia="Arial" w:hAnsi="Arial"/>
          <w:sz w:val="17"/>
          <w:szCs w:val="17"/>
          <w:b w:val="1"/>
          <w:bCs w:val="1"/>
          <w:color w:val="auto"/>
        </w:rPr>
        <w:t>Guangzhou Wudawei</w:t>
      </w:r>
      <w:r>
        <w:rPr>
          <w:rFonts w:ascii="Arial" w:cs="Arial" w:eastAsia="Arial" w:hAnsi="Arial"/>
          <w:sz w:val="17"/>
          <w:szCs w:val="17"/>
          <w:color w:val="auto"/>
        </w:rPr>
        <w:t>”) of any specific obligations required by them as the shareholders of Tianjin Shangde,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LI Haohan, Du Peiheng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Authorizers hereby irrevocably authorize to the maximum scope permitted by law Wuhan Studyvip Online Education Co., Limited ("</w:t>
      </w:r>
      <w:r>
        <w:rPr>
          <w:rFonts w:ascii="Arial" w:cs="Arial" w:eastAsia="Arial" w:hAnsi="Arial"/>
          <w:sz w:val="15"/>
          <w:szCs w:val="15"/>
          <w:b w:val="1"/>
          <w:bCs w:val="1"/>
          <w:color w:val="auto"/>
        </w:rPr>
        <w:t>WFOE</w:t>
      </w:r>
      <w:r>
        <w:rPr>
          <w:rFonts w:ascii="Arial" w:cs="Arial" w:eastAsia="Arial" w:hAnsi="Arial"/>
          <w:sz w:val="15"/>
          <w:szCs w:val="15"/>
          <w:color w:val="auto"/>
        </w:rPr>
        <w:t>") or its designated person or authorized representative (“</w:t>
      </w:r>
      <w:r>
        <w:rPr>
          <w:rFonts w:ascii="Arial" w:cs="Arial" w:eastAsia="Arial" w:hAnsi="Arial"/>
          <w:sz w:val="15"/>
          <w:szCs w:val="15"/>
          <w:b w:val="1"/>
          <w:bCs w:val="1"/>
          <w:color w:val="auto"/>
        </w:rPr>
        <w:t>Authorized Person</w:t>
      </w:r>
      <w:r>
        <w:rPr>
          <w:rFonts w:ascii="Arial" w:cs="Arial" w:eastAsia="Arial" w:hAnsi="Arial"/>
          <w:sz w:val="15"/>
          <w:szCs w:val="15"/>
          <w:color w:val="auto"/>
        </w:rPr>
        <w:t>”) to exercise all their shareholder rights corresponding to all voting shares (“</w:t>
      </w:r>
      <w:r>
        <w:rPr>
          <w:rFonts w:ascii="Arial" w:cs="Arial" w:eastAsia="Arial" w:hAnsi="Arial"/>
          <w:sz w:val="15"/>
          <w:szCs w:val="15"/>
          <w:b w:val="1"/>
          <w:bCs w:val="1"/>
          <w:color w:val="auto"/>
        </w:rPr>
        <w:t>Shares</w:t>
      </w:r>
      <w:r>
        <w:rPr>
          <w:rFonts w:ascii="Arial" w:cs="Arial" w:eastAsia="Arial" w:hAnsi="Arial"/>
          <w:sz w:val="15"/>
          <w:szCs w:val="15"/>
          <w:color w:val="auto"/>
        </w:rPr>
        <w:t>”) held by them in Guangzhou Wudawei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 (3) 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Guangzhou Wudawei at the meeting of shareholders of Guangzhou Wudawei.</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the WFOE.</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Unless the Business Operation Agreement signed by Guangzhou Wudawei,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the 14</w:t>
      </w:r>
      <w:r>
        <w:rPr>
          <w:rFonts w:ascii="Arial" w:cs="Arial" w:eastAsia="Arial" w:hAnsi="Arial"/>
          <w:sz w:val="14"/>
          <w:szCs w:val="14"/>
          <w:color w:val="auto"/>
        </w:rPr>
        <w:t>th</w:t>
      </w:r>
      <w:r>
        <w:rPr>
          <w:rFonts w:ascii="Arial" w:cs="Arial" w:eastAsia="Arial" w:hAnsi="Arial"/>
          <w:sz w:val="17"/>
          <w:szCs w:val="17"/>
          <w:color w:val="auto"/>
        </w:rPr>
        <w:t xml:space="preserve"> day of September,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5" w:name="page546"/>
    <w:bookmarkEnd w:id="545"/>
    <w:p>
      <w:pPr>
        <w:jc w:val="center"/>
        <w:ind w:right="40"/>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7"/>
                <w:szCs w:val="17"/>
                <w:b w:val="1"/>
                <w:bCs w:val="1"/>
                <w:color w:val="auto"/>
              </w:rPr>
              <w:t>Authorizers</w:t>
            </w:r>
          </w:p>
        </w:tc>
        <w:tc>
          <w:tcPr>
            <w:tcW w:w="2140" w:type="dxa"/>
            <w:vAlign w:val="bottom"/>
          </w:tcPr>
          <w:p>
            <w:pPr>
              <w:spacing w:after="0"/>
              <w:rPr>
                <w:sz w:val="18"/>
                <w:szCs w:val="18"/>
                <w:color w:val="auto"/>
              </w:rPr>
            </w:pPr>
          </w:p>
        </w:tc>
        <w:tc>
          <w:tcPr>
            <w:tcW w:w="8140" w:type="dxa"/>
            <w:vAlign w:val="bottom"/>
          </w:tcPr>
          <w:p>
            <w:pPr>
              <w:spacing w:after="0"/>
              <w:rPr>
                <w:sz w:val="18"/>
                <w:szCs w:val="18"/>
                <w:color w:val="auto"/>
              </w:rPr>
            </w:pPr>
          </w:p>
        </w:tc>
      </w:tr>
      <w:tr>
        <w:trPr>
          <w:trHeight w:val="386"/>
        </w:trPr>
        <w:tc>
          <w:tcPr>
            <w:tcW w:w="1000" w:type="dxa"/>
            <w:vAlign w:val="bottom"/>
          </w:tcPr>
          <w:p>
            <w:pPr>
              <w:spacing w:after="0"/>
              <w:rPr>
                <w:sz w:val="20"/>
                <w:szCs w:val="20"/>
                <w:color w:val="auto"/>
              </w:rPr>
            </w:pPr>
            <w:r>
              <w:rPr>
                <w:rFonts w:ascii="Arial" w:cs="Arial" w:eastAsia="Arial" w:hAnsi="Arial"/>
                <w:sz w:val="17"/>
                <w:szCs w:val="17"/>
                <w:color w:val="auto"/>
              </w:rPr>
              <w:t>LI Haohan</w:t>
            </w:r>
          </w:p>
        </w:tc>
        <w:tc>
          <w:tcPr>
            <w:tcW w:w="214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212"/>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 Haohan</w:t>
            </w:r>
          </w:p>
        </w:tc>
        <w:tc>
          <w:tcPr>
            <w:tcW w:w="8140" w:type="dxa"/>
            <w:vAlign w:val="bottom"/>
          </w:tcPr>
          <w:p>
            <w:pPr>
              <w:spacing w:after="0"/>
              <w:rPr>
                <w:sz w:val="18"/>
                <w:szCs w:val="18"/>
                <w:color w:val="auto"/>
              </w:rPr>
            </w:pPr>
          </w:p>
        </w:tc>
      </w:tr>
      <w:tr>
        <w:trPr>
          <w:trHeight w:val="379"/>
        </w:trPr>
        <w:tc>
          <w:tcPr>
            <w:tcW w:w="1000" w:type="dxa"/>
            <w:vAlign w:val="bottom"/>
          </w:tcPr>
          <w:p>
            <w:pPr>
              <w:spacing w:after="0"/>
              <w:rPr>
                <w:sz w:val="20"/>
                <w:szCs w:val="20"/>
                <w:color w:val="auto"/>
              </w:rPr>
            </w:pPr>
            <w:r>
              <w:rPr>
                <w:rFonts w:ascii="Arial" w:cs="Arial" w:eastAsia="Arial" w:hAnsi="Arial"/>
                <w:sz w:val="17"/>
                <w:szCs w:val="17"/>
                <w:color w:val="auto"/>
              </w:rPr>
              <w:t>DU Peiheng</w:t>
            </w:r>
          </w:p>
        </w:tc>
        <w:tc>
          <w:tcPr>
            <w:tcW w:w="214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212"/>
        </w:trPr>
        <w:tc>
          <w:tcPr>
            <w:tcW w:w="1000" w:type="dxa"/>
            <w:vAlign w:val="bottom"/>
          </w:tcPr>
          <w:p>
            <w:pPr>
              <w:spacing w:after="0"/>
              <w:rPr>
                <w:sz w:val="20"/>
                <w:szCs w:val="20"/>
                <w:color w:val="auto"/>
              </w:rPr>
            </w:pPr>
            <w:r>
              <w:rPr>
                <w:rFonts w:ascii="Arial" w:cs="Arial" w:eastAsia="Arial" w:hAnsi="Arial"/>
                <w:sz w:val="17"/>
                <w:szCs w:val="17"/>
                <w:color w:val="auto"/>
              </w:rPr>
              <w:t>Signature: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Du Peiheng</w:t>
            </w:r>
          </w:p>
        </w:tc>
        <w:tc>
          <w:tcPr>
            <w:tcW w:w="8140" w:type="dxa"/>
            <w:vAlign w:val="bottom"/>
          </w:tcPr>
          <w:p>
            <w:pPr>
              <w:spacing w:after="0"/>
              <w:rPr>
                <w:sz w:val="18"/>
                <w:szCs w:val="18"/>
                <w:color w:val="auto"/>
              </w:rPr>
            </w:pPr>
          </w:p>
        </w:tc>
      </w:tr>
      <w:tr>
        <w:trPr>
          <w:trHeight w:val="695"/>
        </w:trPr>
        <w:tc>
          <w:tcPr>
            <w:tcW w:w="10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546" w:name="page547"/>
    <w:bookmarkEnd w:id="546"/>
    <w:p>
      <w:pPr>
        <w:jc w:val="right"/>
        <w:ind w:right="2479"/>
        <w:spacing w:after="0"/>
        <w:rPr>
          <w:sz w:val="20"/>
          <w:szCs w:val="20"/>
          <w:color w:val="auto"/>
        </w:rPr>
      </w:pPr>
      <w:r>
        <w:rPr>
          <w:rFonts w:ascii="Arial" w:cs="Arial" w:eastAsia="Arial" w:hAnsi="Arial"/>
          <w:sz w:val="17"/>
          <w:szCs w:val="17"/>
          <w:b w:val="1"/>
          <w:bCs w:val="1"/>
          <w:color w:val="auto"/>
        </w:rPr>
        <w:t>[This page is the signature page to the Power of Attorney]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Studyvip Online Education Co., Limited</w:t>
      </w:r>
    </w:p>
    <w:p>
      <w:pPr>
        <w:spacing w:after="0" w:line="20"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 Liu Tongbo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2540</wp:posOffset>
            </wp:positionV>
            <wp:extent cx="100457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5">
                      <a:extLst>
                        <a:ext uri="{28A0092B-C50C-407E-A947-70E740481C1C}"/>
                      </a:extLst>
                    </a:blip>
                    <a:srcRect/>
                    <a:stretch>
                      <a:fillRect/>
                    </a:stretch>
                  </pic:blipFill>
                  <pic:spPr bwMode="auto">
                    <a:xfrm>
                      <a:off x="0" y="0"/>
                      <a:ext cx="1004570"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LIU Tongbo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Position: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547" w:name="page548"/>
    <w:bookmarkEnd w:id="547"/>
    <w:p>
      <w:pPr>
        <w:jc w:val="center"/>
        <w:spacing w:after="0"/>
        <w:rPr>
          <w:sz w:val="20"/>
          <w:szCs w:val="20"/>
          <w:color w:val="auto"/>
        </w:rPr>
      </w:pPr>
      <w:r>
        <w:rPr>
          <w:rFonts w:ascii="Arial" w:cs="Arial" w:eastAsia="Arial" w:hAnsi="Arial"/>
          <w:sz w:val="20"/>
          <w:szCs w:val="20"/>
          <w:b w:val="1"/>
          <w:bCs w:val="1"/>
          <w:color w:val="auto"/>
        </w:rPr>
        <w:t>Annex IV Letter of Acceptance of Rights and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company , </w:t>
      </w:r>
      <w:r>
        <w:rPr>
          <w:rFonts w:ascii="Arial" w:cs="Arial" w:eastAsia="Arial" w:hAnsi="Arial"/>
          <w:sz w:val="15"/>
          <w:szCs w:val="15"/>
          <w:b w:val="1"/>
          <w:bCs w:val="1"/>
          <w:color w:val="auto"/>
        </w:rPr>
        <w:t>______, is a subsidiary of (hereinafter referred to as “______ ”) incorporated with on the____ day of_______ , and Guangzhou Wudawei holds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 of the shares/equity of _____% of the shares/equity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accordance with the Exclusive Technical Consultation and Service Agreement (hereinafter referred to as “Agreement”) entered into by ______ Co., Limited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 other parties on the ______ day of______ , our company as a newly added “Party B’s Subsidiary” under the Agreement shall join the Agreement pursuant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Section 3.3 of the Agreement.</w:t>
      </w:r>
    </w:p>
    <w:p>
      <w:pPr>
        <w:spacing w:after="0" w:line="187" w:lineRule="exact"/>
        <w:rPr>
          <w:sz w:val="20"/>
          <w:szCs w:val="20"/>
          <w:color w:val="auto"/>
        </w:rPr>
      </w:pPr>
    </w:p>
    <w:p>
      <w:pPr>
        <w:spacing w:after="0" w:line="337" w:lineRule="auto"/>
        <w:rPr>
          <w:sz w:val="20"/>
          <w:szCs w:val="20"/>
          <w:color w:val="auto"/>
        </w:rPr>
      </w:pPr>
      <w:r>
        <w:rPr>
          <w:rFonts w:ascii="Arial" w:cs="Arial" w:eastAsia="Arial" w:hAnsi="Arial"/>
          <w:sz w:val="15"/>
          <w:szCs w:val="15"/>
          <w:b w:val="1"/>
          <w:bCs w:val="1"/>
          <w:color w:val="auto"/>
        </w:rPr>
        <w:t>Our company hereby agrees to join the Agreement as a newly added “Party B’s Subsidiary”, enjoy all rights under the Agreement and perform all our obligations under this Agreement in accordance with the Agreement, which shall come into force as of the date of signing of this Letter of Acceptance.</w:t>
      </w:r>
    </w:p>
    <w:p>
      <w:pPr>
        <w:spacing w:after="0" w:line="313" w:lineRule="exact"/>
        <w:rPr>
          <w:sz w:val="20"/>
          <w:szCs w:val="20"/>
          <w:color w:val="auto"/>
        </w:rPr>
      </w:pPr>
    </w:p>
    <w:p>
      <w:pPr>
        <w:jc w:val="both"/>
        <w:ind w:left="10060"/>
        <w:spacing w:after="0"/>
        <w:tabs>
          <w:tab w:leader="none" w:pos="107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(Seal)</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Legal Representative (Signature):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Date:</w:t>
      </w:r>
    </w:p>
    <w:p>
      <w:pPr>
        <w:sectPr>
          <w:pgSz w:w="11900" w:h="16838" w:orient="portrait"/>
          <w:cols w:equalWidth="0" w:num="1">
            <w:col w:w="11240"/>
          </w:cols>
          <w:pgMar w:left="320" w:top="313" w:right="339" w:bottom="1440" w:gutter="0" w:footer="0" w:header="0"/>
        </w:sectPr>
      </w:pPr>
    </w:p>
    <w:bookmarkStart w:id="548" w:name="page549"/>
    <w:bookmarkEnd w:id="548"/>
    <w:p>
      <w:pPr>
        <w:jc w:val="right"/>
        <w:ind w:right="40"/>
        <w:spacing w:after="0"/>
        <w:rPr>
          <w:sz w:val="20"/>
          <w:szCs w:val="20"/>
          <w:color w:val="auto"/>
        </w:rPr>
      </w:pPr>
      <w:r>
        <w:rPr>
          <w:rFonts w:ascii="Arial" w:cs="Arial" w:eastAsia="Arial" w:hAnsi="Arial"/>
          <w:sz w:val="17"/>
          <w:szCs w:val="17"/>
          <w:b w:val="1"/>
          <w:bCs w:val="1"/>
          <w:color w:val="auto"/>
        </w:rPr>
        <w:t>Exhibit 4.65</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Equity Interest Pledge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This Equity Interest Pledge Agreement (hereinafter referred to as “</w:t>
      </w:r>
      <w:r>
        <w:rPr>
          <w:rFonts w:ascii="Arial" w:cs="Arial" w:eastAsia="Arial" w:hAnsi="Arial"/>
          <w:sz w:val="15"/>
          <w:szCs w:val="15"/>
          <w:b w:val="1"/>
          <w:bCs w:val="1"/>
          <w:color w:val="auto"/>
        </w:rPr>
        <w:t>Agreement</w:t>
      </w:r>
      <w:r>
        <w:rPr>
          <w:rFonts w:ascii="Arial" w:cs="Arial" w:eastAsia="Arial" w:hAnsi="Arial"/>
          <w:sz w:val="15"/>
          <w:szCs w:val="15"/>
          <w:color w:val="auto"/>
        </w:rPr>
        <w:t>”) was made as of the 14th day of September, 2020 in Beijing, the People’s Republic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 (hereinafter referred to as the “</w:t>
      </w:r>
      <w:r>
        <w:rPr>
          <w:rFonts w:ascii="Arial" w:cs="Arial" w:eastAsia="Arial" w:hAnsi="Arial"/>
          <w:sz w:val="17"/>
          <w:szCs w:val="17"/>
          <w:b w:val="1"/>
          <w:bCs w:val="1"/>
          <w:color w:val="auto"/>
        </w:rPr>
        <w:t>Pledgors</w:t>
      </w:r>
      <w:r>
        <w:rPr>
          <w:rFonts w:ascii="Arial" w:cs="Arial" w:eastAsia="Arial" w:hAnsi="Arial"/>
          <w:sz w:val="17"/>
          <w:szCs w:val="17"/>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Guangzhou Wudawei Education Technology Co., Ltd.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Registered Address: Room No. 103 (even), No. 90-96, Kexue grand avenue, Huangpu District, Guangzhou,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 Haohan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420" w:hanging="420"/>
        <w:spacing w:after="0"/>
        <w:tabs>
          <w:tab w:leader="none" w:pos="42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The Pledgee is a wholly foreign-owned enterprise legally incorporated and existing under the law of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Party C is a limited liability company legally incorporated and existing under the law of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The Pledgors as a whole holds one hundred (100) percent of the equity of Party C, with the shareholding structure be listed in Annex II hereto.</w:t>
      </w:r>
    </w:p>
    <w:p>
      <w:pPr>
        <w:spacing w:after="0" w:line="202" w:lineRule="exact"/>
        <w:rPr>
          <w:rFonts w:ascii="Arial" w:cs="Arial" w:eastAsia="Arial" w:hAnsi="Arial"/>
          <w:sz w:val="17"/>
          <w:szCs w:val="17"/>
          <w:color w:val="auto"/>
        </w:rPr>
      </w:pPr>
    </w:p>
    <w:p>
      <w:pPr>
        <w:ind w:left="420" w:right="40" w:hanging="420"/>
        <w:spacing w:after="0" w:line="265" w:lineRule="auto"/>
        <w:tabs>
          <w:tab w:leader="none" w:pos="42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The Exclusive Technical Consultation and Service Agreement, the Business Operation Agreement and the Option Agreement were made as of the 14</w:t>
      </w:r>
      <w:r>
        <w:rPr>
          <w:rFonts w:ascii="Arial" w:cs="Arial" w:eastAsia="Arial" w:hAnsi="Arial"/>
          <w:sz w:val="14"/>
          <w:szCs w:val="14"/>
          <w:color w:val="auto"/>
        </w:rPr>
        <w:t>th</w:t>
      </w:r>
      <w:r>
        <w:rPr>
          <w:rFonts w:ascii="Arial" w:cs="Arial" w:eastAsia="Arial" w:hAnsi="Arial"/>
          <w:sz w:val="17"/>
          <w:szCs w:val="17"/>
          <w:color w:val="auto"/>
        </w:rPr>
        <w:t xml:space="preserve"> day of September, 2020 by and among the Pledgee, the Pledgors and Party C.</w:t>
      </w:r>
    </w:p>
    <w:p>
      <w:pPr>
        <w:spacing w:after="0" w:line="166" w:lineRule="exact"/>
        <w:rPr>
          <w:rFonts w:ascii="Arial" w:cs="Arial" w:eastAsia="Arial" w:hAnsi="Arial"/>
          <w:sz w:val="17"/>
          <w:szCs w:val="17"/>
          <w:color w:val="auto"/>
        </w:rPr>
      </w:pPr>
    </w:p>
    <w:p>
      <w:pPr>
        <w:jc w:val="both"/>
        <w:ind w:left="420" w:right="40" w:hanging="420"/>
        <w:spacing w:after="0" w:line="254" w:lineRule="auto"/>
        <w:tabs>
          <w:tab w:leader="none" w:pos="42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For the purpose of guaranteeing the collection by the Pledgee from Party C the service costs under the Exclusive Technical Consultation and Service Agreement and guaranteeing the performance of Individual Agreements (defined below), the Pledgors jointly and severally use all of the equity they hold in Party C as the pledge security for such Agreement, and the Pledgee shall be Party A.</w:t>
      </w:r>
    </w:p>
    <w:p>
      <w:pPr>
        <w:spacing w:after="0" w:line="17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u w:val="single" w:color="auto"/>
          <w:color w:val="auto"/>
        </w:rPr>
        <w:t>Therefore, this Agreement is entered into by and among the Parties through friendly consultation based on the principle of equality and mutual benefit subject to the terms and conditions as follows:</w:t>
      </w:r>
    </w:p>
    <w:p>
      <w:pPr>
        <w:spacing w:after="0" w:line="164" w:lineRule="exact"/>
        <w:rPr>
          <w:sz w:val="20"/>
          <w:szCs w:val="20"/>
          <w:color w:val="auto"/>
        </w:rPr>
      </w:pPr>
    </w:p>
    <w:p>
      <w:pPr>
        <w:ind w:left="860" w:hanging="860"/>
        <w:spacing w:after="0"/>
        <w:tabs>
          <w:tab w:leader="none" w:pos="860" w:val="left"/>
        </w:tabs>
        <w:numPr>
          <w:ilvl w:val="0"/>
          <w:numId w:val="624"/>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shall be interpreted as defined below unless otherwise provided herein: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1.1</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rPr>
              <w:t xml:space="preserve">Pledge Right </w:t>
            </w:r>
            <w:r>
              <w:rPr>
                <w:rFonts w:ascii="Arial" w:cs="Arial" w:eastAsia="Arial" w:hAnsi="Arial"/>
                <w:sz w:val="17"/>
                <w:szCs w:val="17"/>
                <w:color w:val="auto"/>
              </w:rPr>
              <w:t>shall refer to all the contents as described in Section 2 below.</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1.2</w:t>
            </w:r>
          </w:p>
        </w:tc>
        <w:tc>
          <w:tcPr>
            <w:tcW w:w="9880" w:type="dxa"/>
            <w:vAlign w:val="bottom"/>
          </w:tcPr>
          <w:p>
            <w:pPr>
              <w:ind w:left="320"/>
              <w:spacing w:after="0"/>
              <w:rPr>
                <w:sz w:val="20"/>
                <w:szCs w:val="20"/>
                <w:color w:val="auto"/>
              </w:rPr>
            </w:pPr>
            <w:r>
              <w:rPr>
                <w:rFonts w:ascii="Arial" w:cs="Arial" w:eastAsia="Arial" w:hAnsi="Arial"/>
                <w:sz w:val="17"/>
                <w:szCs w:val="17"/>
                <w:b w:val="1"/>
                <w:bCs w:val="1"/>
                <w:color w:val="auto"/>
                <w:w w:val="89"/>
              </w:rPr>
              <w:t xml:space="preserve">Equity </w:t>
            </w:r>
            <w:r>
              <w:rPr>
                <w:rFonts w:ascii="Arial" w:cs="Arial" w:eastAsia="Arial" w:hAnsi="Arial"/>
                <w:sz w:val="17"/>
                <w:szCs w:val="17"/>
                <w:color w:val="auto"/>
                <w:w w:val="89"/>
              </w:rPr>
              <w:t>shall refer to the one hundred (100) percent of the equity legally held by the Pledgors as a whole and any and all the current and future</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rights and benefits arising out of the foregoing.</w:t>
            </w:r>
          </w:p>
        </w:tc>
      </w:tr>
      <w:tr>
        <w:trPr>
          <w:trHeight w:val="598"/>
        </w:trPr>
        <w:tc>
          <w:tcPr>
            <w:tcW w:w="1400" w:type="dxa"/>
            <w:vAlign w:val="bottom"/>
          </w:tcPr>
          <w:p>
            <w:pPr>
              <w:spacing w:after="0"/>
              <w:rPr>
                <w:sz w:val="24"/>
                <w:szCs w:val="24"/>
                <w:color w:val="auto"/>
              </w:rPr>
            </w:pPr>
          </w:p>
        </w:tc>
        <w:tc>
          <w:tcPr>
            <w:tcW w:w="9880" w:type="dxa"/>
            <w:vAlign w:val="bottom"/>
          </w:tcPr>
          <w:p>
            <w:pPr>
              <w:jc w:val="right"/>
              <w:ind w:right="5537"/>
              <w:spacing w:after="0"/>
              <w:rPr>
                <w:sz w:val="20"/>
                <w:szCs w:val="20"/>
                <w:color w:val="auto"/>
              </w:rPr>
            </w:pPr>
            <w:r>
              <w:rPr>
                <w:rFonts w:ascii="Arial" w:cs="Arial" w:eastAsia="Arial" w:hAnsi="Arial"/>
                <w:sz w:val="17"/>
                <w:szCs w:val="17"/>
                <w:color w:val="auto"/>
              </w:rPr>
              <w:t>1</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549" w:name="page550"/>
    <w:bookmarkEnd w:id="549"/>
    <w:tbl>
      <w:tblPr>
        <w:tblLayout w:type="fixed"/>
        <w:tblInd w:w="860" w:type="dxa"/>
        <w:tblCellMar>
          <w:top w:w="0" w:type="dxa"/>
          <w:left w:w="0" w:type="dxa"/>
          <w:bottom w:w="0" w:type="dxa"/>
          <w:right w:w="0" w:type="dxa"/>
        </w:tblCellMar>
      </w:tblPr>
      <w:tr>
        <w:trPr>
          <w:trHeight w:val="203"/>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1.3</w:t>
            </w:r>
          </w:p>
        </w:tc>
        <w:tc>
          <w:tcPr>
            <w:tcW w:w="9840" w:type="dxa"/>
            <w:vAlign w:val="bottom"/>
          </w:tcPr>
          <w:p>
            <w:pPr>
              <w:ind w:left="320"/>
              <w:spacing w:after="0"/>
              <w:rPr>
                <w:sz w:val="20"/>
                <w:szCs w:val="20"/>
                <w:color w:val="auto"/>
              </w:rPr>
            </w:pPr>
            <w:r>
              <w:rPr>
                <w:rFonts w:ascii="Arial" w:cs="Arial" w:eastAsia="Arial" w:hAnsi="Arial"/>
                <w:sz w:val="17"/>
                <w:szCs w:val="17"/>
                <w:b w:val="1"/>
                <w:bCs w:val="1"/>
                <w:color w:val="auto"/>
                <w:w w:val="90"/>
              </w:rPr>
              <w:t xml:space="preserve">Individual Agreements </w:t>
            </w:r>
            <w:r>
              <w:rPr>
                <w:rFonts w:ascii="Arial" w:cs="Arial" w:eastAsia="Arial" w:hAnsi="Arial"/>
                <w:sz w:val="17"/>
                <w:szCs w:val="17"/>
                <w:color w:val="auto"/>
                <w:w w:val="90"/>
              </w:rPr>
              <w:t>shall refer to the Exclusive Technical Consultation and Service Agreement, the Business Operation Agreement and</w:t>
            </w:r>
          </w:p>
        </w:tc>
      </w:tr>
      <w:tr>
        <w:trPr>
          <w:trHeight w:val="213"/>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the Option Agreement made as of the 14</w:t>
            </w:r>
            <w:r>
              <w:rPr>
                <w:rFonts w:ascii="Arial" w:cs="Arial" w:eastAsia="Arial" w:hAnsi="Arial"/>
                <w:sz w:val="14"/>
                <w:szCs w:val="14"/>
                <w:color w:val="auto"/>
              </w:rPr>
              <w:t>th</w:t>
            </w:r>
            <w:r>
              <w:rPr>
                <w:rFonts w:ascii="Arial" w:cs="Arial" w:eastAsia="Arial" w:hAnsi="Arial"/>
                <w:sz w:val="17"/>
                <w:szCs w:val="17"/>
                <w:color w:val="auto"/>
              </w:rPr>
              <w:t xml:space="preserve"> day of September, 2020 by and among the Pledgee, Party C and other parties.</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1.4</w:t>
            </w:r>
          </w:p>
        </w:tc>
        <w:tc>
          <w:tcPr>
            <w:tcW w:w="9840" w:type="dxa"/>
            <w:vAlign w:val="bottom"/>
          </w:tcPr>
          <w:p>
            <w:pPr>
              <w:ind w:left="320"/>
              <w:spacing w:after="0"/>
              <w:rPr>
                <w:sz w:val="20"/>
                <w:szCs w:val="20"/>
                <w:color w:val="auto"/>
              </w:rPr>
            </w:pPr>
            <w:r>
              <w:rPr>
                <w:rFonts w:ascii="Arial" w:cs="Arial" w:eastAsia="Arial" w:hAnsi="Arial"/>
                <w:sz w:val="17"/>
                <w:szCs w:val="17"/>
                <w:b w:val="1"/>
                <w:bCs w:val="1"/>
                <w:color w:val="auto"/>
              </w:rPr>
              <w:t xml:space="preserve">A Default Event </w:t>
            </w:r>
            <w:r>
              <w:rPr>
                <w:rFonts w:ascii="Arial" w:cs="Arial" w:eastAsia="Arial" w:hAnsi="Arial"/>
                <w:sz w:val="17"/>
                <w:szCs w:val="17"/>
                <w:color w:val="auto"/>
              </w:rPr>
              <w:t>shall refer to any of the circumstances described in Section 7 below.</w:t>
            </w:r>
          </w:p>
        </w:tc>
      </w:tr>
      <w:tr>
        <w:trPr>
          <w:trHeight w:val="424"/>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1.5</w:t>
            </w:r>
          </w:p>
        </w:tc>
        <w:tc>
          <w:tcPr>
            <w:tcW w:w="9840" w:type="dxa"/>
            <w:vAlign w:val="bottom"/>
          </w:tcPr>
          <w:p>
            <w:pPr>
              <w:ind w:left="320"/>
              <w:spacing w:after="0"/>
              <w:rPr>
                <w:sz w:val="20"/>
                <w:szCs w:val="20"/>
                <w:color w:val="auto"/>
              </w:rPr>
            </w:pPr>
            <w:r>
              <w:rPr>
                <w:rFonts w:ascii="Arial" w:cs="Arial" w:eastAsia="Arial" w:hAnsi="Arial"/>
                <w:sz w:val="17"/>
                <w:szCs w:val="17"/>
                <w:b w:val="1"/>
                <w:bCs w:val="1"/>
                <w:color w:val="auto"/>
              </w:rPr>
              <w:t xml:space="preserve">Default Notice </w:t>
            </w:r>
            <w:r>
              <w:rPr>
                <w:rFonts w:ascii="Arial" w:cs="Arial" w:eastAsia="Arial" w:hAnsi="Arial"/>
                <w:sz w:val="17"/>
                <w:szCs w:val="17"/>
                <w:color w:val="auto"/>
              </w:rPr>
              <w:t>shall refer to a notice declaring a Default Event which is issued by a Pledgor pursuant to this Agreement.</w:t>
            </w:r>
          </w:p>
        </w:tc>
      </w:tr>
    </w:tbl>
    <w:p>
      <w:pPr>
        <w:spacing w:after="0" w:line="208" w:lineRule="exact"/>
        <w:rPr>
          <w:sz w:val="20"/>
          <w:szCs w:val="20"/>
          <w:color w:val="auto"/>
        </w:rPr>
      </w:pPr>
    </w:p>
    <w:p>
      <w:pPr>
        <w:ind w:left="860" w:hanging="860"/>
        <w:spacing w:after="0"/>
        <w:tabs>
          <w:tab w:leader="none" w:pos="860" w:val="left"/>
        </w:tabs>
        <w:numPr>
          <w:ilvl w:val="0"/>
          <w:numId w:val="625"/>
        </w:numPr>
        <w:rPr>
          <w:rFonts w:ascii="Arial" w:cs="Arial" w:eastAsia="Arial" w:hAnsi="Arial"/>
          <w:sz w:val="17"/>
          <w:szCs w:val="17"/>
          <w:b w:val="1"/>
          <w:bCs w:val="1"/>
          <w:color w:val="auto"/>
        </w:rPr>
      </w:pPr>
      <w:r>
        <w:rPr>
          <w:rFonts w:ascii="Arial" w:cs="Arial" w:eastAsia="Arial" w:hAnsi="Arial"/>
          <w:sz w:val="17"/>
          <w:szCs w:val="17"/>
          <w:b w:val="1"/>
          <w:bCs w:val="1"/>
          <w:color w:val="auto"/>
        </w:rPr>
        <w:t>Pledge</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2.1</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Pledgors pledge to the Pledgee as the security of the Pledgee’s rights and benefits under the Individual Agreements all the Equity owned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by the Pledgors and the dividends which arise from the Equity during the effective term of this Agreement.</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scope guaranteed by the pledge of the Equity hereunder shall be all fees, costs and expenses (including legal costs) payable by Party C</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and/or the Pledgors, and the losses, interest, liquidated damages, compensation, the costs for realizing the claims, and the liability that Party C</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and/or the Pledgors shall bear in case of entire or partial invalidation of any of Individual Agreements for any reason.</w:t>
            </w:r>
          </w:p>
        </w:tc>
      </w:tr>
    </w:tbl>
    <w:p>
      <w:pPr>
        <w:spacing w:after="0" w:line="187" w:lineRule="exact"/>
        <w:rPr>
          <w:sz w:val="20"/>
          <w:szCs w:val="20"/>
          <w:color w:val="auto"/>
        </w:rPr>
      </w:pPr>
    </w:p>
    <w:p>
      <w:pPr>
        <w:jc w:val="both"/>
        <w:ind w:left="860" w:right="40"/>
        <w:spacing w:after="0" w:line="269" w:lineRule="auto"/>
        <w:rPr>
          <w:sz w:val="20"/>
          <w:szCs w:val="20"/>
          <w:color w:val="auto"/>
        </w:rPr>
      </w:pPr>
      <w:r>
        <w:rPr>
          <w:rFonts w:ascii="Arial" w:cs="Arial" w:eastAsia="Arial" w:hAnsi="Arial"/>
          <w:sz w:val="16"/>
          <w:szCs w:val="16"/>
          <w:color w:val="auto"/>
        </w:rPr>
        <w:t>In case the competent industrial and commercial administration expressly requires a definite amount of the guaranteed claims during the handling of the Equity pledge registration process, the parties hereto agree, for the sole purpose of handling the Equity pledge registration, to register as the amount of the claims under the Individual Agreements CNY 5,000,000 and any and all breach-of-contract liability and damages under the related agreements. The parties further acknowledge that for the purpose of handling the Equity pledge registration, the foregoing amount shall not diminish or limit any rights or interest that Party A has under the Individual Agreements and this Equity Pledge Agreement.</w:t>
      </w:r>
    </w:p>
    <w:p>
      <w:pPr>
        <w:spacing w:after="0" w:line="165"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The Pledge Rights hereunder shall refer to the rights for the Pledgee to be paid from in priority the money gained from the conversion into</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money, auction or sale of the Equity pledged by the Pledgors to the Pledgee.</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2.4</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After this Agreement takes effect, unless expressly agreed by the Pledgee in writing, the pledge hereunder may be relieved only after Party C</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and the Pledgors have properly and fully performed all of their obligations under the Individual Agreements and the performance thereof has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been recognized by the Pledgee in writing. In case Party C or any of the Pledgors fails to fully perform any of its obligations under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Individual Agreements upon expiration of the period described thereunder, the Pledgors shall still has the Pledge Rights herein; and the pledge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will be relieved until the foregoing obligations and liability have been fully performed to the Pledgee’s satisfaction.</w:t>
            </w:r>
          </w:p>
        </w:tc>
      </w:tr>
    </w:tbl>
    <w:p>
      <w:pPr>
        <w:spacing w:after="0" w:line="183" w:lineRule="exact"/>
        <w:rPr>
          <w:sz w:val="20"/>
          <w:szCs w:val="20"/>
          <w:color w:val="auto"/>
        </w:rPr>
      </w:pPr>
    </w:p>
    <w:p>
      <w:pPr>
        <w:ind w:left="860" w:hanging="860"/>
        <w:spacing w:after="0"/>
        <w:tabs>
          <w:tab w:leader="none" w:pos="860" w:val="left"/>
        </w:tabs>
        <w:numPr>
          <w:ilvl w:val="0"/>
          <w:numId w:val="626"/>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3.1</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This Agreement shall be formed and take effect as of the date of being signed and/or sealed by the parties hereto. The Pledge Rights hereunder</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shall be set up and take effect as of the date when the registration formalities regarding the Equity pledge have been completed at Party C’s</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competent industrial and commercial administration.</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3.2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During the effective term of this Agreement, in case Party C fails to pay the service costs subject to the Exclusive Technical Consultation and</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Service Agreement or perform any other obligations thereunder, the Pledgee shall have the right to exercise the Pledge Rights hereunder after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issuing a reasonable notice.</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2</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1" w:right="299" w:bottom="1440" w:gutter="0" w:footer="0" w:header="0"/>
        </w:sectPr>
      </w:pPr>
    </w:p>
    <w:bookmarkStart w:id="550" w:name="page551"/>
    <w:bookmarkEnd w:id="550"/>
    <w:p>
      <w:pPr>
        <w:ind w:left="860" w:hanging="860"/>
        <w:spacing w:after="0"/>
        <w:tabs>
          <w:tab w:leader="none" w:pos="860" w:val="left"/>
        </w:tabs>
        <w:numPr>
          <w:ilvl w:val="0"/>
          <w:numId w:val="627"/>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and Custody of the Pledge Rights Receipts; Registration of Pledge Rights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4.1</w:t>
            </w: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The Pledgors shall, within Ten (10) business days after the execution of this Agreement or any other date mutually negotiated and fixed by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Parties hereto, deliver to the Pledgee the Equity Contribution Certificate (Original) for the pledge’s custody, submit to the Pledgee the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certification that the pledge hereunder has been properly registered in Party C’s Shareholders’ Register, and handle any and all examinations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and approvals and registration and filing formalities (including but not limited to, handling the Equity pledge registration formalities at Party</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6"/>
              </w:rPr>
              <w:t>C’s competent industrial and commercial administration subject to the laws of China) required by the laws and regulations of China.</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4.2</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In case of any change of particulars and the registration needs to be legally changed accordingly, the Pledgee and the Pledgors shall, within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Five (5) business days as of the date of change of particulars, carry out the change of registration accordingly, submit the applicable change of</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registration documents and handle the applicable change registration formalities at Party C’s competent industrial and commercial</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administration.</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4.3</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During the Equity pledge period, the Pledgors shall instruct Party C not to distribute any dividend or bonus or approve any profit distribution</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8"/>
              </w:rPr>
              <w:t>program; or in case the Pledgors shall obtain any economic interest of any nature from the pledged Equity other than dividend or bonus or any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other profit distribution program, the Pledgors shall remit, as required and instructed by the Pledgee, to the banking account specified by the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Pledgee the applicable (realized) amount, which shall not be used by the Pledgors without the Pledgee’s prior written consent.</w:t>
            </w:r>
          </w:p>
        </w:tc>
      </w:tr>
      <w:tr>
        <w:trPr>
          <w:trHeight w:val="38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4.4</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During the Equity pledge period, in case the any of the Pledgors subscribe for or purchase any of Party C’s new registered capital or any of</w:t>
            </w:r>
          </w:p>
        </w:tc>
      </w:tr>
      <w:tr>
        <w:trPr>
          <w:trHeight w:val="203"/>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5"/>
              </w:rPr>
              <w:t>Party C’s Equity held by any other Pledgor (the “</w:t>
            </w:r>
            <w:r>
              <w:rPr>
                <w:rFonts w:ascii="Arial" w:cs="Arial" w:eastAsia="Arial" w:hAnsi="Arial"/>
                <w:sz w:val="17"/>
                <w:szCs w:val="17"/>
                <w:b w:val="1"/>
                <w:bCs w:val="1"/>
                <w:color w:val="auto"/>
                <w:w w:val="95"/>
              </w:rPr>
              <w:t>New Equity</w:t>
            </w:r>
            <w:r>
              <w:rPr>
                <w:rFonts w:ascii="Arial" w:cs="Arial" w:eastAsia="Arial" w:hAnsi="Arial"/>
                <w:sz w:val="17"/>
                <w:szCs w:val="17"/>
                <w:color w:val="auto"/>
                <w:w w:val="95"/>
              </w:rPr>
              <w:t>”), the New Equity will then automatically form part of the pledged Equity</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hereunder, and such Pledgor shall complete any and all formalities regarding the pledge of the New Equity within Ten (10) business days</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4"/>
              </w:rPr>
              <w:t>following its acquisition of the New Equity. In case the Pledgor fails to complete the applicable formalities as required in the preceding</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sentence, the Pledgee may promptly have the Pledge Rights realized pursuant to Section 8 below.</w:t>
            </w:r>
          </w:p>
        </w:tc>
      </w:tr>
    </w:tbl>
    <w:p>
      <w:pPr>
        <w:spacing w:after="0" w:line="183" w:lineRule="exact"/>
        <w:rPr>
          <w:sz w:val="20"/>
          <w:szCs w:val="20"/>
          <w:color w:val="auto"/>
        </w:rPr>
      </w:pPr>
    </w:p>
    <w:p>
      <w:pPr>
        <w:ind w:left="860" w:hanging="860"/>
        <w:spacing w:after="0"/>
        <w:tabs>
          <w:tab w:leader="none" w:pos="860" w:val="left"/>
        </w:tabs>
        <w:numPr>
          <w:ilvl w:val="0"/>
          <w:numId w:val="628"/>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Pledgors</w:t>
      </w: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Upon the execution of this Agreement, the Pledgors make to the Pledgee the following representations and warranties and confirm that this Agreement is signed and performed by the Pledgee by them in reliance of such representations and warranties: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5.1</w:t>
            </w:r>
          </w:p>
        </w:tc>
        <w:tc>
          <w:tcPr>
            <w:tcW w:w="9880" w:type="dxa"/>
            <w:vAlign w:val="bottom"/>
          </w:tcPr>
          <w:p>
            <w:pPr>
              <w:ind w:left="320"/>
              <w:spacing w:after="0"/>
              <w:rPr>
                <w:sz w:val="20"/>
                <w:szCs w:val="20"/>
                <w:color w:val="auto"/>
              </w:rPr>
            </w:pPr>
            <w:r>
              <w:rPr>
                <w:rFonts w:ascii="Arial" w:cs="Arial" w:eastAsia="Arial" w:hAnsi="Arial"/>
                <w:sz w:val="17"/>
                <w:szCs w:val="17"/>
                <w:color w:val="auto"/>
                <w:w w:val="99"/>
              </w:rPr>
              <w:t>The Pledgors lawfully hold the Equity hereunder and have the right to use such Equity to provide pledge security to the Pledgee.</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5.2</w:t>
            </w:r>
          </w:p>
        </w:tc>
        <w:tc>
          <w:tcPr>
            <w:tcW w:w="9880" w:type="dxa"/>
            <w:vAlign w:val="bottom"/>
          </w:tcPr>
          <w:p>
            <w:pPr>
              <w:ind w:left="320"/>
              <w:spacing w:after="0"/>
              <w:rPr>
                <w:sz w:val="20"/>
                <w:szCs w:val="20"/>
                <w:color w:val="auto"/>
              </w:rPr>
            </w:pPr>
            <w:r>
              <w:rPr>
                <w:rFonts w:ascii="Arial" w:cs="Arial" w:eastAsia="Arial" w:hAnsi="Arial"/>
                <w:sz w:val="17"/>
                <w:szCs w:val="17"/>
                <w:color w:val="auto"/>
                <w:w w:val="90"/>
              </w:rPr>
              <w:t>After this Agreement is executed, during the period when the Pledgee has the Pledge Rights subject to Section 2.4 above, when the Pledgee</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95"/>
              </w:rPr>
              <w:t>exercises, at any time, its rights or has the Pledge Rights realized pursuant to this Agreement, there shall be no lawful claim or proper</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intervention from or by any third party.</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5.3</w:t>
            </w:r>
          </w:p>
        </w:tc>
        <w:tc>
          <w:tcPr>
            <w:tcW w:w="9880" w:type="dxa"/>
            <w:vAlign w:val="bottom"/>
          </w:tcPr>
          <w:p>
            <w:pPr>
              <w:ind w:left="320"/>
              <w:spacing w:after="0"/>
              <w:rPr>
                <w:sz w:val="20"/>
                <w:szCs w:val="20"/>
                <w:color w:val="auto"/>
              </w:rPr>
            </w:pPr>
            <w:r>
              <w:rPr>
                <w:rFonts w:ascii="Arial" w:cs="Arial" w:eastAsia="Arial" w:hAnsi="Arial"/>
                <w:sz w:val="17"/>
                <w:szCs w:val="17"/>
                <w:color w:val="auto"/>
                <w:w w:val="91"/>
              </w:rPr>
              <w:t>The Pledgee shall have the right to exercise the Pledge Rights as per the method described herein or otherwise permitted by the laws and</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regulations.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5.4</w:t>
            </w:r>
          </w:p>
        </w:tc>
        <w:tc>
          <w:tcPr>
            <w:tcW w:w="9880" w:type="dxa"/>
            <w:vAlign w:val="bottom"/>
          </w:tcPr>
          <w:p>
            <w:pPr>
              <w:ind w:left="320"/>
              <w:spacing w:after="0"/>
              <w:rPr>
                <w:sz w:val="20"/>
                <w:szCs w:val="20"/>
                <w:color w:val="auto"/>
              </w:rPr>
            </w:pPr>
            <w:r>
              <w:rPr>
                <w:rFonts w:ascii="Arial" w:cs="Arial" w:eastAsia="Arial" w:hAnsi="Arial"/>
                <w:sz w:val="17"/>
                <w:szCs w:val="17"/>
                <w:color w:val="auto"/>
                <w:w w:val="88"/>
              </w:rPr>
              <w:t>The Pledgors have obtained all necessary corporate authorization to sign this Agreement and perform its obligations hereunder, which does not</w:t>
            </w:r>
          </w:p>
        </w:tc>
      </w:tr>
      <w:tr>
        <w:trPr>
          <w:trHeight w:val="199"/>
        </w:trPr>
        <w:tc>
          <w:tcPr>
            <w:tcW w:w="1400" w:type="dxa"/>
            <w:vAlign w:val="bottom"/>
          </w:tcPr>
          <w:p>
            <w:pPr>
              <w:spacing w:after="0"/>
              <w:rPr>
                <w:sz w:val="17"/>
                <w:szCs w:val="17"/>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w w:val="89"/>
              </w:rPr>
              <w:t>violate any provisions of any applicable laws and regulations. The authorized representative signatories of this Agreement have obtained legal</w:t>
            </w:r>
          </w:p>
        </w:tc>
      </w:tr>
      <w:tr>
        <w:trPr>
          <w:trHeight w:val="212"/>
        </w:trPr>
        <w:tc>
          <w:tcPr>
            <w:tcW w:w="140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7"/>
                <w:szCs w:val="17"/>
                <w:color w:val="auto"/>
              </w:rPr>
              <w:t>and effective authorization.</w:t>
            </w:r>
          </w:p>
        </w:tc>
      </w:tr>
      <w:tr>
        <w:trPr>
          <w:trHeight w:val="598"/>
        </w:trPr>
        <w:tc>
          <w:tcPr>
            <w:tcW w:w="140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7"/>
                <w:szCs w:val="17"/>
                <w:color w:val="auto"/>
              </w:rPr>
              <w:t>3</w:t>
            </w:r>
          </w:p>
        </w:tc>
      </w:tr>
      <w:tr>
        <w:trPr>
          <w:trHeight w:val="104"/>
        </w:trPr>
        <w:tc>
          <w:tcPr>
            <w:tcW w:w="1400" w:type="dxa"/>
            <w:vAlign w:val="bottom"/>
            <w:tcBorders>
              <w:bottom w:val="single" w:sz="8" w:color="9A9A9A"/>
            </w:tcBorders>
          </w:tcPr>
          <w:p>
            <w:pPr>
              <w:spacing w:after="0"/>
              <w:rPr>
                <w:sz w:val="9"/>
                <w:szCs w:val="9"/>
                <w:color w:val="auto"/>
              </w:rPr>
            </w:pPr>
          </w:p>
        </w:tc>
        <w:tc>
          <w:tcPr>
            <w:tcW w:w="9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1" w:right="299" w:bottom="1440" w:gutter="0" w:footer="0" w:header="0"/>
        </w:sectPr>
      </w:pPr>
    </w:p>
    <w:bookmarkStart w:id="551" w:name="page552"/>
    <w:bookmarkEnd w:id="551"/>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5.5</w:t>
            </w:r>
          </w:p>
        </w:tc>
        <w:tc>
          <w:tcPr>
            <w:tcW w:w="9840" w:type="dxa"/>
            <w:vAlign w:val="bottom"/>
          </w:tcPr>
          <w:p>
            <w:pPr>
              <w:ind w:left="320"/>
              <w:spacing w:after="0"/>
              <w:rPr>
                <w:sz w:val="20"/>
                <w:szCs w:val="20"/>
                <w:color w:val="auto"/>
              </w:rPr>
            </w:pPr>
            <w:r>
              <w:rPr>
                <w:rFonts w:ascii="Arial" w:cs="Arial" w:eastAsia="Arial" w:hAnsi="Arial"/>
                <w:sz w:val="17"/>
                <w:szCs w:val="17"/>
                <w:color w:val="auto"/>
                <w:w w:val="92"/>
              </w:rPr>
              <w:t>There is no encumbrance or security interest of any nature for any third person (including but not limited to pledge) except for the pledge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hereunder in connection with the Equity held by the Pledgors.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5.6</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There are no pending or threatened civil, administrative or criminal proceedings, administrative punishment or arbitration in connection with</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the Equity.</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5.7</w:t>
            </w: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There are no tax or fee due but unpaid, or legal procedures or formalities that should have been completed but have not been completed, in</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connection with the Equity.</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5.8</w:t>
            </w:r>
          </w:p>
        </w:tc>
        <w:tc>
          <w:tcPr>
            <w:tcW w:w="9840" w:type="dxa"/>
            <w:vAlign w:val="bottom"/>
          </w:tcPr>
          <w:p>
            <w:pPr>
              <w:ind w:left="320"/>
              <w:spacing w:after="0"/>
              <w:rPr>
                <w:sz w:val="20"/>
                <w:szCs w:val="20"/>
                <w:color w:val="auto"/>
              </w:rPr>
            </w:pPr>
            <w:r>
              <w:rPr>
                <w:rFonts w:ascii="Arial" w:cs="Arial" w:eastAsia="Arial" w:hAnsi="Arial"/>
                <w:sz w:val="17"/>
                <w:szCs w:val="17"/>
                <w:color w:val="auto"/>
              </w:rPr>
              <w:t>Any and all provisions hereof are the expression of the Pledgors’ true intention and are binding upon the Pledgors.</w:t>
            </w:r>
          </w:p>
        </w:tc>
      </w:tr>
    </w:tbl>
    <w:p>
      <w:pPr>
        <w:spacing w:after="0" w:line="208" w:lineRule="exact"/>
        <w:rPr>
          <w:sz w:val="20"/>
          <w:szCs w:val="20"/>
          <w:color w:val="auto"/>
        </w:rPr>
      </w:pPr>
    </w:p>
    <w:p>
      <w:pPr>
        <w:ind w:left="860" w:hanging="860"/>
        <w:spacing w:after="0"/>
        <w:tabs>
          <w:tab w:leader="none" w:pos="860" w:val="left"/>
        </w:tabs>
        <w:numPr>
          <w:ilvl w:val="0"/>
          <w:numId w:val="629"/>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 of the Pledgors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6.1</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During the effective term of this Agreement, the Pledgors undertake to the Pledgee that the Pledgors:</w:t>
            </w:r>
          </w:p>
        </w:tc>
      </w:tr>
      <w:tr>
        <w:trPr>
          <w:trHeight w:val="411"/>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6.1.1</w:t>
            </w:r>
          </w:p>
        </w:tc>
        <w:tc>
          <w:tcPr>
            <w:tcW w:w="8960" w:type="dxa"/>
            <w:vAlign w:val="bottom"/>
          </w:tcPr>
          <w:p>
            <w:pPr>
              <w:ind w:left="260"/>
              <w:spacing w:after="0"/>
              <w:rPr>
                <w:sz w:val="20"/>
                <w:szCs w:val="20"/>
                <w:color w:val="auto"/>
              </w:rPr>
            </w:pPr>
            <w:r>
              <w:rPr>
                <w:rFonts w:ascii="Arial" w:cs="Arial" w:eastAsia="Arial" w:hAnsi="Arial"/>
                <w:sz w:val="17"/>
                <w:szCs w:val="17"/>
                <w:color w:val="auto"/>
                <w:w w:val="89"/>
              </w:rPr>
              <w:t>Except for the transfer of the Equity to the Pledgee or any other person specified by the Pledgee as required by the Pledgee, prior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to the full performance of their obligations thereunder, without the Pledgee’s prior written consent, will not transfer the Equity 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88"/>
              </w:rPr>
              <w:t>create, or permit, any pledge or any other encumbrance that may affect the Pledgee’s rights or interest or any third-person security</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interest of any form. Without the Pledgee’s prior written consent, the Pledgors shall not take any action which will or may result</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in change to the Equity or any rights incidental to the Equity, which will or may then result in substantially adverse effects upon</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the Pledgee’s rights.</w:t>
            </w:r>
          </w:p>
        </w:tc>
      </w:tr>
      <w:tr>
        <w:trPr>
          <w:trHeight w:val="386"/>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6.1.2</w:t>
            </w:r>
          </w:p>
        </w:tc>
        <w:tc>
          <w:tcPr>
            <w:tcW w:w="8960" w:type="dxa"/>
            <w:vAlign w:val="bottom"/>
          </w:tcPr>
          <w:p>
            <w:pPr>
              <w:ind w:left="260"/>
              <w:spacing w:after="0"/>
              <w:rPr>
                <w:sz w:val="20"/>
                <w:szCs w:val="20"/>
                <w:color w:val="auto"/>
              </w:rPr>
            </w:pPr>
            <w:r>
              <w:rPr>
                <w:rFonts w:ascii="Arial" w:cs="Arial" w:eastAsia="Arial" w:hAnsi="Arial"/>
                <w:sz w:val="17"/>
                <w:szCs w:val="17"/>
                <w:color w:val="auto"/>
                <w:w w:val="90"/>
              </w:rPr>
              <w:t>Comply with and implement the provisions of all applicable laws and regulations, and within Five (5) business days upon receipt</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1"/>
              </w:rPr>
              <w:t>of any notice, order or suggestion issued or prepared by the relevant competent authority in connection with the Pledge Rights,</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produce to the Pledgee such notice, order or suggestion and take action as reasonably instructed by the Pledgee.</w:t>
            </w:r>
          </w:p>
        </w:tc>
      </w:tr>
      <w:tr>
        <w:trPr>
          <w:trHeight w:val="386"/>
        </w:trPr>
        <w:tc>
          <w:tcPr>
            <w:tcW w:w="140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6.1.3</w:t>
            </w:r>
          </w:p>
        </w:tc>
        <w:tc>
          <w:tcPr>
            <w:tcW w:w="8960" w:type="dxa"/>
            <w:vAlign w:val="bottom"/>
          </w:tcPr>
          <w:p>
            <w:pPr>
              <w:ind w:left="260"/>
              <w:spacing w:after="0"/>
              <w:rPr>
                <w:sz w:val="20"/>
                <w:szCs w:val="20"/>
                <w:color w:val="auto"/>
              </w:rPr>
            </w:pPr>
            <w:r>
              <w:rPr>
                <w:rFonts w:ascii="Arial" w:cs="Arial" w:eastAsia="Arial" w:hAnsi="Arial"/>
                <w:sz w:val="17"/>
                <w:szCs w:val="17"/>
                <w:color w:val="auto"/>
                <w:w w:val="89"/>
              </w:rPr>
              <w:t>Timely notify the Pledgee any event or notice received that may affect the Pledgors’ Equity or other rights hereunder, any event or</w:t>
            </w:r>
          </w:p>
        </w:tc>
      </w:tr>
      <w:tr>
        <w:trPr>
          <w:trHeight w:val="199"/>
        </w:trPr>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w w:val="93"/>
              </w:rPr>
              <w:t>notice received that may affect any of the Pledgors’ obligations hereunder or affect the Pledgors’ performance of any of their</w:t>
            </w:r>
          </w:p>
        </w:tc>
      </w:tr>
      <w:tr>
        <w:trPr>
          <w:trHeight w:val="212"/>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7"/>
                <w:szCs w:val="17"/>
                <w:color w:val="auto"/>
              </w:rPr>
              <w:t>obligations hereunder, and take action as reasonably instructed by the Pledgee.</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6.2</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agree that they will procure that the exercise by the Pledgee of any of its rights pursuant to the provisions of this Agreement will</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not be interrupted or prevented by the Pledgors or their successors or assignees or any other persons.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6.3</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The Pledgors warrant to the Pledgee that for the purpose of protecting or perfecting the security of the Pledgors and/or Party C’s obligations</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4"/>
              </w:rPr>
              <w:t>under the Individual Agreements, the Pledgors will make all necessary amendments to Party C’s Articles of Association (if applicable),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0"/>
              </w:rPr>
              <w:t>honestly sign, and procure any other persons who has interest in Pledge Rights to sign all title or right certificates and deeds as requested by</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2"/>
              </w:rPr>
              <w:t>the Pledgee, and/or perform, and procure any other persons who has interest therein to perform, the acts as reasonably requested by the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Pledgee, facilitate the exercise by the Pledgee of the Pledge Rights, sign all documents related to the Equity certificate change with the Pledgee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1"/>
              </w:rPr>
              <w:t>or any third party appointed by the Pledgee, and provide to the Pledgee within a reasonable period all the documents related to the Pledge</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Rights as needed by the Pledgee.</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6.4</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warrant to the Pledgee that for the protection of the Pledgee’s interest, the Pledgors will comply with and perform all warranties,</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undertaking, covenants and representations. In case the Pledgors fail to perform, or partially perform, their warranties, undertaking, covenants</w:t>
            </w:r>
          </w:p>
        </w:tc>
      </w:tr>
      <w:tr>
        <w:trPr>
          <w:trHeight w:val="212"/>
        </w:trPr>
        <w:tc>
          <w:tcPr>
            <w:tcW w:w="14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7"/>
                <w:szCs w:val="17"/>
                <w:color w:val="auto"/>
              </w:rPr>
              <w:t>or</w:t>
            </w:r>
          </w:p>
        </w:tc>
        <w:tc>
          <w:tcPr>
            <w:tcW w:w="8960" w:type="dxa"/>
            <w:vAlign w:val="bottom"/>
          </w:tcPr>
          <w:p>
            <w:pPr>
              <w:spacing w:after="0"/>
              <w:rPr>
                <w:sz w:val="18"/>
                <w:szCs w:val="18"/>
                <w:color w:val="auto"/>
              </w:rPr>
            </w:pPr>
          </w:p>
        </w:tc>
      </w:tr>
      <w:tr>
        <w:trPr>
          <w:trHeight w:val="598"/>
        </w:trPr>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60" w:type="dxa"/>
            <w:vAlign w:val="bottom"/>
          </w:tcPr>
          <w:p>
            <w:pPr>
              <w:ind w:left="3260"/>
              <w:spacing w:after="0"/>
              <w:rPr>
                <w:sz w:val="20"/>
                <w:szCs w:val="20"/>
                <w:color w:val="auto"/>
              </w:rPr>
            </w:pPr>
            <w:r>
              <w:rPr>
                <w:rFonts w:ascii="Arial" w:cs="Arial" w:eastAsia="Arial" w:hAnsi="Arial"/>
                <w:sz w:val="17"/>
                <w:szCs w:val="17"/>
                <w:color w:val="auto"/>
              </w:rPr>
              <w:t>4</w:t>
            </w:r>
          </w:p>
        </w:tc>
      </w:tr>
      <w:tr>
        <w:trPr>
          <w:trHeight w:val="104"/>
        </w:trPr>
        <w:tc>
          <w:tcPr>
            <w:tcW w:w="1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5" w:right="299" w:bottom="1440" w:gutter="0" w:footer="0" w:header="0"/>
        </w:sectPr>
      </w:pPr>
    </w:p>
    <w:bookmarkStart w:id="552" w:name="page553"/>
    <w:bookmarkEnd w:id="552"/>
    <w:p>
      <w:pPr>
        <w:ind w:left="1720"/>
        <w:spacing w:after="0"/>
        <w:rPr>
          <w:sz w:val="20"/>
          <w:szCs w:val="20"/>
          <w:color w:val="auto"/>
        </w:rPr>
      </w:pPr>
      <w:r>
        <w:rPr>
          <w:rFonts w:ascii="Arial" w:cs="Arial" w:eastAsia="Arial" w:hAnsi="Arial"/>
          <w:sz w:val="17"/>
          <w:szCs w:val="17"/>
          <w:color w:val="auto"/>
        </w:rPr>
        <w:t>representations, the Pledgors shall indemnify all the loss suffered by the Pledgee arising out thereof or in connection therewith.</w:t>
      </w:r>
    </w:p>
    <w:p>
      <w:pPr>
        <w:spacing w:after="0" w:line="224" w:lineRule="exact"/>
        <w:rPr>
          <w:sz w:val="20"/>
          <w:szCs w:val="20"/>
          <w:color w:val="auto"/>
        </w:rPr>
      </w:pPr>
    </w:p>
    <w:p>
      <w:pPr>
        <w:ind w:left="860" w:hanging="860"/>
        <w:spacing w:after="0"/>
        <w:tabs>
          <w:tab w:leader="none" w:pos="860" w:val="left"/>
        </w:tabs>
        <w:numPr>
          <w:ilvl w:val="0"/>
          <w:numId w:val="630"/>
        </w:numPr>
        <w:rPr>
          <w:rFonts w:ascii="Arial" w:cs="Arial" w:eastAsia="Arial" w:hAnsi="Arial"/>
          <w:sz w:val="17"/>
          <w:szCs w:val="17"/>
          <w:b w:val="1"/>
          <w:bCs w:val="1"/>
          <w:color w:val="auto"/>
        </w:rPr>
      </w:pPr>
      <w:r>
        <w:rPr>
          <w:rFonts w:ascii="Arial" w:cs="Arial" w:eastAsia="Arial" w:hAnsi="Arial"/>
          <w:sz w:val="17"/>
          <w:szCs w:val="17"/>
          <w:b w:val="1"/>
          <w:bCs w:val="1"/>
          <w:color w:val="auto"/>
        </w:rPr>
        <w:t>Default Event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7.1</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Any of the following events will be deemed to be a Default Event:</w:t>
            </w:r>
          </w:p>
        </w:tc>
      </w:tr>
      <w:tr>
        <w:trPr>
          <w:trHeight w:val="411"/>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w:t>
            </w:r>
          </w:p>
        </w:tc>
        <w:tc>
          <w:tcPr>
            <w:tcW w:w="8920" w:type="dxa"/>
            <w:vAlign w:val="bottom"/>
          </w:tcPr>
          <w:p>
            <w:pPr>
              <w:ind w:left="220"/>
              <w:spacing w:after="0"/>
              <w:rPr>
                <w:sz w:val="20"/>
                <w:szCs w:val="20"/>
                <w:color w:val="auto"/>
              </w:rPr>
            </w:pPr>
            <w:r>
              <w:rPr>
                <w:rFonts w:ascii="Arial" w:cs="Arial" w:eastAsia="Arial" w:hAnsi="Arial"/>
                <w:sz w:val="17"/>
                <w:szCs w:val="17"/>
                <w:color w:val="auto"/>
                <w:w w:val="88"/>
              </w:rPr>
              <w:t>Party C or any of its successors or assignees fails to fully pay on schedule any amounts payable under the Individual Agreements,</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w w:val="96"/>
              </w:rPr>
              <w:t>or the Pledgors or their successors or assignees fail to perform any of their obligations under the Individual Agreements.</w:t>
            </w:r>
          </w:p>
        </w:tc>
      </w:tr>
      <w:tr>
        <w:trPr>
          <w:trHeight w:val="386"/>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7.1.2</w:t>
            </w:r>
          </w:p>
        </w:tc>
        <w:tc>
          <w:tcPr>
            <w:tcW w:w="8920" w:type="dxa"/>
            <w:vAlign w:val="bottom"/>
          </w:tcPr>
          <w:p>
            <w:pPr>
              <w:ind w:left="220"/>
              <w:spacing w:after="0"/>
              <w:rPr>
                <w:sz w:val="20"/>
                <w:szCs w:val="20"/>
                <w:color w:val="auto"/>
              </w:rPr>
            </w:pPr>
            <w:r>
              <w:rPr>
                <w:rFonts w:ascii="Arial" w:cs="Arial" w:eastAsia="Arial" w:hAnsi="Arial"/>
                <w:sz w:val="17"/>
                <w:szCs w:val="17"/>
                <w:color w:val="auto"/>
                <w:w w:val="93"/>
              </w:rPr>
              <w:t>Any representation, warranty or undertaking made by the Pledgors under Section 5 or 6 above is substantially misleading or</w:t>
            </w:r>
          </w:p>
        </w:tc>
      </w:tr>
      <w:tr>
        <w:trPr>
          <w:trHeight w:val="199"/>
        </w:trPr>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w w:val="91"/>
              </w:rPr>
              <w:t>incorrect, and/or the Pledgors violates any representation, warranty or undertaking made by the Pledgors under Section 5 or 6</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above.</w:t>
            </w:r>
          </w:p>
        </w:tc>
      </w:tr>
      <w:tr>
        <w:trPr>
          <w:trHeight w:val="39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7.1.3</w:t>
            </w:r>
          </w:p>
        </w:tc>
        <w:tc>
          <w:tcPr>
            <w:tcW w:w="8920" w:type="dxa"/>
            <w:vAlign w:val="bottom"/>
          </w:tcPr>
          <w:p>
            <w:pPr>
              <w:ind w:left="220"/>
              <w:spacing w:after="0"/>
              <w:rPr>
                <w:sz w:val="20"/>
                <w:szCs w:val="20"/>
                <w:color w:val="auto"/>
              </w:rPr>
            </w:pPr>
            <w:r>
              <w:rPr>
                <w:rFonts w:ascii="Arial" w:cs="Arial" w:eastAsia="Arial" w:hAnsi="Arial"/>
                <w:sz w:val="17"/>
                <w:szCs w:val="17"/>
                <w:color w:val="auto"/>
              </w:rPr>
              <w:t>The Pledgors or Party C violates any provision of this Agreement.</w:t>
            </w:r>
          </w:p>
        </w:tc>
      </w:tr>
      <w:tr>
        <w:trPr>
          <w:trHeight w:val="411"/>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7.1.4</w:t>
            </w:r>
          </w:p>
        </w:tc>
        <w:tc>
          <w:tcPr>
            <w:tcW w:w="8920" w:type="dxa"/>
            <w:vAlign w:val="bottom"/>
          </w:tcPr>
          <w:p>
            <w:pPr>
              <w:ind w:left="220"/>
              <w:spacing w:after="0"/>
              <w:rPr>
                <w:sz w:val="20"/>
                <w:szCs w:val="20"/>
                <w:color w:val="auto"/>
              </w:rPr>
            </w:pPr>
            <w:r>
              <w:rPr>
                <w:rFonts w:ascii="Arial" w:cs="Arial" w:eastAsia="Arial" w:hAnsi="Arial"/>
                <w:sz w:val="17"/>
                <w:szCs w:val="17"/>
                <w:color w:val="auto"/>
                <w:w w:val="92"/>
              </w:rPr>
              <w:t>Except as otherwise agreed in Section 6.1.1 above, the Pledgors transfer or otherwise dispose the pledged Equity without the</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Pledgee’s written consent.</w:t>
            </w:r>
          </w:p>
        </w:tc>
      </w:tr>
      <w:tr>
        <w:trPr>
          <w:trHeight w:val="386"/>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7.1.5</w:t>
            </w:r>
          </w:p>
        </w:tc>
        <w:tc>
          <w:tcPr>
            <w:tcW w:w="8920" w:type="dxa"/>
            <w:vAlign w:val="bottom"/>
          </w:tcPr>
          <w:p>
            <w:pPr>
              <w:ind w:left="220"/>
              <w:spacing w:after="0"/>
              <w:rPr>
                <w:sz w:val="20"/>
                <w:szCs w:val="20"/>
                <w:color w:val="auto"/>
              </w:rPr>
            </w:pPr>
            <w:r>
              <w:rPr>
                <w:rFonts w:ascii="Arial" w:cs="Arial" w:eastAsia="Arial" w:hAnsi="Arial"/>
                <w:sz w:val="17"/>
                <w:szCs w:val="17"/>
                <w:color w:val="auto"/>
                <w:w w:val="96"/>
              </w:rPr>
              <w:t>Any of the Pledgors’ external borrowings, security, compensation, undertaking or other debt or liability shall be repaid or</w:t>
            </w:r>
          </w:p>
        </w:tc>
      </w:tr>
      <w:tr>
        <w:trPr>
          <w:trHeight w:val="199"/>
        </w:trPr>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w w:val="89"/>
              </w:rPr>
              <w:t>performed in advance or is due but cannot be repaid or performed on schedule, which makes the Pledgee reasonably believe that</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the Pledgors’ ability to perform any of their obligations is affected, which further affect the Pledgee’s interest.</w:t>
            </w:r>
          </w:p>
        </w:tc>
      </w:tr>
      <w:tr>
        <w:trPr>
          <w:trHeight w:val="39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7.1.6</w:t>
            </w:r>
          </w:p>
        </w:tc>
        <w:tc>
          <w:tcPr>
            <w:tcW w:w="8920" w:type="dxa"/>
            <w:vAlign w:val="bottom"/>
          </w:tcPr>
          <w:p>
            <w:pPr>
              <w:ind w:left="220"/>
              <w:spacing w:after="0"/>
              <w:rPr>
                <w:sz w:val="20"/>
                <w:szCs w:val="20"/>
                <w:color w:val="auto"/>
              </w:rPr>
            </w:pPr>
            <w:r>
              <w:rPr>
                <w:rFonts w:ascii="Arial" w:cs="Arial" w:eastAsia="Arial" w:hAnsi="Arial"/>
                <w:sz w:val="17"/>
                <w:szCs w:val="17"/>
                <w:color w:val="auto"/>
              </w:rPr>
              <w:t>The Pledgors cannot perform any of their general debt or other debt, which further affects the Pledgee’s interest.</w:t>
            </w:r>
          </w:p>
        </w:tc>
      </w:tr>
      <w:tr>
        <w:trPr>
          <w:trHeight w:val="411"/>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7.1.7</w:t>
            </w:r>
          </w:p>
        </w:tc>
        <w:tc>
          <w:tcPr>
            <w:tcW w:w="8920" w:type="dxa"/>
            <w:vAlign w:val="bottom"/>
          </w:tcPr>
          <w:p>
            <w:pPr>
              <w:ind w:left="220"/>
              <w:spacing w:after="0"/>
              <w:rPr>
                <w:sz w:val="20"/>
                <w:szCs w:val="20"/>
                <w:color w:val="auto"/>
              </w:rPr>
            </w:pPr>
            <w:r>
              <w:rPr>
                <w:rFonts w:ascii="Arial" w:cs="Arial" w:eastAsia="Arial" w:hAnsi="Arial"/>
                <w:sz w:val="17"/>
                <w:szCs w:val="17"/>
                <w:color w:val="auto"/>
                <w:w w:val="91"/>
              </w:rPr>
              <w:t>The promulgation of any law results in invalidation of this Agreement or inability of the Pledgors to continuously perform any of</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their obligations hereunder.</w:t>
            </w:r>
          </w:p>
        </w:tc>
      </w:tr>
      <w:tr>
        <w:trPr>
          <w:trHeight w:val="386"/>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7.1.8</w:t>
            </w:r>
          </w:p>
        </w:tc>
        <w:tc>
          <w:tcPr>
            <w:tcW w:w="8920" w:type="dxa"/>
            <w:vAlign w:val="bottom"/>
          </w:tcPr>
          <w:p>
            <w:pPr>
              <w:ind w:left="220"/>
              <w:spacing w:after="0"/>
              <w:rPr>
                <w:sz w:val="20"/>
                <w:szCs w:val="20"/>
                <w:color w:val="auto"/>
              </w:rPr>
            </w:pPr>
            <w:r>
              <w:rPr>
                <w:rFonts w:ascii="Arial" w:cs="Arial" w:eastAsia="Arial" w:hAnsi="Arial"/>
                <w:sz w:val="17"/>
                <w:szCs w:val="17"/>
                <w:color w:val="auto"/>
                <w:w w:val="92"/>
              </w:rPr>
              <w:t>The consent, permit, approval or authorization of any governmental department necessary to legalize, validate or enforce this</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Agreement is withdrawn, suspended, invalidated or substantially amended.</w:t>
            </w:r>
          </w:p>
        </w:tc>
      </w:tr>
      <w:tr>
        <w:trPr>
          <w:trHeight w:val="386"/>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7.1.9</w:t>
            </w:r>
          </w:p>
        </w:tc>
        <w:tc>
          <w:tcPr>
            <w:tcW w:w="8920" w:type="dxa"/>
            <w:vAlign w:val="bottom"/>
          </w:tcPr>
          <w:p>
            <w:pPr>
              <w:ind w:left="220"/>
              <w:spacing w:after="0"/>
              <w:rPr>
                <w:sz w:val="20"/>
                <w:szCs w:val="20"/>
                <w:color w:val="auto"/>
              </w:rPr>
            </w:pPr>
            <w:r>
              <w:rPr>
                <w:rFonts w:ascii="Arial" w:cs="Arial" w:eastAsia="Arial" w:hAnsi="Arial"/>
                <w:sz w:val="17"/>
                <w:szCs w:val="17"/>
                <w:color w:val="auto"/>
                <w:w w:val="88"/>
              </w:rPr>
              <w:t>There occurs any adverse change to any of the assets owned by the Pledgors, which makes the Pledgee believe that the Pledgors’</w:t>
            </w:r>
          </w:p>
        </w:tc>
      </w:tr>
      <w:tr>
        <w:trPr>
          <w:trHeight w:val="212"/>
        </w:trPr>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7"/>
                <w:szCs w:val="17"/>
                <w:color w:val="auto"/>
              </w:rPr>
              <w:t>ability to perform any of their obligations is affected.</w:t>
            </w:r>
          </w:p>
        </w:tc>
      </w:tr>
      <w:tr>
        <w:trPr>
          <w:trHeight w:val="399"/>
        </w:trPr>
        <w:tc>
          <w:tcPr>
            <w:tcW w:w="14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7"/>
                <w:szCs w:val="17"/>
                <w:color w:val="auto"/>
              </w:rPr>
              <w:t>7.1.10</w:t>
            </w:r>
          </w:p>
        </w:tc>
        <w:tc>
          <w:tcPr>
            <w:tcW w:w="8920" w:type="dxa"/>
            <w:vAlign w:val="bottom"/>
          </w:tcPr>
          <w:p>
            <w:pPr>
              <w:ind w:left="220"/>
              <w:spacing w:after="0"/>
              <w:rPr>
                <w:sz w:val="20"/>
                <w:szCs w:val="20"/>
                <w:color w:val="auto"/>
              </w:rPr>
            </w:pPr>
            <w:r>
              <w:rPr>
                <w:rFonts w:ascii="Arial" w:cs="Arial" w:eastAsia="Arial" w:hAnsi="Arial"/>
                <w:sz w:val="17"/>
                <w:szCs w:val="17"/>
                <w:color w:val="auto"/>
                <w:w w:val="97"/>
              </w:rPr>
              <w:t>Any other event that the Pledgee cannot exercise or otherwise dispose of the Pledge Rights under the applicable laws.</w:t>
            </w:r>
          </w:p>
        </w:tc>
      </w:tr>
      <w:tr>
        <w:trPr>
          <w:trHeight w:val="411"/>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7.2</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The Pledgors and/or Party C shall immediately notify the Pledgee in writing any of the events described in Section 7.1 above or the occurrence</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or potential occurrence thereof the Pledgors and/or Party C becomes aware of or discovers.</w:t>
            </w:r>
          </w:p>
        </w:tc>
      </w:tr>
      <w:tr>
        <w:trPr>
          <w:trHeight w:val="386"/>
        </w:trPr>
        <w:tc>
          <w:tcPr>
            <w:tcW w:w="1400" w:type="dxa"/>
            <w:vAlign w:val="bottom"/>
          </w:tcPr>
          <w:p>
            <w:pPr>
              <w:jc w:val="right"/>
              <w:ind w:right="257"/>
              <w:spacing w:after="0"/>
              <w:rPr>
                <w:sz w:val="20"/>
                <w:szCs w:val="20"/>
                <w:color w:val="auto"/>
              </w:rPr>
            </w:pPr>
            <w:r>
              <w:rPr>
                <w:rFonts w:ascii="Arial" w:cs="Arial" w:eastAsia="Arial" w:hAnsi="Arial"/>
                <w:sz w:val="17"/>
                <w:szCs w:val="17"/>
                <w:color w:val="auto"/>
              </w:rPr>
              <w:t>7.3</w:t>
            </w: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2"/>
              </w:rPr>
              <w:t>Unless the default events listed in Section 7.1 above have been perfectly settled to the Pledgee’s satisfaction, the Pledgee may, upon the</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9"/>
              </w:rPr>
              <w:t>occurrence of such default event or at any time following the occurrence thereof, issue a written default notice to the Pledgors and/or Party C,</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requesting the Pledgors and/or Party C to immediately pay the money owned or other payables under the Exclusive Technical Consultation and</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94"/>
              </w:rPr>
              <w:t>Service Agreement or to timely perform the obligations under the Individual Agreements. In case the Pledgors or Party C fails to timely</w:t>
            </w:r>
          </w:p>
        </w:tc>
      </w:tr>
      <w:tr>
        <w:trPr>
          <w:trHeight w:val="199"/>
        </w:trPr>
        <w:tc>
          <w:tcPr>
            <w:tcW w:w="1400" w:type="dxa"/>
            <w:vAlign w:val="bottom"/>
          </w:tcPr>
          <w:p>
            <w:pPr>
              <w:spacing w:after="0"/>
              <w:rPr>
                <w:sz w:val="17"/>
                <w:szCs w:val="17"/>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w w:val="88"/>
              </w:rPr>
              <w:t>correct their defaults, or take necessary remedies, within Ten (10) business days following the issuance of such written notice, the Pledgee may</w:t>
            </w:r>
          </w:p>
        </w:tc>
      </w:tr>
      <w:tr>
        <w:trPr>
          <w:trHeight w:val="212"/>
        </w:trPr>
        <w:tc>
          <w:tcPr>
            <w:tcW w:w="1400" w:type="dxa"/>
            <w:vAlign w:val="bottom"/>
          </w:tcPr>
          <w:p>
            <w:pPr>
              <w:spacing w:after="0"/>
              <w:rPr>
                <w:sz w:val="18"/>
                <w:szCs w:val="18"/>
                <w:color w:val="auto"/>
              </w:rPr>
            </w:pPr>
          </w:p>
        </w:tc>
        <w:tc>
          <w:tcPr>
            <w:tcW w:w="9880" w:type="dxa"/>
            <w:vAlign w:val="bottom"/>
            <w:gridSpan w:val="2"/>
          </w:tcPr>
          <w:p>
            <w:pPr>
              <w:ind w:left="320"/>
              <w:spacing w:after="0"/>
              <w:rPr>
                <w:sz w:val="20"/>
                <w:szCs w:val="20"/>
                <w:color w:val="auto"/>
              </w:rPr>
            </w:pPr>
            <w:r>
              <w:rPr>
                <w:rFonts w:ascii="Arial" w:cs="Arial" w:eastAsia="Arial" w:hAnsi="Arial"/>
                <w:sz w:val="17"/>
                <w:szCs w:val="17"/>
                <w:color w:val="auto"/>
              </w:rPr>
              <w:t>exercise the Pledge Rights pursuant to Section 8 below.</w:t>
            </w:r>
          </w:p>
        </w:tc>
      </w:tr>
      <w:tr>
        <w:trPr>
          <w:trHeight w:val="598"/>
        </w:trPr>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920" w:type="dxa"/>
            <w:vAlign w:val="bottom"/>
          </w:tcPr>
          <w:p>
            <w:pPr>
              <w:ind w:left="3220"/>
              <w:spacing w:after="0"/>
              <w:rPr>
                <w:sz w:val="20"/>
                <w:szCs w:val="20"/>
                <w:color w:val="auto"/>
              </w:rPr>
            </w:pPr>
            <w:r>
              <w:rPr>
                <w:rFonts w:ascii="Arial" w:cs="Arial" w:eastAsia="Arial" w:hAnsi="Arial"/>
                <w:sz w:val="17"/>
                <w:szCs w:val="17"/>
                <w:color w:val="auto"/>
              </w:rPr>
              <w:t>5</w:t>
            </w:r>
          </w:p>
        </w:tc>
      </w:tr>
      <w:tr>
        <w:trPr>
          <w:trHeight w:val="104"/>
        </w:trPr>
        <w:tc>
          <w:tcPr>
            <w:tcW w:w="14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5" w:right="299" w:bottom="1440" w:gutter="0" w:footer="0" w:header="0"/>
        </w:sectPr>
      </w:pPr>
    </w:p>
    <w:bookmarkStart w:id="553" w:name="page554"/>
    <w:bookmarkEnd w:id="553"/>
    <w:p>
      <w:pPr>
        <w:ind w:left="860" w:hanging="860"/>
        <w:spacing w:after="0"/>
        <w:tabs>
          <w:tab w:leader="none" w:pos="860" w:val="left"/>
        </w:tabs>
        <w:numPr>
          <w:ilvl w:val="0"/>
          <w:numId w:val="631"/>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Pledge Rights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8.1</w:t>
            </w:r>
          </w:p>
        </w:tc>
        <w:tc>
          <w:tcPr>
            <w:tcW w:w="9840" w:type="dxa"/>
            <w:vAlign w:val="bottom"/>
          </w:tcPr>
          <w:p>
            <w:pPr>
              <w:ind w:left="320"/>
              <w:spacing w:after="0"/>
              <w:rPr>
                <w:sz w:val="20"/>
                <w:szCs w:val="20"/>
                <w:color w:val="auto"/>
              </w:rPr>
            </w:pPr>
            <w:r>
              <w:rPr>
                <w:rFonts w:ascii="Arial" w:cs="Arial" w:eastAsia="Arial" w:hAnsi="Arial"/>
                <w:sz w:val="17"/>
                <w:szCs w:val="17"/>
                <w:color w:val="auto"/>
                <w:w w:val="97"/>
              </w:rPr>
              <w:t>The Pledgee shall issue a default notice to the Pledgors as described in Section 7.3 above upon its exercise of the Pledge Rights.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8.2</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Subject to Section 7.3 above, the Pledgee may exercise the Pledge Rights at any time following its issuance of the default notice as described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in Section 7.3.</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8.3</w:t>
            </w:r>
          </w:p>
        </w:tc>
        <w:tc>
          <w:tcPr>
            <w:tcW w:w="9840" w:type="dxa"/>
            <w:vAlign w:val="bottom"/>
          </w:tcPr>
          <w:p>
            <w:pPr>
              <w:ind w:left="320"/>
              <w:spacing w:after="0"/>
              <w:rPr>
                <w:sz w:val="20"/>
                <w:szCs w:val="20"/>
                <w:color w:val="auto"/>
              </w:rPr>
            </w:pPr>
            <w:r>
              <w:rPr>
                <w:rFonts w:ascii="Arial" w:cs="Arial" w:eastAsia="Arial" w:hAnsi="Arial"/>
                <w:sz w:val="17"/>
                <w:szCs w:val="17"/>
                <w:color w:val="auto"/>
                <w:w w:val="89"/>
              </w:rPr>
              <w:t>The Pledgee shall have the right to convert into money and sell all or part of the Equity hereunder subject to the statutory procedures, or to be</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paid in priority from the money gained from auction or sale of such Equity, until full offset of the service costs and other payables unpaid</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under the Individual Agreements and full performance of other obligations under the Individual Agreements.</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8.4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When the Pledgee exercises the Pledge Rights pursuant to this Agreement, the Pledgors and/or Party C shall not create any barrier or hindrance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but shall offer necessary assistance, so as to facilitate the Pledgee’s realization of its Pledge Rights.</w:t>
            </w:r>
          </w:p>
        </w:tc>
      </w:tr>
    </w:tbl>
    <w:p>
      <w:pPr>
        <w:spacing w:after="0" w:line="183" w:lineRule="exact"/>
        <w:rPr>
          <w:sz w:val="20"/>
          <w:szCs w:val="20"/>
          <w:color w:val="auto"/>
        </w:rPr>
      </w:pPr>
    </w:p>
    <w:p>
      <w:pPr>
        <w:ind w:left="860" w:hanging="860"/>
        <w:spacing w:after="0"/>
        <w:tabs>
          <w:tab w:leader="none" w:pos="860" w:val="left"/>
        </w:tabs>
        <w:numPr>
          <w:ilvl w:val="0"/>
          <w:numId w:val="632"/>
        </w:numPr>
        <w:rPr>
          <w:rFonts w:ascii="Arial" w:cs="Arial" w:eastAsia="Arial" w:hAnsi="Arial"/>
          <w:sz w:val="17"/>
          <w:szCs w:val="17"/>
          <w:b w:val="1"/>
          <w:bCs w:val="1"/>
          <w:color w:val="auto"/>
        </w:rPr>
      </w:pPr>
      <w:r>
        <w:rPr>
          <w:rFonts w:ascii="Arial" w:cs="Arial" w:eastAsia="Arial" w:hAnsi="Arial"/>
          <w:sz w:val="17"/>
          <w:szCs w:val="17"/>
          <w:b w:val="1"/>
          <w:bCs w:val="1"/>
          <w:color w:val="auto"/>
        </w:rPr>
        <w:t>Transfer</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9.1</w:t>
            </w:r>
          </w:p>
        </w:tc>
        <w:tc>
          <w:tcPr>
            <w:tcW w:w="9840" w:type="dxa"/>
            <w:vAlign w:val="bottom"/>
          </w:tcPr>
          <w:p>
            <w:pPr>
              <w:ind w:left="320"/>
              <w:spacing w:after="0"/>
              <w:rPr>
                <w:sz w:val="20"/>
                <w:szCs w:val="20"/>
                <w:color w:val="auto"/>
              </w:rPr>
            </w:pPr>
            <w:r>
              <w:rPr>
                <w:rFonts w:ascii="Arial" w:cs="Arial" w:eastAsia="Arial" w:hAnsi="Arial"/>
                <w:sz w:val="17"/>
                <w:szCs w:val="17"/>
                <w:color w:val="auto"/>
                <w:w w:val="91"/>
              </w:rPr>
              <w:t>The Pledgors shall not transfer to any third party any of their rights or obligations hereunder without the Pledgee’s prior written and explicit</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consent.</w:t>
            </w:r>
          </w:p>
        </w:tc>
      </w:tr>
      <w:tr>
        <w:trPr>
          <w:trHeight w:val="399"/>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9.2</w:t>
            </w:r>
          </w:p>
        </w:tc>
        <w:tc>
          <w:tcPr>
            <w:tcW w:w="9840" w:type="dxa"/>
            <w:vAlign w:val="bottom"/>
          </w:tcPr>
          <w:p>
            <w:pPr>
              <w:ind w:left="320"/>
              <w:spacing w:after="0"/>
              <w:rPr>
                <w:sz w:val="20"/>
                <w:szCs w:val="20"/>
                <w:color w:val="auto"/>
              </w:rPr>
            </w:pPr>
            <w:r>
              <w:rPr>
                <w:rFonts w:ascii="Arial" w:cs="Arial" w:eastAsia="Arial" w:hAnsi="Arial"/>
                <w:sz w:val="17"/>
                <w:szCs w:val="17"/>
                <w:color w:val="auto"/>
              </w:rPr>
              <w:t>This Agreement shall be binding upon the Pledgors and their successors and the Pledgee and its successors or assignees.</w:t>
            </w:r>
          </w:p>
        </w:tc>
      </w:tr>
      <w:tr>
        <w:trPr>
          <w:trHeight w:val="411"/>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9.3</w:t>
            </w:r>
          </w:p>
        </w:tc>
        <w:tc>
          <w:tcPr>
            <w:tcW w:w="9840" w:type="dxa"/>
            <w:vAlign w:val="bottom"/>
          </w:tcPr>
          <w:p>
            <w:pPr>
              <w:ind w:left="320"/>
              <w:spacing w:after="0"/>
              <w:rPr>
                <w:sz w:val="20"/>
                <w:szCs w:val="20"/>
                <w:color w:val="auto"/>
              </w:rPr>
            </w:pPr>
            <w:r>
              <w:rPr>
                <w:rFonts w:ascii="Arial" w:cs="Arial" w:eastAsia="Arial" w:hAnsi="Arial"/>
                <w:sz w:val="17"/>
                <w:szCs w:val="17"/>
                <w:color w:val="auto"/>
                <w:w w:val="93"/>
              </w:rPr>
              <w:t>The Pledgee may at any time transfer any or all of its rights or obligations under the Individual Agreements to any third party it specified,</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under which circumstance, the assignee shall accordingly have and bear the rights and obligations which the Pledgee have and bear hereunder.</w:t>
            </w:r>
          </w:p>
        </w:tc>
      </w:tr>
      <w:tr>
        <w:trPr>
          <w:trHeight w:val="199"/>
        </w:trPr>
        <w:tc>
          <w:tcPr>
            <w:tcW w:w="540" w:type="dxa"/>
            <w:vAlign w:val="bottom"/>
          </w:tcPr>
          <w:p>
            <w:pPr>
              <w:spacing w:after="0"/>
              <w:rPr>
                <w:sz w:val="17"/>
                <w:szCs w:val="17"/>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Upon the transfer by the Pledgee of the rights or obligations hereunder, the Pledgors shall, as requested by the Pledgee, sign the corresponding</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rPr>
              <w:t>agreements and/or documents regarding the transfer thereof.</w:t>
            </w:r>
          </w:p>
        </w:tc>
      </w:tr>
      <w:tr>
        <w:trPr>
          <w:trHeight w:val="386"/>
        </w:trPr>
        <w:tc>
          <w:tcPr>
            <w:tcW w:w="540" w:type="dxa"/>
            <w:vAlign w:val="bottom"/>
          </w:tcPr>
          <w:p>
            <w:pPr>
              <w:jc w:val="right"/>
              <w:ind w:right="257"/>
              <w:spacing w:after="0"/>
              <w:rPr>
                <w:sz w:val="20"/>
                <w:szCs w:val="20"/>
                <w:color w:val="auto"/>
              </w:rPr>
            </w:pPr>
            <w:r>
              <w:rPr>
                <w:rFonts w:ascii="Arial" w:cs="Arial" w:eastAsia="Arial" w:hAnsi="Arial"/>
                <w:sz w:val="17"/>
                <w:szCs w:val="17"/>
                <w:color w:val="auto"/>
                <w:w w:val="75"/>
              </w:rPr>
              <w:t>9.4</w:t>
            </w:r>
          </w:p>
        </w:tc>
        <w:tc>
          <w:tcPr>
            <w:tcW w:w="9840" w:type="dxa"/>
            <w:vAlign w:val="bottom"/>
          </w:tcPr>
          <w:p>
            <w:pPr>
              <w:ind w:left="320"/>
              <w:spacing w:after="0"/>
              <w:rPr>
                <w:sz w:val="20"/>
                <w:szCs w:val="20"/>
                <w:color w:val="auto"/>
              </w:rPr>
            </w:pPr>
            <w:r>
              <w:rPr>
                <w:rFonts w:ascii="Arial" w:cs="Arial" w:eastAsia="Arial" w:hAnsi="Arial"/>
                <w:sz w:val="17"/>
                <w:szCs w:val="17"/>
                <w:color w:val="auto"/>
                <w:w w:val="87"/>
              </w:rPr>
              <w:t>In case there is a change of the Pledgee due to the transfer of the rights or obligations as described in Section 9.3 above, the substitute Pledgee</w:t>
            </w:r>
          </w:p>
        </w:tc>
      </w:tr>
      <w:tr>
        <w:trPr>
          <w:trHeight w:val="212"/>
        </w:trPr>
        <w:tc>
          <w:tcPr>
            <w:tcW w:w="540" w:type="dxa"/>
            <w:vAlign w:val="bottom"/>
          </w:tcPr>
          <w:p>
            <w:pPr>
              <w:spacing w:after="0"/>
              <w:rPr>
                <w:sz w:val="18"/>
                <w:szCs w:val="18"/>
                <w:color w:val="auto"/>
              </w:rPr>
            </w:pPr>
          </w:p>
        </w:tc>
        <w:tc>
          <w:tcPr>
            <w:tcW w:w="9840" w:type="dxa"/>
            <w:vAlign w:val="bottom"/>
          </w:tcPr>
          <w:p>
            <w:pPr>
              <w:ind w:left="320"/>
              <w:spacing w:after="0"/>
              <w:rPr>
                <w:sz w:val="20"/>
                <w:szCs w:val="20"/>
                <w:color w:val="auto"/>
              </w:rPr>
            </w:pPr>
            <w:r>
              <w:rPr>
                <w:rFonts w:ascii="Arial" w:cs="Arial" w:eastAsia="Arial" w:hAnsi="Arial"/>
                <w:sz w:val="17"/>
                <w:szCs w:val="17"/>
                <w:color w:val="auto"/>
                <w:w w:val="90"/>
              </w:rPr>
              <w:t>and the Pledgors shall re-sign the pledge agreement and the Pledgors shall be responsible for handling all applicable registration formalities.</w:t>
            </w:r>
          </w:p>
        </w:tc>
      </w:tr>
    </w:tbl>
    <w:p>
      <w:pPr>
        <w:spacing w:after="0" w:line="183" w:lineRule="exact"/>
        <w:rPr>
          <w:sz w:val="20"/>
          <w:szCs w:val="20"/>
          <w:color w:val="auto"/>
        </w:rPr>
      </w:pPr>
    </w:p>
    <w:p>
      <w:pPr>
        <w:ind w:left="860" w:hanging="860"/>
        <w:spacing w:after="0"/>
        <w:tabs>
          <w:tab w:leader="none" w:pos="860" w:val="left"/>
        </w:tabs>
        <w:numPr>
          <w:ilvl w:val="0"/>
          <w:numId w:val="633"/>
        </w:numPr>
        <w:rPr>
          <w:rFonts w:ascii="Arial" w:cs="Arial" w:eastAsia="Arial" w:hAnsi="Arial"/>
          <w:sz w:val="17"/>
          <w:szCs w:val="17"/>
          <w:b w:val="1"/>
          <w:bCs w:val="1"/>
          <w:color w:val="auto"/>
        </w:rPr>
      </w:pPr>
      <w:r>
        <w:rPr>
          <w:rFonts w:ascii="Arial" w:cs="Arial" w:eastAsia="Arial" w:hAnsi="Arial"/>
          <w:sz w:val="17"/>
          <w:szCs w:val="17"/>
          <w:b w:val="1"/>
          <w:bCs w:val="1"/>
          <w:color w:val="auto"/>
        </w:rPr>
        <w:t>Charges and Other Costs</w:t>
      </w:r>
    </w:p>
    <w:p>
      <w:pPr>
        <w:spacing w:after="0" w:line="207" w:lineRule="exact"/>
        <w:rPr>
          <w:rFonts w:ascii="Arial" w:cs="Arial" w:eastAsia="Arial" w:hAnsi="Arial"/>
          <w:sz w:val="17"/>
          <w:szCs w:val="17"/>
          <w:b w:val="1"/>
          <w:bCs w:val="1"/>
          <w:color w:val="auto"/>
        </w:rPr>
      </w:pPr>
    </w:p>
    <w:p>
      <w:pPr>
        <w:ind w:left="8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All costs and actual expenses related to this Agreement, including but not limited to the legal costs, print costs, stamp duty and any other tax and charges, shall be equally borne by the Pledgee and Party C.</w:t>
      </w:r>
    </w:p>
    <w:p>
      <w:pPr>
        <w:spacing w:after="0" w:line="163" w:lineRule="exact"/>
        <w:rPr>
          <w:rFonts w:ascii="Arial" w:cs="Arial" w:eastAsia="Arial" w:hAnsi="Arial"/>
          <w:sz w:val="17"/>
          <w:szCs w:val="17"/>
          <w:b w:val="1"/>
          <w:bCs w:val="1"/>
          <w:color w:val="auto"/>
        </w:rPr>
      </w:pPr>
    </w:p>
    <w:p>
      <w:pPr>
        <w:ind w:left="860" w:hanging="860"/>
        <w:spacing w:after="0"/>
        <w:tabs>
          <w:tab w:leader="none" w:pos="860" w:val="left"/>
        </w:tabs>
        <w:numPr>
          <w:ilvl w:val="0"/>
          <w:numId w:val="633"/>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03" w:lineRule="exact"/>
        <w:rPr>
          <w:rFonts w:ascii="Arial" w:cs="Arial" w:eastAsia="Arial" w:hAnsi="Arial"/>
          <w:sz w:val="17"/>
          <w:szCs w:val="17"/>
          <w:b w:val="1"/>
          <w:bCs w:val="1"/>
          <w:color w:val="auto"/>
        </w:rPr>
      </w:pPr>
    </w:p>
    <w:p>
      <w:pPr>
        <w:ind w:left="1720" w:hanging="86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11.1</w:t>
      </w:r>
      <w:r>
        <w:rPr>
          <w:rFonts w:ascii="Arial" w:cs="Arial" w:eastAsia="Arial" w:hAnsi="Arial"/>
          <w:sz w:val="16"/>
          <w:szCs w:val="16"/>
          <w:color w:val="auto"/>
        </w:rPr>
        <w:t>“</w:t>
      </w:r>
      <w:r>
        <w:rPr>
          <w:rFonts w:ascii="Arial" w:cs="Arial" w:eastAsia="Arial" w:hAnsi="Arial"/>
          <w:sz w:val="16"/>
          <w:szCs w:val="16"/>
          <w:b w:val="1"/>
          <w:bCs w:val="1"/>
          <w:color w:val="auto"/>
        </w:rPr>
        <w:t>Force Majeure Events</w:t>
      </w:r>
      <w:r>
        <w:rPr>
          <w:rFonts w:ascii="Arial" w:cs="Arial" w:eastAsia="Arial" w:hAnsi="Arial"/>
          <w:sz w:val="16"/>
          <w:szCs w:val="16"/>
          <w:color w:val="auto"/>
        </w:rPr>
        <w:t>” mean any events beyond the reasonable control of one Party that are unavoidable by the affected Party with reasonable care, including but not limited to any acts of government, natural force, fire, explosion, storm, flood, earthquake, tide, lightning or war, provided that any credit, capital or financing shortage shall not be deemed to be the event beyond the reasonable control of one Party. The Party affected by any Force Majeure Events (hereinafter referred to as “</w:t>
      </w:r>
      <w:r>
        <w:rPr>
          <w:rFonts w:ascii="Arial" w:cs="Arial" w:eastAsia="Arial" w:hAnsi="Arial"/>
          <w:sz w:val="16"/>
          <w:szCs w:val="16"/>
          <w:b w:val="1"/>
          <w:bCs w:val="1"/>
          <w:color w:val="auto"/>
        </w:rPr>
        <w:t>Affected Party</w:t>
      </w:r>
      <w:r>
        <w:rPr>
          <w:rFonts w:ascii="Arial" w:cs="Arial" w:eastAsia="Arial" w:hAnsi="Arial"/>
          <w:sz w:val="16"/>
          <w:szCs w:val="16"/>
          <w:color w:val="auto"/>
        </w:rPr>
        <w:t>”) shall be exempted from its responsibility in whole or in part according to the effects of such Force Majeure Events on this Agreement, and the Affected Party who seeks exemption from its responsibility for the performance of this Agreement due to such Force Majeure Events shall notify the other Party of such Force Majeure Events not later than Ten (10) days after occurrence of such Force Majeure Events so that the Parties hereto negotiate about the amendment to this Agreement according to the effects of such Force Majeure Events and exempt in whole or in part the Affected Party from its obligations under this Agreement.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554" w:name="page555"/>
    <w:bookmarkEnd w:id="554"/>
    <w:tbl>
      <w:tblPr>
        <w:tblLayout w:type="fixed"/>
        <w:tblInd w:w="860" w:type="dxa"/>
        <w:tblCellMar>
          <w:top w:w="0" w:type="dxa"/>
          <w:left w:w="0" w:type="dxa"/>
          <w:bottom w:w="0" w:type="dxa"/>
          <w:right w:w="0" w:type="dxa"/>
        </w:tblCellMar>
      </w:tblPr>
      <w:tr>
        <w:trPr>
          <w:trHeight w:val="199"/>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11.2</w:t>
            </w: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The Affected Party shall take appropriate measures to reduce or eliminate the effects of such Force Majeure Events and shall try to restore the</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performance of its obligations delayed or hindered by such Force Majeure Events. Once such Force Majeure Events are eliminated, the Parties</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98"/>
              </w:rPr>
              <w:t>hereto agree that they shall use their best efforts to restore the performance of their rights and obligations under this Agreement.</w:t>
            </w:r>
          </w:p>
        </w:tc>
      </w:tr>
    </w:tbl>
    <w:p>
      <w:pPr>
        <w:spacing w:after="0" w:line="183" w:lineRule="exact"/>
        <w:rPr>
          <w:sz w:val="20"/>
          <w:szCs w:val="20"/>
          <w:color w:val="auto"/>
        </w:rPr>
      </w:pPr>
    </w:p>
    <w:p>
      <w:pPr>
        <w:ind w:left="860" w:hanging="860"/>
        <w:spacing w:after="0"/>
        <w:tabs>
          <w:tab w:leader="none" w:pos="860" w:val="left"/>
        </w:tabs>
        <w:numPr>
          <w:ilvl w:val="0"/>
          <w:numId w:val="634"/>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Settlement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12.1</w:t>
            </w:r>
          </w:p>
        </w:tc>
        <w:tc>
          <w:tcPr>
            <w:tcW w:w="9800" w:type="dxa"/>
            <w:vAlign w:val="bottom"/>
          </w:tcPr>
          <w:p>
            <w:pPr>
              <w:ind w:left="28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tc>
      </w:tr>
      <w:tr>
        <w:trPr>
          <w:trHeight w:val="411"/>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12.2</w:t>
            </w:r>
          </w:p>
        </w:tc>
        <w:tc>
          <w:tcPr>
            <w:tcW w:w="9800" w:type="dxa"/>
            <w:vAlign w:val="bottom"/>
          </w:tcPr>
          <w:p>
            <w:pPr>
              <w:ind w:left="280"/>
              <w:spacing w:after="0"/>
              <w:rPr>
                <w:sz w:val="20"/>
                <w:szCs w:val="20"/>
                <w:color w:val="auto"/>
              </w:rPr>
            </w:pPr>
            <w:r>
              <w:rPr>
                <w:rFonts w:ascii="Arial" w:cs="Arial" w:eastAsia="Arial" w:hAnsi="Arial"/>
                <w:sz w:val="17"/>
                <w:szCs w:val="17"/>
                <w:color w:val="auto"/>
                <w:w w:val="88"/>
              </w:rPr>
              <w:t>In case of any disputes among the Parties arising out of the construction and performance of any provisions of this Agreement, the Parties shall</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89"/>
              </w:rPr>
              <w:t>resolve such disputes through consultation in good faith. If such disputes cannot be resolved through consultation, any Party may submit such</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93"/>
              </w:rPr>
              <w:t>disputes to China International Economic and Trade Arbitration Commission for resolution by arbitration in accordance with the existing</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96"/>
              </w:rPr>
              <w:t>arbitration rules of such Commission in force. The place of arbitration shall be Beijing, and the language to be used in the arbitration</w:t>
            </w:r>
          </w:p>
        </w:tc>
      </w:tr>
      <w:tr>
        <w:trPr>
          <w:trHeight w:val="199"/>
        </w:trPr>
        <w:tc>
          <w:tcPr>
            <w:tcW w:w="580" w:type="dxa"/>
            <w:vAlign w:val="bottom"/>
          </w:tcPr>
          <w:p>
            <w:pPr>
              <w:spacing w:after="0"/>
              <w:rPr>
                <w:sz w:val="17"/>
                <w:szCs w:val="17"/>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w w:val="89"/>
              </w:rPr>
              <w:t>proceedings shall be Chinese. Any arbitral award shall be final and binding upon the Parties. No provisions of this Section shall be affected by</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any termination or cancellation of this Agreement.</w:t>
            </w:r>
          </w:p>
        </w:tc>
      </w:tr>
      <w:tr>
        <w:trPr>
          <w:trHeight w:val="386"/>
        </w:trPr>
        <w:tc>
          <w:tcPr>
            <w:tcW w:w="580" w:type="dxa"/>
            <w:vAlign w:val="bottom"/>
          </w:tcPr>
          <w:p>
            <w:pPr>
              <w:jc w:val="right"/>
              <w:ind w:right="217"/>
              <w:spacing w:after="0"/>
              <w:rPr>
                <w:sz w:val="20"/>
                <w:szCs w:val="20"/>
                <w:color w:val="auto"/>
              </w:rPr>
            </w:pPr>
            <w:r>
              <w:rPr>
                <w:rFonts w:ascii="Arial" w:cs="Arial" w:eastAsia="Arial" w:hAnsi="Arial"/>
                <w:sz w:val="17"/>
                <w:szCs w:val="17"/>
                <w:color w:val="auto"/>
                <w:w w:val="78"/>
              </w:rPr>
              <w:t>12.3</w:t>
            </w:r>
          </w:p>
        </w:tc>
        <w:tc>
          <w:tcPr>
            <w:tcW w:w="9800" w:type="dxa"/>
            <w:vAlign w:val="bottom"/>
          </w:tcPr>
          <w:p>
            <w:pPr>
              <w:ind w:left="280"/>
              <w:spacing w:after="0"/>
              <w:rPr>
                <w:sz w:val="20"/>
                <w:szCs w:val="20"/>
                <w:color w:val="auto"/>
              </w:rPr>
            </w:pPr>
            <w:r>
              <w:rPr>
                <w:rFonts w:ascii="Arial" w:cs="Arial" w:eastAsia="Arial" w:hAnsi="Arial"/>
                <w:sz w:val="17"/>
                <w:szCs w:val="17"/>
                <w:color w:val="auto"/>
                <w:w w:val="93"/>
              </w:rPr>
              <w:t>Except for any matters disputed by the Parties hereto, the Parties hereto shall continue to perform their respective obligations under this</w:t>
            </w:r>
          </w:p>
        </w:tc>
      </w:tr>
      <w:tr>
        <w:trPr>
          <w:trHeight w:val="212"/>
        </w:trPr>
        <w:tc>
          <w:tcPr>
            <w:tcW w:w="5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7"/>
                <w:szCs w:val="17"/>
                <w:color w:val="auto"/>
              </w:rPr>
              <w:t>Agreement based on the principle of good faith.</w:t>
            </w:r>
          </w:p>
        </w:tc>
      </w:tr>
    </w:tbl>
    <w:p>
      <w:pPr>
        <w:spacing w:after="0" w:line="183" w:lineRule="exact"/>
        <w:rPr>
          <w:sz w:val="20"/>
          <w:szCs w:val="20"/>
          <w:color w:val="auto"/>
        </w:rPr>
      </w:pPr>
    </w:p>
    <w:p>
      <w:pPr>
        <w:ind w:left="860" w:hanging="860"/>
        <w:spacing w:after="0"/>
        <w:tabs>
          <w:tab w:leader="none" w:pos="860" w:val="left"/>
        </w:tabs>
        <w:numPr>
          <w:ilvl w:val="0"/>
          <w:numId w:val="635"/>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7" w:lineRule="exact"/>
        <w:rPr>
          <w:rFonts w:ascii="Arial" w:cs="Arial" w:eastAsia="Arial" w:hAnsi="Arial"/>
          <w:sz w:val="17"/>
          <w:szCs w:val="17"/>
          <w:b w:val="1"/>
          <w:bCs w:val="1"/>
          <w:color w:val="auto"/>
        </w:rPr>
      </w:pPr>
    </w:p>
    <w:p>
      <w:pPr>
        <w:jc w:val="both"/>
        <w:ind w:left="88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6"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Party A,</w:t>
      </w:r>
    </w:p>
    <w:p>
      <w:pPr>
        <w:spacing w:after="0" w:line="203" w:lineRule="exact"/>
        <w:rPr>
          <w:rFonts w:ascii="Arial" w:cs="Arial" w:eastAsia="Arial" w:hAnsi="Arial"/>
          <w:sz w:val="17"/>
          <w:szCs w:val="17"/>
          <w:b w:val="1"/>
          <w:bCs w:val="1"/>
          <w:color w:val="auto"/>
        </w:rPr>
      </w:pPr>
    </w:p>
    <w:p>
      <w:pPr>
        <w:ind w:left="860" w:right="2840"/>
        <w:spacing w:after="0" w:line="489" w:lineRule="auto"/>
        <w:rPr>
          <w:rFonts w:ascii="Arial" w:cs="Arial" w:eastAsia="Arial" w:hAnsi="Arial"/>
          <w:sz w:val="17"/>
          <w:szCs w:val="17"/>
          <w:b w:val="1"/>
          <w:bCs w:val="1"/>
          <w:color w:val="auto"/>
        </w:rPr>
      </w:pPr>
      <w:r>
        <w:rPr>
          <w:rFonts w:ascii="Arial" w:cs="Arial" w:eastAsia="Arial" w:hAnsi="Arial"/>
          <w:sz w:val="17"/>
          <w:szCs w:val="17"/>
          <w:color w:val="auto"/>
        </w:rPr>
        <w:t>Address: No. 36 Courtyard, Chuangyuan Road, Building No. 6, Laiguangying, Chaoyang District, Beijing, China Tel.:</w:t>
      </w:r>
    </w:p>
    <w:p>
      <w:pPr>
        <w:ind w:left="860" w:right="9000"/>
        <w:spacing w:after="0" w:line="554" w:lineRule="auto"/>
        <w:rPr>
          <w:rFonts w:ascii="Arial" w:cs="Arial" w:eastAsia="Arial" w:hAnsi="Arial"/>
          <w:sz w:val="17"/>
          <w:szCs w:val="17"/>
          <w:b w:val="1"/>
          <w:bCs w:val="1"/>
          <w:color w:val="auto"/>
        </w:rPr>
      </w:pPr>
      <w:r>
        <w:rPr>
          <w:rFonts w:ascii="Arial" w:cs="Arial" w:eastAsia="Arial" w:hAnsi="Arial"/>
          <w:sz w:val="15"/>
          <w:szCs w:val="15"/>
          <w:color w:val="auto"/>
        </w:rPr>
        <w:t>Attn.: LIU Tongbo Party B and Party C:</w:t>
      </w:r>
    </w:p>
    <w:p>
      <w:pPr>
        <w:ind w:left="860" w:right="3540"/>
        <w:spacing w:after="0" w:line="489" w:lineRule="auto"/>
        <w:rPr>
          <w:rFonts w:ascii="Arial" w:cs="Arial" w:eastAsia="Arial" w:hAnsi="Arial"/>
          <w:sz w:val="17"/>
          <w:szCs w:val="17"/>
          <w:b w:val="1"/>
          <w:bCs w:val="1"/>
          <w:color w:val="auto"/>
        </w:rPr>
      </w:pPr>
      <w:r>
        <w:rPr>
          <w:rFonts w:ascii="Arial" w:cs="Arial" w:eastAsia="Arial" w:hAnsi="Arial"/>
          <w:sz w:val="17"/>
          <w:szCs w:val="17"/>
          <w:color w:val="auto"/>
        </w:rPr>
        <w:t>Address: Room No. 103 (even), No. 90-96, Kexue grand avenue, Huangpu District, Guangzhou, China Tel.:</w:t>
      </w: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Attn.: LI Haohan</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635"/>
        </w:numPr>
        <w:rPr>
          <w:rFonts w:ascii="Arial" w:cs="Arial" w:eastAsia="Arial" w:hAnsi="Arial"/>
          <w:sz w:val="17"/>
          <w:szCs w:val="17"/>
          <w:b w:val="1"/>
          <w:bCs w:val="1"/>
          <w:color w:val="auto"/>
        </w:rPr>
      </w:pPr>
      <w:r>
        <w:rPr>
          <w:rFonts w:ascii="Arial" w:cs="Arial" w:eastAsia="Arial" w:hAnsi="Arial"/>
          <w:sz w:val="17"/>
          <w:szCs w:val="17"/>
          <w:b w:val="1"/>
          <w:bCs w:val="1"/>
          <w:color w:val="auto"/>
        </w:rPr>
        <w:t>Annex</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The annexes hereto shall form part of this Agreement.</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635"/>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207" w:lineRule="exact"/>
        <w:rPr>
          <w:rFonts w:ascii="Arial" w:cs="Arial" w:eastAsia="Arial" w:hAnsi="Arial"/>
          <w:sz w:val="17"/>
          <w:szCs w:val="17"/>
          <w:b w:val="1"/>
          <w:bCs w:val="1"/>
          <w:color w:val="auto"/>
        </w:rPr>
      </w:pPr>
    </w:p>
    <w:p>
      <w:pPr>
        <w:jc w:val="both"/>
        <w:ind w:left="8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Pledgee’s failure to exercise or delayed exercise of any rights, remedies, powers or privileges hereunder shall not be deemed to be waiver of such rights, remedies, powers or privileges. The Pledgee’s single or partial exercise of any rights, remedies, powers or privileges shall not exclude its exercise of any other rights, remedies, powers or privileges.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555" w:name="page556"/>
    <w:bookmarkEnd w:id="555"/>
    <w:p>
      <w:pPr>
        <w:ind w:left="860"/>
        <w:spacing w:after="0"/>
        <w:rPr>
          <w:sz w:val="20"/>
          <w:szCs w:val="20"/>
          <w:color w:val="auto"/>
        </w:rPr>
      </w:pPr>
      <w:r>
        <w:rPr>
          <w:rFonts w:ascii="Arial" w:cs="Arial" w:eastAsia="Arial" w:hAnsi="Arial"/>
          <w:sz w:val="15"/>
          <w:szCs w:val="15"/>
          <w:color w:val="auto"/>
        </w:rPr>
        <w:t>The rights, remedies, powers and privileges hereunder are cumulative and in addition to any other rights, remedies, powers and privileges under any law.</w:t>
      </w:r>
    </w:p>
    <w:p>
      <w:pPr>
        <w:spacing w:after="0" w:line="222" w:lineRule="exact"/>
        <w:rPr>
          <w:sz w:val="20"/>
          <w:szCs w:val="20"/>
          <w:color w:val="auto"/>
        </w:rPr>
      </w:pPr>
    </w:p>
    <w:p>
      <w:pPr>
        <w:ind w:left="860" w:hanging="860"/>
        <w:spacing w:after="0"/>
        <w:tabs>
          <w:tab w:leader="none" w:pos="860" w:val="left"/>
        </w:tabs>
        <w:numPr>
          <w:ilvl w:val="0"/>
          <w:numId w:val="636"/>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rFonts w:ascii="Arial" w:cs="Arial" w:eastAsia="Arial" w:hAnsi="Arial"/>
          <w:sz w:val="17"/>
          <w:szCs w:val="17"/>
          <w:b w:val="1"/>
          <w:bCs w:val="1"/>
          <w:color w:val="auto"/>
        </w:rPr>
      </w:pPr>
    </w:p>
    <w:p>
      <w:pPr>
        <w:ind w:left="1720" w:hanging="8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16.1Any modification or supplementation of or amendment to this Agreement shall be in writing and be effective only after being sealed and signed by the Parties hereto.</w:t>
      </w:r>
    </w:p>
    <w:p>
      <w:pPr>
        <w:spacing w:after="0" w:line="167" w:lineRule="exact"/>
        <w:rPr>
          <w:rFonts w:ascii="Arial" w:cs="Arial" w:eastAsia="Arial" w:hAnsi="Arial"/>
          <w:sz w:val="17"/>
          <w:szCs w:val="17"/>
          <w:b w:val="1"/>
          <w:bCs w:val="1"/>
          <w:color w:val="auto"/>
        </w:rPr>
      </w:pPr>
    </w:p>
    <w:p>
      <w:pPr>
        <w:ind w:left="1720" w:hanging="8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16.2The Parties hereby acknowledge that this Agreement shall be a fair and reasonable agreement reached by the Parties hereto on the basis of equality and mutual benefit. In case any provision hereof becomes invalid or cannot be enforced due to conflict with any applicable law, such provision shall be invalid or unenforceable to the sole extent of the jurisdiction of such applicable law and shall in no way influence the legal force of the remaining provisions of this Agreement.</w:t>
      </w:r>
    </w:p>
    <w:p>
      <w:pPr>
        <w:spacing w:after="0" w:line="178" w:lineRule="exact"/>
        <w:rPr>
          <w:rFonts w:ascii="Arial" w:cs="Arial" w:eastAsia="Arial" w:hAnsi="Arial"/>
          <w:sz w:val="17"/>
          <w:szCs w:val="17"/>
          <w:b w:val="1"/>
          <w:bCs w:val="1"/>
          <w:color w:val="auto"/>
        </w:rPr>
      </w:pPr>
    </w:p>
    <w:p>
      <w:pPr>
        <w:ind w:left="1720" w:hanging="8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16.3The Parties hereto agree that in case of any change to Party C’s shareholding structure or any addition or deduction of any of Party C’s shareholders, Party A, Party C and Party C’s then-current shareholders shall re-sign this Agreement, and as of the effective date of the Equity Interest Pledge Agreement re-entered into by and among the foregoing parties, this Agreement will automatically terminate and become invalid.</w:t>
      </w:r>
    </w:p>
    <w:p>
      <w:pPr>
        <w:spacing w:after="0" w:line="179"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5"/>
          <w:szCs w:val="15"/>
          <w:color w:val="auto"/>
        </w:rPr>
        <w:t>This Agreement is written in Chinese and is executed in Four (4) original copies.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56" w:name="page557"/>
    <w:bookmarkEnd w:id="556"/>
    <w:p>
      <w:pPr>
        <w:jc w:val="center"/>
        <w:ind w:right="40"/>
        <w:spacing w:after="0"/>
        <w:rPr>
          <w:sz w:val="20"/>
          <w:szCs w:val="20"/>
          <w:color w:val="auto"/>
        </w:rPr>
      </w:pPr>
      <w:r>
        <w:rPr>
          <w:rFonts w:ascii="Arial" w:cs="Arial" w:eastAsia="Arial" w:hAnsi="Arial"/>
          <w:sz w:val="17"/>
          <w:szCs w:val="17"/>
          <w:b w:val="1"/>
          <w:bCs w:val="1"/>
          <w:color w:val="auto"/>
        </w:rPr>
        <w:t>[This page is the signature page to the Equity Interest Pledge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LI Haohan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Haohan</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DU Peiheng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DU Peiheng</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 Haohan</w:t>
      </w:r>
      <w:r>
        <w:rPr>
          <w:rFonts w:ascii="Arial" w:cs="Arial" w:eastAsia="Arial" w:hAnsi="Arial"/>
          <w:sz w:val="17"/>
          <w:szCs w:val="17"/>
          <w:color w:val="auto"/>
        </w:rPr>
        <w:t xml:space="preserve"> (Seal)</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Equity Interest Pledge Agreement - Signature Page</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Annex I Pledgor</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0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640" w:type="dxa"/>
            <w:vAlign w:val="bottom"/>
            <w:tcBorders>
              <w:top w:val="single" w:sz="8" w:color="auto"/>
            </w:tcBorders>
          </w:tcPr>
          <w:p>
            <w:pPr>
              <w:spacing w:after="0"/>
              <w:rPr>
                <w:sz w:val="20"/>
                <w:szCs w:val="20"/>
                <w:color w:val="auto"/>
              </w:rPr>
            </w:pPr>
          </w:p>
        </w:tc>
        <w:tc>
          <w:tcPr>
            <w:tcW w:w="2340" w:type="dxa"/>
            <w:vAlign w:val="bottom"/>
            <w:tcBorders>
              <w:top w:val="single" w:sz="8" w:color="auto"/>
              <w:right w:val="single" w:sz="8" w:color="auto"/>
            </w:tcBorders>
            <w:gridSpan w:val="2"/>
          </w:tcPr>
          <w:p>
            <w:pPr>
              <w:jc w:val="center"/>
              <w:ind w:right="571"/>
              <w:spacing w:after="0"/>
              <w:rPr>
                <w:sz w:val="20"/>
                <w:szCs w:val="20"/>
                <w:color w:val="auto"/>
              </w:rPr>
            </w:pPr>
            <w:r>
              <w:rPr>
                <w:rFonts w:ascii="Arial" w:cs="Arial" w:eastAsia="Arial" w:hAnsi="Arial"/>
                <w:sz w:val="17"/>
                <w:szCs w:val="17"/>
                <w:color w:val="auto"/>
                <w:w w:val="86"/>
              </w:rPr>
              <w:t>Name of Shareholders</w:t>
            </w:r>
          </w:p>
        </w:tc>
        <w:tc>
          <w:tcPr>
            <w:tcW w:w="40" w:type="dxa"/>
            <w:vAlign w:val="bottom"/>
            <w:tcBorders>
              <w:top w:val="single" w:sz="8" w:color="auto"/>
            </w:tcBorders>
          </w:tcPr>
          <w:p>
            <w:pPr>
              <w:spacing w:after="0"/>
              <w:rPr>
                <w:sz w:val="20"/>
                <w:szCs w:val="20"/>
                <w:color w:val="auto"/>
              </w:rPr>
            </w:pPr>
          </w:p>
        </w:tc>
        <w:tc>
          <w:tcPr>
            <w:tcW w:w="212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ID Card No.</w:t>
            </w:r>
          </w:p>
        </w:tc>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Borders>
              <w:right w:val="single" w:sz="8" w:color="auto"/>
            </w:tcBorders>
          </w:tcPr>
          <w:p>
            <w:pPr>
              <w:jc w:val="center"/>
              <w:ind w:right="831"/>
              <w:spacing w:after="0"/>
              <w:rPr>
                <w:sz w:val="20"/>
                <w:szCs w:val="20"/>
                <w:color w:val="auto"/>
              </w:rPr>
            </w:pPr>
            <w:r>
              <w:rPr>
                <w:rFonts w:ascii="Arial" w:cs="Arial" w:eastAsia="Arial" w:hAnsi="Arial"/>
                <w:sz w:val="17"/>
                <w:szCs w:val="17"/>
                <w:color w:val="auto"/>
                <w:w w:val="91"/>
              </w:rPr>
              <w:t>LI Haohan</w:t>
            </w:r>
          </w:p>
        </w:tc>
        <w:tc>
          <w:tcPr>
            <w:tcW w:w="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Borders>
              <w:right w:val="single" w:sz="8" w:color="auto"/>
            </w:tcBorders>
          </w:tcPr>
          <w:p>
            <w:pPr>
              <w:jc w:val="center"/>
              <w:ind w:right="851"/>
              <w:spacing w:after="0"/>
              <w:rPr>
                <w:sz w:val="20"/>
                <w:szCs w:val="20"/>
                <w:color w:val="auto"/>
              </w:rPr>
            </w:pPr>
            <w:r>
              <w:rPr>
                <w:rFonts w:ascii="Arial" w:cs="Arial" w:eastAsia="Arial" w:hAnsi="Arial"/>
                <w:sz w:val="17"/>
                <w:szCs w:val="17"/>
                <w:color w:val="auto"/>
                <w:w w:val="89"/>
              </w:rPr>
              <w:t>DU Peiheng</w:t>
            </w:r>
          </w:p>
        </w:tc>
        <w:tc>
          <w:tcPr>
            <w:tcW w:w="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
        </w:trPr>
        <w:tc>
          <w:tcPr>
            <w:tcW w:w="60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451"/>
        </w:trPr>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3"/>
          </w:tcPr>
          <w:p>
            <w:pPr>
              <w:ind w:left="20"/>
              <w:spacing w:after="0"/>
              <w:rPr>
                <w:sz w:val="20"/>
                <w:szCs w:val="20"/>
                <w:color w:val="auto"/>
              </w:rPr>
            </w:pPr>
            <w:r>
              <w:rPr>
                <w:rFonts w:ascii="Arial" w:cs="Arial" w:eastAsia="Arial" w:hAnsi="Arial"/>
                <w:sz w:val="20"/>
                <w:szCs w:val="20"/>
                <w:b w:val="1"/>
                <w:bCs w:val="1"/>
                <w:color w:val="auto"/>
              </w:rPr>
              <w:t>Annex II Shareholding Structure</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6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4"/>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3600" w:type="dxa"/>
            <w:vAlign w:val="bottom"/>
            <w:gridSpan w:val="4"/>
          </w:tcPr>
          <w:p>
            <w:pPr>
              <w:jc w:val="center"/>
              <w:ind w:left="1997"/>
              <w:spacing w:after="0"/>
              <w:rPr>
                <w:sz w:val="20"/>
                <w:szCs w:val="20"/>
                <w:color w:val="auto"/>
              </w:rPr>
            </w:pPr>
            <w:r>
              <w:rPr>
                <w:rFonts w:ascii="Arial" w:cs="Arial" w:eastAsia="Arial" w:hAnsi="Arial"/>
                <w:sz w:val="17"/>
                <w:szCs w:val="17"/>
                <w:color w:val="auto"/>
                <w:w w:val="86"/>
              </w:rPr>
              <w:t>Name of Shareholders</w:t>
            </w:r>
          </w:p>
        </w:tc>
        <w:tc>
          <w:tcPr>
            <w:tcW w:w="20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120" w:type="dxa"/>
            <w:vAlign w:val="bottom"/>
          </w:tcPr>
          <w:p>
            <w:pPr>
              <w:ind w:left="420"/>
              <w:spacing w:after="0"/>
              <w:rPr>
                <w:sz w:val="20"/>
                <w:szCs w:val="20"/>
                <w:color w:val="auto"/>
              </w:rPr>
            </w:pPr>
            <w:r>
              <w:rPr>
                <w:rFonts w:ascii="Arial" w:cs="Arial" w:eastAsia="Arial" w:hAnsi="Arial"/>
                <w:sz w:val="17"/>
                <w:szCs w:val="17"/>
                <w:color w:val="auto"/>
                <w:w w:val="95"/>
              </w:rPr>
              <w:t>Amount of Contribution</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240" w:type="dxa"/>
            <w:vAlign w:val="bottom"/>
          </w:tcPr>
          <w:p>
            <w:pPr>
              <w:spacing w:after="0"/>
              <w:rPr>
                <w:sz w:val="18"/>
                <w:szCs w:val="18"/>
                <w:color w:val="auto"/>
              </w:rPr>
            </w:pPr>
          </w:p>
        </w:tc>
        <w:tc>
          <w:tcPr>
            <w:tcW w:w="1100" w:type="dxa"/>
            <w:vAlign w:val="bottom"/>
            <w:gridSpan w:val="2"/>
          </w:tcPr>
          <w:p>
            <w:pPr>
              <w:jc w:val="center"/>
              <w:ind w:left="17"/>
              <w:spacing w:after="0"/>
              <w:rPr>
                <w:sz w:val="20"/>
                <w:szCs w:val="20"/>
                <w:color w:val="auto"/>
              </w:rPr>
            </w:pPr>
            <w:r>
              <w:rPr>
                <w:rFonts w:ascii="Arial" w:cs="Arial" w:eastAsia="Arial" w:hAnsi="Arial"/>
                <w:sz w:val="17"/>
                <w:szCs w:val="17"/>
                <w:color w:val="auto"/>
                <w:w w:val="91"/>
              </w:rPr>
              <w:t>LI Haohan</w:t>
            </w: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190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95%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240" w:type="dxa"/>
            <w:vAlign w:val="bottom"/>
          </w:tcPr>
          <w:p>
            <w:pPr>
              <w:spacing w:after="0"/>
              <w:rPr>
                <w:sz w:val="18"/>
                <w:szCs w:val="18"/>
                <w:color w:val="auto"/>
              </w:rPr>
            </w:pPr>
          </w:p>
        </w:tc>
        <w:tc>
          <w:tcPr>
            <w:tcW w:w="1100" w:type="dxa"/>
            <w:vAlign w:val="bottom"/>
            <w:gridSpan w:val="2"/>
          </w:tcPr>
          <w:p>
            <w:pPr>
              <w:jc w:val="center"/>
              <w:ind w:left="37"/>
              <w:spacing w:after="0"/>
              <w:rPr>
                <w:sz w:val="20"/>
                <w:szCs w:val="20"/>
                <w:color w:val="auto"/>
              </w:rPr>
            </w:pPr>
            <w:r>
              <w:rPr>
                <w:rFonts w:ascii="Arial" w:cs="Arial" w:eastAsia="Arial" w:hAnsi="Arial"/>
                <w:sz w:val="17"/>
                <w:szCs w:val="17"/>
                <w:color w:val="auto"/>
                <w:w w:val="89"/>
              </w:rPr>
              <w:t>DU Peiheng</w:t>
            </w: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10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100" w:type="dxa"/>
            <w:vAlign w:val="bottom"/>
            <w:gridSpan w:val="2"/>
          </w:tcPr>
          <w:p>
            <w:pPr>
              <w:jc w:val="center"/>
              <w:ind w:left="37"/>
              <w:spacing w:after="0"/>
              <w:rPr>
                <w:sz w:val="20"/>
                <w:szCs w:val="20"/>
                <w:color w:val="auto"/>
              </w:rPr>
            </w:pPr>
            <w:r>
              <w:rPr>
                <w:rFonts w:ascii="Arial" w:cs="Arial" w:eastAsia="Arial" w:hAnsi="Arial"/>
                <w:sz w:val="17"/>
                <w:szCs w:val="17"/>
                <w:color w:val="auto"/>
                <w:w w:val="89"/>
              </w:rPr>
              <w:t>Total</w:t>
            </w: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120" w:type="dxa"/>
            <w:vAlign w:val="bottom"/>
          </w:tcPr>
          <w:p>
            <w:pPr>
              <w:jc w:val="center"/>
              <w:ind w:left="237"/>
              <w:spacing w:after="0"/>
              <w:rPr>
                <w:sz w:val="20"/>
                <w:szCs w:val="20"/>
                <w:color w:val="auto"/>
              </w:rPr>
            </w:pPr>
            <w:r>
              <w:rPr>
                <w:rFonts w:ascii="Arial" w:cs="Arial" w:eastAsia="Arial" w:hAnsi="Arial"/>
                <w:sz w:val="17"/>
                <w:szCs w:val="17"/>
                <w:color w:val="auto"/>
                <w:w w:val="84"/>
              </w:rPr>
              <w:t>200</w:t>
            </w:r>
          </w:p>
        </w:tc>
        <w:tc>
          <w:tcPr>
            <w:tcW w:w="3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100%</w:t>
            </w:r>
          </w:p>
        </w:tc>
        <w:tc>
          <w:tcPr>
            <w:tcW w:w="20" w:type="dxa"/>
            <w:vAlign w:val="bottom"/>
          </w:tcPr>
          <w:p>
            <w:pPr>
              <w:spacing w:after="0"/>
              <w:rPr>
                <w:sz w:val="18"/>
                <w:szCs w:val="18"/>
                <w:color w:val="auto"/>
              </w:rPr>
            </w:pPr>
          </w:p>
        </w:tc>
      </w:tr>
      <w:tr>
        <w:trPr>
          <w:trHeight w:val="25"/>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695"/>
        </w:trPr>
        <w:tc>
          <w:tcPr>
            <w:tcW w:w="6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521" w:right="299" w:bottom="1440" w:gutter="0" w:footer="0" w:header="0"/>
        </w:sectPr>
      </w:pPr>
    </w:p>
    <w:bookmarkStart w:id="557" w:name="page558"/>
    <w:bookmarkEnd w:id="557"/>
    <w:p>
      <w:pPr>
        <w:ind w:left="3400"/>
        <w:spacing w:after="0"/>
        <w:rPr>
          <w:sz w:val="20"/>
          <w:szCs w:val="20"/>
          <w:color w:val="auto"/>
        </w:rPr>
      </w:pPr>
      <w:r>
        <w:rPr>
          <w:rFonts w:ascii="Arial" w:cs="Arial" w:eastAsia="Arial" w:hAnsi="Arial"/>
          <w:sz w:val="20"/>
          <w:szCs w:val="20"/>
          <w:b w:val="1"/>
          <w:bCs w:val="1"/>
          <w:color w:val="auto"/>
        </w:rPr>
        <w:t>Annex III Form of Party C’s Shareholders’ Register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Company: Tianjin Shangde Online Education Technology Co., Ltd.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02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Full name of the</w:t>
            </w: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right w:val="single" w:sz="8" w:color="auto"/>
            </w:tcBorders>
          </w:tcPr>
          <w:p>
            <w:pPr>
              <w:jc w:val="center"/>
              <w:ind w:right="257"/>
              <w:spacing w:after="0"/>
              <w:rPr>
                <w:sz w:val="20"/>
                <w:szCs w:val="20"/>
                <w:color w:val="auto"/>
              </w:rPr>
            </w:pPr>
            <w:r>
              <w:rPr>
                <w:rFonts w:ascii="Arial" w:cs="Arial" w:eastAsia="Arial" w:hAnsi="Arial"/>
                <w:sz w:val="17"/>
                <w:szCs w:val="17"/>
                <w:b w:val="1"/>
                <w:bCs w:val="1"/>
                <w:color w:val="auto"/>
                <w:w w:val="96"/>
              </w:rPr>
              <w:t>[LI Haohan]</w:t>
            </w:r>
          </w:p>
        </w:tc>
        <w:tc>
          <w:tcPr>
            <w:tcW w:w="160" w:type="dxa"/>
            <w:vAlign w:val="bottom"/>
            <w:tcBorders>
              <w:top w:val="single" w:sz="8" w:color="auto"/>
            </w:tcBorders>
          </w:tcPr>
          <w:p>
            <w:pPr>
              <w:spacing w:after="0"/>
              <w:rPr>
                <w:sz w:val="21"/>
                <w:szCs w:val="21"/>
                <w:color w:val="auto"/>
              </w:rPr>
            </w:pPr>
          </w:p>
        </w:tc>
        <w:tc>
          <w:tcPr>
            <w:tcW w:w="2080" w:type="dxa"/>
            <w:vAlign w:val="bottom"/>
            <w:tcBorders>
              <w:top w:val="single" w:sz="8" w:color="auto"/>
              <w:right w:val="single" w:sz="8" w:color="auto"/>
            </w:tcBorders>
            <w:gridSpan w:val="3"/>
          </w:tcPr>
          <w:p>
            <w:pPr>
              <w:jc w:val="center"/>
              <w:ind w:right="117"/>
              <w:spacing w:after="0"/>
              <w:rPr>
                <w:sz w:val="20"/>
                <w:szCs w:val="20"/>
                <w:color w:val="auto"/>
              </w:rPr>
            </w:pPr>
            <w:r>
              <w:rPr>
                <w:rFonts w:ascii="Arial" w:cs="Arial" w:eastAsia="Arial" w:hAnsi="Arial"/>
                <w:sz w:val="17"/>
                <w:szCs w:val="17"/>
                <w:b w:val="1"/>
                <w:bCs w:val="1"/>
                <w:color w:val="auto"/>
                <w:w w:val="91"/>
              </w:rPr>
              <w:t>ID Card No./ Registration</w:t>
            </w:r>
          </w:p>
        </w:tc>
        <w:tc>
          <w:tcPr>
            <w:tcW w:w="60" w:type="dxa"/>
            <w:vAlign w:val="bottom"/>
            <w:tcBorders>
              <w:top w:val="single" w:sz="8" w:color="auto"/>
            </w:tcBorders>
          </w:tcPr>
          <w:p>
            <w:pPr>
              <w:spacing w:after="0"/>
              <w:rPr>
                <w:sz w:val="21"/>
                <w:szCs w:val="21"/>
                <w:color w:val="auto"/>
              </w:rPr>
            </w:pPr>
          </w:p>
        </w:tc>
        <w:tc>
          <w:tcPr>
            <w:tcW w:w="12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7"/>
                <w:szCs w:val="17"/>
                <w:b w:val="1"/>
                <w:bCs w:val="1"/>
                <w:color w:val="auto"/>
                <w:w w:val="98"/>
              </w:rPr>
              <w:t>[]Occupa tion/]</w:t>
            </w:r>
          </w:p>
        </w:tc>
        <w:tc>
          <w:tcPr>
            <w:tcW w:w="15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7"/>
                <w:szCs w:val="17"/>
                <w:b w:val="1"/>
                <w:bCs w:val="1"/>
                <w:color w:val="auto"/>
              </w:rPr>
              <w:t>Identity</w:t>
            </w:r>
          </w:p>
        </w:tc>
        <w:tc>
          <w:tcPr>
            <w:tcW w:w="2480" w:type="dxa"/>
            <w:vAlign w:val="bottom"/>
            <w:tcBorders>
              <w:top w:val="single" w:sz="8" w:color="auto"/>
              <w:right w:val="single" w:sz="8" w:color="auto"/>
            </w:tcBorders>
            <w:gridSpan w:val="2"/>
          </w:tcPr>
          <w:p>
            <w:pPr>
              <w:jc w:val="right"/>
              <w:ind w:right="517"/>
              <w:spacing w:after="0"/>
              <w:rPr>
                <w:sz w:val="20"/>
                <w:szCs w:val="20"/>
                <w:color w:val="auto"/>
              </w:rPr>
            </w:pPr>
            <w:r>
              <w:rPr>
                <w:rFonts w:ascii="Arial" w:cs="Arial" w:eastAsia="Arial" w:hAnsi="Arial"/>
                <w:sz w:val="17"/>
                <w:szCs w:val="17"/>
                <w:b w:val="1"/>
                <w:bCs w:val="1"/>
                <w:color w:val="auto"/>
              </w:rPr>
              <w:t>Executive Director</w:t>
            </w: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Shareholder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left="57"/>
              <w:spacing w:after="0"/>
              <w:rPr>
                <w:sz w:val="20"/>
                <w:szCs w:val="20"/>
                <w:color w:val="auto"/>
              </w:rPr>
            </w:pPr>
            <w:r>
              <w:rPr>
                <w:rFonts w:ascii="Arial" w:cs="Arial" w:eastAsia="Arial" w:hAnsi="Arial"/>
                <w:sz w:val="17"/>
                <w:szCs w:val="17"/>
                <w:b w:val="1"/>
                <w:bCs w:val="1"/>
                <w:color w:val="auto"/>
                <w:w w:val="87"/>
              </w:rPr>
              <w:t>No.</w:t>
            </w: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50"/>
        </w:trPr>
        <w:tc>
          <w:tcPr>
            <w:tcW w:w="2020" w:type="dxa"/>
            <w:vAlign w:val="bottom"/>
            <w:tcBorders>
              <w:left w:val="single" w:sz="8" w:color="auto"/>
              <w:bottom w:val="single" w:sz="8" w:color="auto"/>
              <w:right w:val="single" w:sz="8" w:color="auto"/>
            </w:tcBorders>
            <w:gridSpan w:val="2"/>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42"/>
        </w:trPr>
        <w:tc>
          <w:tcPr>
            <w:tcW w:w="2020" w:type="dxa"/>
            <w:vAlign w:val="bottom"/>
            <w:tcBorders>
              <w:left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97"/>
              </w:rPr>
              <w:t>Address of Domicile</w:t>
            </w:r>
          </w:p>
        </w:tc>
        <w:tc>
          <w:tcPr>
            <w:tcW w:w="160" w:type="dxa"/>
            <w:vAlign w:val="bottom"/>
            <w:tcBorders>
              <w:right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ind w:right="737"/>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42"/>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2900" w:type="dxa"/>
            <w:vAlign w:val="bottom"/>
            <w:gridSpan w:val="5"/>
          </w:tcPr>
          <w:p>
            <w:pPr>
              <w:jc w:val="center"/>
              <w:ind w:left="177"/>
              <w:spacing w:after="0"/>
              <w:rPr>
                <w:sz w:val="20"/>
                <w:szCs w:val="20"/>
                <w:color w:val="auto"/>
              </w:rPr>
            </w:pPr>
            <w:r>
              <w:rPr>
                <w:rFonts w:ascii="Arial" w:cs="Arial" w:eastAsia="Arial" w:hAnsi="Arial"/>
                <w:sz w:val="17"/>
                <w:szCs w:val="17"/>
                <w:b w:val="1"/>
                <w:bCs w:val="1"/>
                <w:color w:val="auto"/>
                <w:w w:val="89"/>
              </w:rPr>
              <w:t>Contribution Amount/ Consideration</w:t>
            </w:r>
          </w:p>
        </w:tc>
        <w:tc>
          <w:tcPr>
            <w:tcW w:w="28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gridSpan w:val="4"/>
          </w:tcPr>
          <w:p>
            <w:pPr>
              <w:ind w:left="440"/>
              <w:spacing w:after="0"/>
              <w:rPr>
                <w:sz w:val="20"/>
                <w:szCs w:val="20"/>
                <w:color w:val="auto"/>
              </w:rPr>
            </w:pPr>
            <w:r>
              <w:rPr>
                <w:rFonts w:ascii="Arial" w:cs="Arial" w:eastAsia="Arial" w:hAnsi="Arial"/>
                <w:sz w:val="17"/>
                <w:szCs w:val="17"/>
                <w:b w:val="1"/>
                <w:bCs w:val="1"/>
                <w:color w:val="auto"/>
              </w:rPr>
              <w:t>Shareholding Percentage</w:t>
            </w: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80" w:type="dxa"/>
            <w:vAlign w:val="bottom"/>
          </w:tcPr>
          <w:p>
            <w:pPr>
              <w:jc w:val="center"/>
              <w:ind w:right="457"/>
              <w:spacing w:after="0"/>
              <w:rPr>
                <w:sz w:val="20"/>
                <w:szCs w:val="20"/>
                <w:color w:val="auto"/>
              </w:rPr>
            </w:pPr>
            <w:r>
              <w:rPr>
                <w:rFonts w:ascii="Arial" w:cs="Arial" w:eastAsia="Arial" w:hAnsi="Arial"/>
                <w:sz w:val="17"/>
                <w:szCs w:val="17"/>
                <w:b w:val="1"/>
                <w:bCs w:val="1"/>
                <w:color w:val="auto"/>
                <w:w w:val="84"/>
              </w:rPr>
              <w:t>Note</w:t>
            </w:r>
          </w:p>
        </w:tc>
        <w:tc>
          <w:tcPr>
            <w:tcW w:w="150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gridSpan w:val="2"/>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gridSpan w:val="4"/>
          </w:tcPr>
          <w:p>
            <w:pPr>
              <w:jc w:val="center"/>
              <w:ind w:right="860"/>
              <w:spacing w:after="0"/>
              <w:rPr>
                <w:sz w:val="20"/>
                <w:szCs w:val="20"/>
                <w:color w:val="auto"/>
              </w:rPr>
            </w:pPr>
            <w:r>
              <w:rPr>
                <w:rFonts w:ascii="Arial" w:cs="Arial" w:eastAsia="Arial" w:hAnsi="Arial"/>
                <w:sz w:val="17"/>
                <w:szCs w:val="17"/>
                <w:color w:val="auto"/>
                <w:w w:val="96"/>
              </w:rPr>
              <w:t>CNY [190]</w:t>
            </w:r>
          </w:p>
        </w:tc>
        <w:tc>
          <w:tcPr>
            <w:tcW w:w="280" w:type="dxa"/>
            <w:vAlign w:val="bottom"/>
            <w:tcBorders>
              <w:right w:val="single" w:sz="8" w:color="auto"/>
            </w:tcBorders>
          </w:tcPr>
          <w:p>
            <w:pPr>
              <w:spacing w:after="0"/>
              <w:rPr>
                <w:sz w:val="19"/>
                <w:szCs w:val="19"/>
                <w:color w:val="auto"/>
              </w:rPr>
            </w:pPr>
          </w:p>
        </w:tc>
        <w:tc>
          <w:tcPr>
            <w:tcW w:w="118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95]%</w:t>
            </w:r>
          </w:p>
        </w:tc>
        <w:tc>
          <w:tcPr>
            <w:tcW w:w="8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4"/>
          </w:tcPr>
          <w:p>
            <w:pPr>
              <w:jc w:val="center"/>
              <w:spacing w:after="0"/>
              <w:rPr>
                <w:sz w:val="20"/>
                <w:szCs w:val="20"/>
                <w:color w:val="auto"/>
              </w:rPr>
            </w:pPr>
            <w:r>
              <w:rPr>
                <w:rFonts w:ascii="Arial" w:cs="Arial" w:eastAsia="Arial" w:hAnsi="Arial"/>
                <w:sz w:val="17"/>
                <w:szCs w:val="17"/>
                <w:color w:val="auto"/>
                <w:w w:val="91"/>
              </w:rPr>
              <w:t>100% of the equity being pledged to [  Wuhan Studyvip Online</w:t>
            </w: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2"/>
          </w:tcPr>
          <w:p>
            <w:pPr>
              <w:ind w:left="800"/>
              <w:spacing w:after="0"/>
              <w:rPr>
                <w:sz w:val="20"/>
                <w:szCs w:val="20"/>
                <w:color w:val="auto"/>
              </w:rPr>
            </w:pPr>
            <w:r>
              <w:rPr>
                <w:rFonts w:ascii="Arial" w:cs="Arial" w:eastAsia="Arial" w:hAnsi="Arial"/>
                <w:sz w:val="17"/>
                <w:szCs w:val="17"/>
                <w:color w:val="auto"/>
              </w:rPr>
              <w:t>Education Co., Limited</w:t>
            </w:r>
          </w:p>
        </w:tc>
        <w:tc>
          <w:tcPr>
            <w:tcW w:w="1500" w:type="dxa"/>
            <w:vAlign w:val="bottom"/>
            <w:tcBorders>
              <w:right w:val="single" w:sz="8" w:color="auto"/>
            </w:tcBorders>
          </w:tcPr>
          <w:p>
            <w:pPr>
              <w:jc w:val="right"/>
              <w:ind w:right="1197"/>
              <w:spacing w:after="0"/>
              <w:rPr>
                <w:sz w:val="20"/>
                <w:szCs w:val="20"/>
                <w:color w:val="auto"/>
              </w:rPr>
            </w:pPr>
            <w:r>
              <w:rPr>
                <w:rFonts w:ascii="Arial" w:cs="Arial" w:eastAsia="Arial" w:hAnsi="Arial"/>
                <w:sz w:val="17"/>
                <w:szCs w:val="17"/>
                <w:color w:val="auto"/>
              </w:rPr>
              <w:t>]</w:t>
            </w: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1840" w:type="dxa"/>
            <w:vAlign w:val="bottom"/>
            <w:tcBorders>
              <w:top w:val="single" w:sz="8" w:color="auto"/>
              <w:left w:val="single" w:sz="8" w:color="auto"/>
            </w:tcBorders>
            <w:gridSpan w:val="2"/>
          </w:tcPr>
          <w:p>
            <w:pPr>
              <w:jc w:val="center"/>
              <w:ind w:left="97"/>
              <w:spacing w:after="0"/>
              <w:rPr>
                <w:sz w:val="20"/>
                <w:szCs w:val="20"/>
                <w:color w:val="auto"/>
              </w:rPr>
            </w:pPr>
            <w:r>
              <w:rPr>
                <w:rFonts w:ascii="Arial" w:cs="Arial" w:eastAsia="Arial" w:hAnsi="Arial"/>
                <w:sz w:val="17"/>
                <w:szCs w:val="17"/>
                <w:b w:val="1"/>
                <w:bCs w:val="1"/>
                <w:color w:val="auto"/>
                <w:w w:val="87"/>
              </w:rPr>
              <w:t>Full name of the</w:t>
            </w:r>
          </w:p>
        </w:tc>
        <w:tc>
          <w:tcPr>
            <w:tcW w:w="180" w:type="dxa"/>
            <w:vAlign w:val="bottom"/>
            <w:tcBorders>
              <w:top w:val="single" w:sz="8" w:color="auto"/>
              <w:right w:val="single" w:sz="8" w:color="auto"/>
            </w:tcBorders>
          </w:tcPr>
          <w:p>
            <w:pPr>
              <w:spacing w:after="0"/>
              <w:rPr>
                <w:sz w:val="21"/>
                <w:szCs w:val="21"/>
                <w:color w:val="auto"/>
              </w:rPr>
            </w:pPr>
          </w:p>
        </w:tc>
        <w:tc>
          <w:tcPr>
            <w:tcW w:w="1300" w:type="dxa"/>
            <w:vAlign w:val="bottom"/>
            <w:tcBorders>
              <w:top w:val="single" w:sz="8" w:color="auto"/>
            </w:tcBorders>
            <w:gridSpan w:val="3"/>
          </w:tcPr>
          <w:p>
            <w:pPr>
              <w:jc w:val="right"/>
              <w:ind w:right="77"/>
              <w:spacing w:after="0"/>
              <w:rPr>
                <w:sz w:val="20"/>
                <w:szCs w:val="20"/>
                <w:color w:val="auto"/>
              </w:rPr>
            </w:pPr>
            <w:r>
              <w:rPr>
                <w:rFonts w:ascii="Arial" w:cs="Arial" w:eastAsia="Arial" w:hAnsi="Arial"/>
                <w:sz w:val="17"/>
                <w:szCs w:val="17"/>
                <w:b w:val="1"/>
                <w:bCs w:val="1"/>
                <w:color w:val="auto"/>
              </w:rPr>
              <w:t>[  DU Peiheng</w:t>
            </w:r>
          </w:p>
        </w:tc>
        <w:tc>
          <w:tcPr>
            <w:tcW w:w="32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w:t>
            </w:r>
          </w:p>
        </w:tc>
        <w:tc>
          <w:tcPr>
            <w:tcW w:w="160" w:type="dxa"/>
            <w:vAlign w:val="bottom"/>
            <w:tcBorders>
              <w:top w:val="single" w:sz="8" w:color="auto"/>
            </w:tcBorders>
          </w:tcPr>
          <w:p>
            <w:pPr>
              <w:spacing w:after="0"/>
              <w:rPr>
                <w:sz w:val="21"/>
                <w:szCs w:val="21"/>
                <w:color w:val="auto"/>
              </w:rPr>
            </w:pPr>
          </w:p>
        </w:tc>
        <w:tc>
          <w:tcPr>
            <w:tcW w:w="2080" w:type="dxa"/>
            <w:vAlign w:val="bottom"/>
            <w:tcBorders>
              <w:top w:val="single" w:sz="8" w:color="auto"/>
              <w:right w:val="single" w:sz="8" w:color="auto"/>
            </w:tcBorders>
            <w:gridSpan w:val="3"/>
          </w:tcPr>
          <w:p>
            <w:pPr>
              <w:jc w:val="center"/>
              <w:ind w:right="117"/>
              <w:spacing w:after="0"/>
              <w:rPr>
                <w:sz w:val="20"/>
                <w:szCs w:val="20"/>
                <w:color w:val="auto"/>
              </w:rPr>
            </w:pPr>
            <w:r>
              <w:rPr>
                <w:rFonts w:ascii="Arial" w:cs="Arial" w:eastAsia="Arial" w:hAnsi="Arial"/>
                <w:sz w:val="17"/>
                <w:szCs w:val="17"/>
                <w:b w:val="1"/>
                <w:bCs w:val="1"/>
                <w:color w:val="auto"/>
                <w:w w:val="91"/>
              </w:rPr>
              <w:t>ID Card No./ Registration</w:t>
            </w:r>
          </w:p>
        </w:tc>
        <w:tc>
          <w:tcPr>
            <w:tcW w:w="900" w:type="dxa"/>
            <w:vAlign w:val="bottom"/>
            <w:tcBorders>
              <w:top w:val="single" w:sz="8" w:color="auto"/>
            </w:tcBorders>
          </w:tcPr>
          <w:p>
            <w:pPr>
              <w:jc w:val="right"/>
              <w:ind w:right="397"/>
              <w:spacing w:after="0"/>
              <w:rPr>
                <w:sz w:val="20"/>
                <w:szCs w:val="20"/>
                <w:color w:val="auto"/>
              </w:rPr>
            </w:pPr>
            <w:r>
              <w:rPr>
                <w:rFonts w:ascii="Arial" w:cs="Arial" w:eastAsia="Arial" w:hAnsi="Arial"/>
                <w:sz w:val="17"/>
                <w:szCs w:val="17"/>
                <w:b w:val="1"/>
                <w:bCs w:val="1"/>
                <w:color w:val="auto"/>
              </w:rPr>
              <w:t>[</w:t>
            </w: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w w:val="73"/>
              </w:rPr>
              <w:t>]</w:t>
            </w:r>
          </w:p>
        </w:tc>
        <w:tc>
          <w:tcPr>
            <w:tcW w:w="400" w:type="dxa"/>
            <w:vAlign w:val="bottom"/>
            <w:tcBorders>
              <w:top w:val="single" w:sz="8" w:color="auto"/>
              <w:right w:val="single" w:sz="8" w:color="auto"/>
            </w:tcBorders>
          </w:tcPr>
          <w:p>
            <w:pPr>
              <w:spacing w:after="0"/>
              <w:rPr>
                <w:sz w:val="21"/>
                <w:szCs w:val="21"/>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Occupation/</w:t>
            </w:r>
          </w:p>
        </w:tc>
        <w:tc>
          <w:tcPr>
            <w:tcW w:w="760" w:type="dxa"/>
            <w:vAlign w:val="bottom"/>
            <w:tcBorders>
              <w:top w:val="single" w:sz="8" w:color="auto"/>
            </w:tcBorders>
          </w:tcPr>
          <w:p>
            <w:pPr>
              <w:spacing w:after="0"/>
              <w:rPr>
                <w:sz w:val="21"/>
                <w:szCs w:val="21"/>
                <w:color w:val="auto"/>
              </w:rPr>
            </w:pPr>
          </w:p>
        </w:tc>
        <w:tc>
          <w:tcPr>
            <w:tcW w:w="1720" w:type="dxa"/>
            <w:vAlign w:val="bottom"/>
            <w:tcBorders>
              <w:top w:val="single" w:sz="8" w:color="auto"/>
              <w:right w:val="single" w:sz="8" w:color="auto"/>
            </w:tcBorders>
          </w:tcPr>
          <w:p>
            <w:pPr>
              <w:spacing w:after="0"/>
              <w:rPr>
                <w:sz w:val="21"/>
                <w:szCs w:val="21"/>
                <w:color w:val="auto"/>
              </w:rPr>
            </w:pPr>
          </w:p>
        </w:tc>
      </w:tr>
      <w:tr>
        <w:trPr>
          <w:trHeight w:val="216"/>
        </w:trPr>
        <w:tc>
          <w:tcPr>
            <w:tcW w:w="1840" w:type="dxa"/>
            <w:vAlign w:val="bottom"/>
            <w:tcBorders>
              <w:left w:val="single" w:sz="8" w:color="auto"/>
            </w:tcBorders>
            <w:gridSpan w:val="2"/>
          </w:tcPr>
          <w:p>
            <w:pPr>
              <w:jc w:val="center"/>
              <w:ind w:left="97"/>
              <w:spacing w:after="0"/>
              <w:rPr>
                <w:sz w:val="20"/>
                <w:szCs w:val="20"/>
                <w:color w:val="auto"/>
              </w:rPr>
            </w:pPr>
            <w:r>
              <w:rPr>
                <w:rFonts w:ascii="Arial" w:cs="Arial" w:eastAsia="Arial" w:hAnsi="Arial"/>
                <w:sz w:val="17"/>
                <w:szCs w:val="17"/>
                <w:b w:val="1"/>
                <w:bCs w:val="1"/>
                <w:color w:val="auto"/>
                <w:w w:val="86"/>
              </w:rPr>
              <w:t>Shareholder</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left="37"/>
              <w:spacing w:after="0"/>
              <w:rPr>
                <w:sz w:val="20"/>
                <w:szCs w:val="20"/>
                <w:color w:val="auto"/>
              </w:rPr>
            </w:pPr>
            <w:r>
              <w:rPr>
                <w:rFonts w:ascii="Arial" w:cs="Arial" w:eastAsia="Arial" w:hAnsi="Arial"/>
                <w:sz w:val="17"/>
                <w:szCs w:val="17"/>
                <w:b w:val="1"/>
                <w:bCs w:val="1"/>
                <w:color w:val="auto"/>
                <w:w w:val="87"/>
              </w:rPr>
              <w:t>No.</w:t>
            </w:r>
          </w:p>
        </w:tc>
        <w:tc>
          <w:tcPr>
            <w:tcW w:w="6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Identity</w:t>
            </w:r>
          </w:p>
        </w:tc>
        <w:tc>
          <w:tcPr>
            <w:tcW w:w="76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50"/>
        </w:trPr>
        <w:tc>
          <w:tcPr>
            <w:tcW w:w="1840" w:type="dxa"/>
            <w:vAlign w:val="bottom"/>
            <w:tcBorders>
              <w:left w:val="single" w:sz="8" w:color="auto"/>
              <w:bottom w:val="single" w:sz="8" w:color="auto"/>
            </w:tcBorders>
            <w:gridSpan w:val="2"/>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42"/>
        </w:trPr>
        <w:tc>
          <w:tcPr>
            <w:tcW w:w="1840" w:type="dxa"/>
            <w:vAlign w:val="bottom"/>
            <w:tcBorders>
              <w:left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87"/>
              </w:rPr>
              <w:t>Address of Domicile</w:t>
            </w:r>
          </w:p>
        </w:tc>
        <w:tc>
          <w:tcPr>
            <w:tcW w:w="18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417"/>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42"/>
        </w:trPr>
        <w:tc>
          <w:tcPr>
            <w:tcW w:w="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Date</w:t>
            </w:r>
          </w:p>
        </w:tc>
        <w:tc>
          <w:tcPr>
            <w:tcW w:w="2900" w:type="dxa"/>
            <w:vAlign w:val="bottom"/>
            <w:gridSpan w:val="7"/>
          </w:tcPr>
          <w:p>
            <w:pPr>
              <w:ind w:left="260"/>
              <w:spacing w:after="0"/>
              <w:rPr>
                <w:sz w:val="20"/>
                <w:szCs w:val="20"/>
                <w:color w:val="auto"/>
              </w:rPr>
            </w:pPr>
            <w:r>
              <w:rPr>
                <w:rFonts w:ascii="Arial" w:cs="Arial" w:eastAsia="Arial" w:hAnsi="Arial"/>
                <w:sz w:val="17"/>
                <w:szCs w:val="17"/>
                <w:b w:val="1"/>
                <w:bCs w:val="1"/>
                <w:color w:val="auto"/>
                <w:w w:val="88"/>
              </w:rPr>
              <w:t>Contribution Amount/ Consideration</w:t>
            </w:r>
          </w:p>
        </w:tc>
        <w:tc>
          <w:tcPr>
            <w:tcW w:w="28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gridSpan w:val="3"/>
          </w:tcPr>
          <w:p>
            <w:pPr>
              <w:jc w:val="right"/>
              <w:ind w:right="397"/>
              <w:spacing w:after="0"/>
              <w:rPr>
                <w:sz w:val="20"/>
                <w:szCs w:val="20"/>
                <w:color w:val="auto"/>
              </w:rPr>
            </w:pPr>
            <w:r>
              <w:rPr>
                <w:rFonts w:ascii="Arial" w:cs="Arial" w:eastAsia="Arial" w:hAnsi="Arial"/>
                <w:sz w:val="17"/>
                <w:szCs w:val="17"/>
                <w:b w:val="1"/>
                <w:bCs w:val="1"/>
                <w:color w:val="auto"/>
              </w:rPr>
              <w:t>Shareholding Percentage</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Arial" w:cs="Arial" w:eastAsia="Arial" w:hAnsi="Arial"/>
                <w:sz w:val="17"/>
                <w:szCs w:val="17"/>
                <w:b w:val="1"/>
                <w:bCs w:val="1"/>
                <w:color w:val="auto"/>
              </w:rPr>
              <w:t>Note</w:t>
            </w:r>
          </w:p>
        </w:tc>
        <w:tc>
          <w:tcPr>
            <w:tcW w:w="1720" w:type="dxa"/>
            <w:vAlign w:val="bottom"/>
            <w:tcBorders>
              <w:right w:val="single" w:sz="8" w:color="auto"/>
            </w:tcBorders>
          </w:tcPr>
          <w:p>
            <w:pPr>
              <w:spacing w:after="0"/>
              <w:rPr>
                <w:sz w:val="21"/>
                <w:szCs w:val="21"/>
                <w:color w:val="auto"/>
              </w:rPr>
            </w:pP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29"/>
        </w:trPr>
        <w:tc>
          <w:tcPr>
            <w:tcW w:w="900" w:type="dxa"/>
            <w:vAlign w:val="bottom"/>
            <w:tcBorders>
              <w:left w:val="single" w:sz="8" w:color="auto"/>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3"/>
          </w:tcPr>
          <w:p>
            <w:pPr>
              <w:jc w:val="right"/>
              <w:ind w:right="77"/>
              <w:spacing w:after="0"/>
              <w:rPr>
                <w:sz w:val="20"/>
                <w:szCs w:val="20"/>
                <w:color w:val="auto"/>
              </w:rPr>
            </w:pPr>
            <w:r>
              <w:rPr>
                <w:rFonts w:ascii="Arial" w:cs="Arial" w:eastAsia="Arial" w:hAnsi="Arial"/>
                <w:sz w:val="17"/>
                <w:szCs w:val="17"/>
                <w:color w:val="auto"/>
              </w:rPr>
              <w:t>CNY [</w:t>
            </w:r>
          </w:p>
        </w:tc>
        <w:tc>
          <w:tcPr>
            <w:tcW w:w="840" w:type="dxa"/>
            <w:vAlign w:val="bottom"/>
          </w:tcPr>
          <w:p>
            <w:pPr>
              <w:jc w:val="right"/>
              <w:ind w:right="157"/>
              <w:spacing w:after="0"/>
              <w:rPr>
                <w:sz w:val="20"/>
                <w:szCs w:val="20"/>
                <w:color w:val="auto"/>
              </w:rPr>
            </w:pPr>
            <w:r>
              <w:rPr>
                <w:rFonts w:ascii="Arial" w:cs="Arial" w:eastAsia="Arial" w:hAnsi="Arial"/>
                <w:sz w:val="17"/>
                <w:szCs w:val="17"/>
                <w:color w:val="auto"/>
              </w:rPr>
              <w:t>10   ]</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20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5 ]%</w:t>
            </w:r>
          </w:p>
        </w:tc>
        <w:tc>
          <w:tcPr>
            <w:tcW w:w="9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720" w:type="dxa"/>
            <w:vAlign w:val="bottom"/>
            <w:gridSpan w:val="3"/>
          </w:tcPr>
          <w:p>
            <w:pPr>
              <w:ind w:left="20"/>
              <w:spacing w:after="0"/>
              <w:rPr>
                <w:sz w:val="20"/>
                <w:szCs w:val="20"/>
                <w:color w:val="auto"/>
              </w:rPr>
            </w:pPr>
            <w:r>
              <w:rPr>
                <w:rFonts w:ascii="Arial" w:cs="Arial" w:eastAsia="Arial" w:hAnsi="Arial"/>
                <w:sz w:val="17"/>
                <w:szCs w:val="17"/>
                <w:color w:val="auto"/>
                <w:w w:val="95"/>
              </w:rPr>
              <w:t>100% of the equity being pledged to [</w:t>
            </w:r>
          </w:p>
        </w:tc>
        <w:tc>
          <w:tcPr>
            <w:tcW w:w="1720" w:type="dxa"/>
            <w:vAlign w:val="bottom"/>
            <w:tcBorders>
              <w:right w:val="single" w:sz="8" w:color="auto"/>
            </w:tcBorders>
          </w:tcPr>
          <w:p>
            <w:pPr>
              <w:jc w:val="right"/>
              <w:ind w:right="17"/>
              <w:spacing w:after="0"/>
              <w:rPr>
                <w:sz w:val="20"/>
                <w:szCs w:val="20"/>
                <w:color w:val="auto"/>
              </w:rPr>
            </w:pPr>
            <w:r>
              <w:rPr>
                <w:rFonts w:ascii="Arial" w:cs="Arial" w:eastAsia="Arial" w:hAnsi="Arial"/>
                <w:sz w:val="17"/>
                <w:szCs w:val="17"/>
                <w:color w:val="auto"/>
                <w:w w:val="90"/>
              </w:rPr>
              <w:t>Wuhan Studyvip Online</w:t>
            </w:r>
          </w:p>
        </w:tc>
      </w:tr>
      <w:tr>
        <w:trPr>
          <w:trHeight w:val="212"/>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gridSpan w:val="2"/>
          </w:tcPr>
          <w:p>
            <w:pPr>
              <w:ind w:left="760"/>
              <w:spacing w:after="0"/>
              <w:rPr>
                <w:sz w:val="20"/>
                <w:szCs w:val="20"/>
                <w:color w:val="auto"/>
              </w:rPr>
            </w:pPr>
            <w:r>
              <w:rPr>
                <w:rFonts w:ascii="Arial" w:cs="Arial" w:eastAsia="Arial" w:hAnsi="Arial"/>
                <w:sz w:val="17"/>
                <w:szCs w:val="17"/>
                <w:color w:val="auto"/>
                <w:w w:val="90"/>
              </w:rPr>
              <w:t>Education Co., Limited</w:t>
            </w:r>
          </w:p>
        </w:tc>
        <w:tc>
          <w:tcPr>
            <w:tcW w:w="1720" w:type="dxa"/>
            <w:vAlign w:val="bottom"/>
            <w:tcBorders>
              <w:right w:val="single" w:sz="8" w:color="auto"/>
            </w:tcBorders>
          </w:tcPr>
          <w:p>
            <w:pPr>
              <w:jc w:val="right"/>
              <w:ind w:right="1157"/>
              <w:spacing w:after="0"/>
              <w:rPr>
                <w:sz w:val="20"/>
                <w:szCs w:val="20"/>
                <w:color w:val="auto"/>
              </w:rPr>
            </w:pPr>
            <w:r>
              <w:rPr>
                <w:rFonts w:ascii="Arial" w:cs="Arial" w:eastAsia="Arial" w:hAnsi="Arial"/>
                <w:sz w:val="17"/>
                <w:szCs w:val="17"/>
                <w:color w:val="auto"/>
              </w:rPr>
              <w:t>]</w:t>
            </w:r>
          </w:p>
        </w:tc>
      </w:tr>
      <w:tr>
        <w:trPr>
          <w:trHeight w:val="50"/>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Annotation:</w:t>
      </w:r>
    </w:p>
    <w:p>
      <w:pPr>
        <w:spacing w:after="0" w:line="203" w:lineRule="exact"/>
        <w:rPr>
          <w:sz w:val="20"/>
          <w:szCs w:val="20"/>
          <w:color w:val="auto"/>
        </w:rPr>
      </w:pPr>
    </w:p>
    <w:p>
      <w:pPr>
        <w:jc w:val="both"/>
        <w:spacing w:after="0" w:line="257" w:lineRule="auto"/>
        <w:tabs>
          <w:tab w:leader="none" w:pos="174" w:val="left"/>
        </w:tabs>
        <w:numPr>
          <w:ilvl w:val="0"/>
          <w:numId w:val="637"/>
        </w:numPr>
        <w:rPr>
          <w:rFonts w:ascii="Arial" w:cs="Arial" w:eastAsia="Arial" w:hAnsi="Arial"/>
          <w:sz w:val="17"/>
          <w:szCs w:val="17"/>
          <w:b w:val="1"/>
          <w:bCs w:val="1"/>
          <w:color w:val="auto"/>
        </w:rPr>
      </w:pPr>
      <w:r>
        <w:rPr>
          <w:rFonts w:ascii="Arial" w:cs="Arial" w:eastAsia="Arial" w:hAnsi="Arial"/>
          <w:sz w:val="17"/>
          <w:szCs w:val="17"/>
          <w:b w:val="1"/>
          <w:bCs w:val="1"/>
          <w:color w:val="auto"/>
        </w:rPr>
        <w:t>This Shareholders’ Register is prepared as per the Articles of Association of Guangzhou Wudawei Education Technology Co., Ltd. and the Equity Interest Pledge Agreement (the “Pledge Agreement”) was made as of the 14</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of September, 2020 and entered into by and among Guangzhou Wudawei Education Technology Co., Ltd. and its shareholders and Wuhan Studyvip Online Education Co., Limited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w:t>
      </w:r>
    </w:p>
    <w:p>
      <w:pPr>
        <w:spacing w:after="0" w:line="20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This Shareholders’ Register is made in ONE (1) original and ONE (1) true and same photocopy of such original. Such ONE (1) original is placed at Tianjin Shangde Online</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Education Technology Co., Ltd.; and such ONE (1) photocopy being sealed by Tianjin Shangde Online Education Technology Co., Ltd. is handed over to Wuhan Studyvip Online Education Co., Limited for custody.</w:t>
      </w:r>
    </w:p>
    <w:p>
      <w:pPr>
        <w:spacing w:after="0" w:line="160"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Guangzhou Wudawei Education Technology Co., Ltd. (Seal)</w:t>
      </w:r>
    </w:p>
    <w:p>
      <w:pPr>
        <w:spacing w:after="0" w:line="207" w:lineRule="exact"/>
        <w:rPr>
          <w:sz w:val="20"/>
          <w:szCs w:val="20"/>
          <w:color w:val="auto"/>
        </w:rPr>
      </w:pPr>
    </w:p>
    <w:p>
      <w:pPr>
        <w:spacing w:after="0"/>
        <w:tabs>
          <w:tab w:leader="none" w:pos="3240" w:val="left"/>
        </w:tabs>
        <w:rPr>
          <w:sz w:val="20"/>
          <w:szCs w:val="20"/>
          <w:color w:val="auto"/>
        </w:rPr>
      </w:pPr>
      <w:r>
        <w:rPr>
          <w:rFonts w:ascii="Arial" w:cs="Arial" w:eastAsia="Arial" w:hAnsi="Arial"/>
          <w:sz w:val="17"/>
          <w:szCs w:val="17"/>
          <w:color w:val="auto"/>
        </w:rPr>
        <w:t>Legal Representative (Signature):</w:t>
      </w:r>
      <w:r>
        <w:rPr>
          <w:sz w:val="20"/>
          <w:szCs w:val="20"/>
          <w:color w:val="auto"/>
        </w:rPr>
        <w:tab/>
      </w:r>
      <w:r>
        <w:rPr>
          <w:rFonts w:ascii="Arial" w:cs="Arial" w:eastAsia="Arial" w:hAnsi="Arial"/>
          <w:sz w:val="15"/>
          <w:szCs w:val="15"/>
          <w:color w:val="auto"/>
        </w:rPr>
        <w:t>/s/ LI Haohan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10160</wp:posOffset>
            </wp:positionV>
            <wp:extent cx="1851025"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2">
                      <a:extLst>
                        <a:ext uri="{28A0092B-C50C-407E-A947-70E740481C1C}"/>
                      </a:extLst>
                    </a:blip>
                    <a:srcRect/>
                    <a:stretch>
                      <a:fillRect/>
                    </a:stretch>
                  </pic:blipFill>
                  <pic:spPr bwMode="auto">
                    <a:xfrm>
                      <a:off x="0" y="0"/>
                      <a:ext cx="1851025" cy="762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558" w:name="page559"/>
    <w:bookmarkEnd w:id="558"/>
    <w:p>
      <w:pPr>
        <w:jc w:val="right"/>
        <w:spacing w:after="0"/>
        <w:rPr>
          <w:sz w:val="20"/>
          <w:szCs w:val="20"/>
          <w:color w:val="auto"/>
        </w:rPr>
      </w:pPr>
      <w:r>
        <w:rPr>
          <w:rFonts w:ascii="Arial" w:cs="Arial" w:eastAsia="Arial" w:hAnsi="Arial"/>
          <w:sz w:val="17"/>
          <w:szCs w:val="17"/>
          <w:b w:val="1"/>
          <w:bCs w:val="1"/>
          <w:color w:val="auto"/>
        </w:rPr>
        <w:t>Exhibit 4.66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Agreement</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Option Agreement (hereinafter referred to as “</w:t>
      </w:r>
      <w:r>
        <w:rPr>
          <w:rFonts w:ascii="Arial" w:cs="Arial" w:eastAsia="Arial" w:hAnsi="Arial"/>
          <w:sz w:val="17"/>
          <w:szCs w:val="17"/>
          <w:b w:val="1"/>
          <w:bCs w:val="1"/>
          <w:color w:val="auto"/>
        </w:rPr>
        <w:t>Agreement</w:t>
      </w:r>
      <w:r>
        <w:rPr>
          <w:rFonts w:ascii="Arial" w:cs="Arial" w:eastAsia="Arial" w:hAnsi="Arial"/>
          <w:sz w:val="17"/>
          <w:szCs w:val="17"/>
          <w:color w:val="auto"/>
        </w:rPr>
        <w:t>”) was made as of 14th day of September, 2020 in Beijing,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and among the parties (hereinafter referred to as “</w:t>
      </w:r>
      <w:r>
        <w:rPr>
          <w:rFonts w:ascii="Arial" w:cs="Arial" w:eastAsia="Arial" w:hAnsi="Arial"/>
          <w:sz w:val="17"/>
          <w:szCs w:val="17"/>
          <w:b w:val="1"/>
          <w:bCs w:val="1"/>
          <w:color w:val="auto"/>
        </w:rPr>
        <w:t>Parties</w:t>
      </w:r>
      <w:r>
        <w:rPr>
          <w:rFonts w:ascii="Arial" w:cs="Arial" w:eastAsia="Arial" w:hAnsi="Arial"/>
          <w:sz w:val="17"/>
          <w:szCs w:val="17"/>
          <w:color w:val="auto"/>
        </w:rPr>
        <w:t>”)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Wuhan Studyvip Online Education Co., Limited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No. 1, Floor 3, Building No. 3, Modern Science &amp; Technology Park, Guannanyuan 1st Road, East Lake High-Tech Development Zone, Wuhan, China</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LIU Tongbo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As shown in Annex I hereto.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C: </w:t>
      </w:r>
      <w:r>
        <w:rPr>
          <w:rFonts w:ascii="Arial" w:cs="Arial" w:eastAsia="Arial" w:hAnsi="Arial"/>
          <w:sz w:val="17"/>
          <w:szCs w:val="17"/>
          <w:color w:val="auto"/>
        </w:rPr>
        <w:t>Guangzhou Wudawei Education Technology Co., Ltd.</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Registered Address: Guangzhou Wudawei Education Technology Co., Ltd. Registered Address: Room No. 103 (even), No. 90-96, Kexue grand avenue, Huangpu District, Guangzhou</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LI Haohan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Whereas:</w:t>
      </w:r>
    </w:p>
    <w:p>
      <w:pPr>
        <w:spacing w:after="0" w:line="207" w:lineRule="exact"/>
        <w:rPr>
          <w:sz w:val="20"/>
          <w:szCs w:val="20"/>
          <w:color w:val="auto"/>
        </w:rPr>
      </w:pPr>
    </w:p>
    <w:p>
      <w:pPr>
        <w:ind w:left="420" w:hanging="420"/>
        <w:spacing w:after="0"/>
        <w:tabs>
          <w:tab w:leader="none" w:pos="42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Party A is a wholly foreign-owned enterprise incorporated and existing under the laws of the PRC.</w:t>
      </w:r>
    </w:p>
    <w:p>
      <w:pPr>
        <w:spacing w:after="0" w:line="203" w:lineRule="exact"/>
        <w:rPr>
          <w:rFonts w:ascii="Arial" w:cs="Arial" w:eastAsia="Arial" w:hAnsi="Arial"/>
          <w:sz w:val="17"/>
          <w:szCs w:val="17"/>
          <w:color w:val="auto"/>
        </w:rPr>
      </w:pPr>
    </w:p>
    <w:p>
      <w:pPr>
        <w:ind w:left="420" w:hanging="420"/>
        <w:spacing w:after="0"/>
        <w:tabs>
          <w:tab w:leader="none" w:pos="42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Party C is a limited liability company incorporated and existing under the laws of the PRC.</w:t>
      </w:r>
    </w:p>
    <w:p>
      <w:pPr>
        <w:spacing w:after="0" w:line="199" w:lineRule="exact"/>
        <w:rPr>
          <w:rFonts w:ascii="Arial" w:cs="Arial" w:eastAsia="Arial" w:hAnsi="Arial"/>
          <w:sz w:val="17"/>
          <w:szCs w:val="17"/>
          <w:color w:val="auto"/>
        </w:rPr>
      </w:pPr>
    </w:p>
    <w:p>
      <w:pPr>
        <w:ind w:left="420" w:hanging="420"/>
        <w:spacing w:after="0"/>
        <w:tabs>
          <w:tab w:leader="none" w:pos="42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Party B (“</w:t>
      </w:r>
      <w:r>
        <w:rPr>
          <w:rFonts w:ascii="Arial" w:cs="Arial" w:eastAsia="Arial" w:hAnsi="Arial"/>
          <w:sz w:val="17"/>
          <w:szCs w:val="17"/>
          <w:b w:val="1"/>
          <w:bCs w:val="1"/>
          <w:color w:val="auto"/>
        </w:rPr>
        <w:t>Grantors</w:t>
      </w:r>
      <w:r>
        <w:rPr>
          <w:rFonts w:ascii="Arial" w:cs="Arial" w:eastAsia="Arial" w:hAnsi="Arial"/>
          <w:sz w:val="17"/>
          <w:szCs w:val="17"/>
          <w:color w:val="auto"/>
        </w:rPr>
        <w:t>”) directly hold their interests in Party C, and the shareholdings are shown in Annex II hereto.</w:t>
      </w:r>
    </w:p>
    <w:p>
      <w:pPr>
        <w:spacing w:after="0" w:line="206" w:lineRule="exact"/>
        <w:rPr>
          <w:rFonts w:ascii="Arial" w:cs="Arial" w:eastAsia="Arial" w:hAnsi="Arial"/>
          <w:sz w:val="17"/>
          <w:szCs w:val="17"/>
          <w:color w:val="auto"/>
        </w:rPr>
      </w:pPr>
    </w:p>
    <w:p>
      <w:pPr>
        <w:ind w:left="420" w:hanging="420"/>
        <w:spacing w:after="0"/>
        <w:tabs>
          <w:tab w:leader="none" w:pos="42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The Parties hereto signed the Equity Pledge Agreement on 14</w:t>
      </w:r>
      <w:r>
        <w:rPr>
          <w:rFonts w:ascii="Arial" w:cs="Arial" w:eastAsia="Arial" w:hAnsi="Arial"/>
          <w:sz w:val="14"/>
          <w:szCs w:val="14"/>
          <w:color w:val="auto"/>
        </w:rPr>
        <w:t>th</w:t>
      </w:r>
      <w:r>
        <w:rPr>
          <w:rFonts w:ascii="Arial" w:cs="Arial" w:eastAsia="Arial" w:hAnsi="Arial"/>
          <w:sz w:val="17"/>
          <w:szCs w:val="17"/>
          <w:color w:val="auto"/>
        </w:rPr>
        <w:t xml:space="preserve"> day of September, 2020.</w:t>
      </w:r>
    </w:p>
    <w:p>
      <w:pPr>
        <w:spacing w:after="0" w:line="203" w:lineRule="exact"/>
        <w:rPr>
          <w:rFonts w:ascii="Arial" w:cs="Arial" w:eastAsia="Arial" w:hAnsi="Arial"/>
          <w:sz w:val="17"/>
          <w:szCs w:val="17"/>
          <w:color w:val="auto"/>
        </w:rPr>
      </w:pPr>
    </w:p>
    <w:p>
      <w:pPr>
        <w:ind w:left="420" w:hanging="420"/>
        <w:spacing w:after="0" w:line="264" w:lineRule="auto"/>
        <w:tabs>
          <w:tab w:leader="none" w:pos="42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Party B intends to grant Party A or its designated qualified subject an exclusive option to purchase all or part of the shares/assets of Party C held by any or all of Grantors at any time subject to compliance with the requirements of Chinese laws.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Therefore, this Agreement is entered into by and among the Parties as follows:</w:t>
      </w:r>
    </w:p>
    <w:p>
      <w:pPr>
        <w:spacing w:after="0" w:line="199" w:lineRule="exact"/>
        <w:rPr>
          <w:sz w:val="20"/>
          <w:szCs w:val="20"/>
          <w:color w:val="auto"/>
        </w:rPr>
      </w:pPr>
    </w:p>
    <w:p>
      <w:pPr>
        <w:ind w:left="860" w:hanging="860"/>
        <w:spacing w:after="0"/>
        <w:tabs>
          <w:tab w:leader="none" w:pos="860" w:val="left"/>
        </w:tabs>
        <w:numPr>
          <w:ilvl w:val="0"/>
          <w:numId w:val="639"/>
        </w:numPr>
        <w:rPr>
          <w:rFonts w:ascii="Arial" w:cs="Arial" w:eastAsia="Arial" w:hAnsi="Arial"/>
          <w:sz w:val="17"/>
          <w:szCs w:val="17"/>
          <w:b w:val="1"/>
          <w:bCs w:val="1"/>
          <w:color w:val="auto"/>
        </w:rPr>
      </w:pPr>
      <w:r>
        <w:rPr>
          <w:rFonts w:ascii="Arial" w:cs="Arial" w:eastAsia="Arial" w:hAnsi="Arial"/>
          <w:sz w:val="17"/>
          <w:szCs w:val="17"/>
          <w:b w:val="1"/>
          <w:bCs w:val="1"/>
          <w:color w:val="auto"/>
        </w:rPr>
        <w:t>Granting of the Option</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5"/>
          <w:szCs w:val="15"/>
          <w:color w:val="auto"/>
        </w:rPr>
        <w:t>Granting</w:t>
      </w:r>
    </w:p>
    <w:p>
      <w:pPr>
        <w:spacing w:after="0" w:line="228" w:lineRule="exact"/>
        <w:rPr>
          <w:sz w:val="20"/>
          <w:szCs w:val="20"/>
          <w:color w:val="auto"/>
        </w:rPr>
      </w:pPr>
    </w:p>
    <w:p>
      <w:pPr>
        <w:jc w:val="both"/>
        <w:ind w:left="1720"/>
        <w:spacing w:after="0" w:line="251" w:lineRule="auto"/>
        <w:rPr>
          <w:sz w:val="20"/>
          <w:szCs w:val="20"/>
          <w:color w:val="auto"/>
        </w:rPr>
      </w:pPr>
      <w:r>
        <w:rPr>
          <w:rFonts w:ascii="Arial" w:cs="Arial" w:eastAsia="Arial" w:hAnsi="Arial"/>
          <w:sz w:val="17"/>
          <w:szCs w:val="17"/>
          <w:color w:val="auto"/>
        </w:rPr>
        <w:t>Grantors agree that, on the date of signing this Agreement, they shall irrevocably grant Party A an option to purchase in installments or lump sum all their shares in Party C by Party A or its designated third party in such way of exercise as stipulated in Section 2.2 hereof. Such option shall be granted to Party A after this Agreement is signed by the Parties hereto and shall be irrevocable within the term of this Agreement once granted.</w:t>
      </w:r>
    </w:p>
    <w:p>
      <w:pPr>
        <w:spacing w:after="0" w:line="179"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3"/>
          <w:szCs w:val="13"/>
          <w:color w:val="auto"/>
        </w:rPr>
        <w:t>Term</w:t>
      </w:r>
    </w:p>
    <w:p>
      <w:pPr>
        <w:spacing w:after="0" w:line="228" w:lineRule="exact"/>
        <w:rPr>
          <w:sz w:val="20"/>
          <w:szCs w:val="20"/>
          <w:color w:val="auto"/>
        </w:rPr>
      </w:pPr>
    </w:p>
    <w:p>
      <w:pPr>
        <w:jc w:val="both"/>
        <w:ind w:left="1720"/>
        <w:spacing w:after="0" w:line="264" w:lineRule="auto"/>
        <w:rPr>
          <w:sz w:val="20"/>
          <w:szCs w:val="20"/>
          <w:color w:val="auto"/>
        </w:rPr>
      </w:pPr>
      <w:r>
        <w:rPr>
          <w:rFonts w:ascii="Arial" w:cs="Arial" w:eastAsia="Arial" w:hAnsi="Arial"/>
          <w:sz w:val="17"/>
          <w:szCs w:val="17"/>
          <w:color w:val="auto"/>
        </w:rPr>
        <w:t>This Agreement shall take effect after being signed and/or sealed by the parties hereto, and shall not be terminated until Party A acquires all shares of Party C held by Grantors subject to the applicable laws of the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184390" cy="412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9" w:name="page560"/>
    <w:bookmarkEnd w:id="559"/>
    <w:p>
      <w:pPr>
        <w:ind w:left="860" w:hanging="860"/>
        <w:spacing w:after="0"/>
        <w:tabs>
          <w:tab w:leader="none" w:pos="860" w:val="left"/>
        </w:tabs>
        <w:numPr>
          <w:ilvl w:val="0"/>
          <w:numId w:val="640"/>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Option and Delivery</w:t>
      </w:r>
    </w:p>
    <w:p>
      <w:pPr>
        <w:spacing w:after="0" w:line="203"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3"/>
          <w:szCs w:val="13"/>
          <w:b w:val="1"/>
          <w:bCs w:val="1"/>
          <w:color w:val="auto"/>
        </w:rPr>
        <w:t>Time of Exercise</w:t>
      </w:r>
    </w:p>
    <w:p>
      <w:pPr>
        <w:spacing w:after="0" w:line="232"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Grantors unanimously agree that Party A may exercise the option in whole or in part at any time within the term of this Agreement subject to the applicable laws of the PRC;</w:t>
      </w:r>
    </w:p>
    <w:p>
      <w:pPr>
        <w:spacing w:after="0" w:line="168"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Grantors unanimously agree that there shall not be any restrictions on number of Party A’s exercise unless Party A has acquired all shares of Party C; and</w:t>
      </w:r>
    </w:p>
    <w:p>
      <w:pPr>
        <w:spacing w:after="0" w:line="168"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Grantors unanimously agree that Party A may designate any third party to exercise the option, provided that Party A shall inform in writing Grantors of such designation in advance.</w:t>
      </w:r>
    </w:p>
    <w:p>
      <w:pPr>
        <w:spacing w:after="0" w:line="16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3"/>
          <w:szCs w:val="13"/>
          <w:color w:val="auto"/>
        </w:rPr>
        <w:t>Exercise Consideration</w:t>
      </w:r>
    </w:p>
    <w:p>
      <w:pPr>
        <w:spacing w:after="0" w:line="228" w:lineRule="exact"/>
        <w:rPr>
          <w:sz w:val="20"/>
          <w:szCs w:val="20"/>
          <w:color w:val="auto"/>
        </w:rPr>
      </w:pPr>
    </w:p>
    <w:p>
      <w:pPr>
        <w:jc w:val="both"/>
        <w:ind w:left="1720"/>
        <w:spacing w:after="0" w:line="270" w:lineRule="auto"/>
        <w:rPr>
          <w:sz w:val="20"/>
          <w:szCs w:val="20"/>
          <w:color w:val="auto"/>
        </w:rPr>
      </w:pPr>
      <w:r>
        <w:rPr>
          <w:rFonts w:ascii="Arial" w:cs="Arial" w:eastAsia="Arial" w:hAnsi="Arial"/>
          <w:sz w:val="17"/>
          <w:szCs w:val="17"/>
          <w:color w:val="auto"/>
        </w:rPr>
        <w:t>Unless otherwise agreed by the Parties hereto, Grantors unanimously agree that, when Party A or its designated third party exercises the option, all exercise considerations obtained by Grantors therefor shall be immediately given to Party A or its designated third party free of charge.</w:t>
      </w:r>
    </w:p>
    <w:p>
      <w:pPr>
        <w:spacing w:after="0" w:line="16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Transfer</w:t>
      </w:r>
    </w:p>
    <w:p>
      <w:pPr>
        <w:spacing w:after="0" w:line="228" w:lineRule="exact"/>
        <w:rPr>
          <w:sz w:val="20"/>
          <w:szCs w:val="20"/>
          <w:color w:val="auto"/>
        </w:rPr>
      </w:pPr>
    </w:p>
    <w:p>
      <w:pPr>
        <w:jc w:val="both"/>
        <w:ind w:left="1720"/>
        <w:spacing w:after="0" w:line="251" w:lineRule="auto"/>
        <w:rPr>
          <w:sz w:val="20"/>
          <w:szCs w:val="20"/>
          <w:color w:val="auto"/>
        </w:rPr>
      </w:pPr>
      <w:r>
        <w:rPr>
          <w:rFonts w:ascii="Arial" w:cs="Arial" w:eastAsia="Arial" w:hAnsi="Arial"/>
          <w:sz w:val="17"/>
          <w:szCs w:val="17"/>
          <w:color w:val="auto"/>
        </w:rPr>
        <w:t>Grantors unanimously agree that Party A may transfer its option under this Agreement to any third party in whole or in part without separate approval of Grantors, and such transferees shall be deemed to be a party to this Agreement and may exercise the option according to this Agreement in respect of the share of the option acquired by it and shall enjoy and bear all of Party A’s rights and obligations under this Agreement.</w:t>
      </w:r>
    </w:p>
    <w:p>
      <w:pPr>
        <w:spacing w:after="0" w:line="179"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Notice on Exercise</w:t>
      </w:r>
    </w:p>
    <w:p>
      <w:pPr>
        <w:spacing w:after="0" w:line="228"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If Party A exercises the option hereunder, it shall notify in writing Grantors of such exercise Ten (10) working days prior to the delivery date (as defined below), and such notice shall specify the following terms:</w:t>
      </w:r>
    </w:p>
    <w:p>
      <w:pPr>
        <w:spacing w:after="0" w:line="164" w:lineRule="exact"/>
        <w:rPr>
          <w:sz w:val="20"/>
          <w:szCs w:val="20"/>
          <w:color w:val="auto"/>
        </w:rPr>
      </w:pPr>
    </w:p>
    <w:p>
      <w:pPr>
        <w:jc w:val="both"/>
        <w:ind w:left="3460" w:hanging="869"/>
        <w:spacing w:after="0" w:line="257" w:lineRule="auto"/>
        <w:tabs>
          <w:tab w:leader="none" w:pos="3460" w:val="left"/>
        </w:tabs>
        <w:numPr>
          <w:ilvl w:val="0"/>
          <w:numId w:val="641"/>
        </w:numPr>
        <w:rPr>
          <w:rFonts w:ascii="Arial" w:cs="Arial" w:eastAsia="Arial" w:hAnsi="Arial"/>
          <w:sz w:val="17"/>
          <w:szCs w:val="17"/>
          <w:color w:val="auto"/>
        </w:rPr>
      </w:pPr>
      <w:r>
        <w:rPr>
          <w:rFonts w:ascii="Arial" w:cs="Arial" w:eastAsia="Arial" w:hAnsi="Arial"/>
          <w:sz w:val="17"/>
          <w:szCs w:val="17"/>
          <w:color w:val="auto"/>
        </w:rPr>
        <w:t>Effective delivery date (“</w:t>
      </w:r>
      <w:r>
        <w:rPr>
          <w:rFonts w:ascii="Arial" w:cs="Arial" w:eastAsia="Arial" w:hAnsi="Arial"/>
          <w:sz w:val="17"/>
          <w:szCs w:val="17"/>
          <w:b w:val="1"/>
          <w:bCs w:val="1"/>
          <w:color w:val="auto"/>
        </w:rPr>
        <w:t>Delivery Date</w:t>
      </w:r>
      <w:r>
        <w:rPr>
          <w:rFonts w:ascii="Arial" w:cs="Arial" w:eastAsia="Arial" w:hAnsi="Arial"/>
          <w:sz w:val="17"/>
          <w:szCs w:val="17"/>
          <w:color w:val="auto"/>
        </w:rPr>
        <w:t>”) of the shares after the option is exercised, namely the date on which a formal application for share change registration is filed to the relevant administrative department of industry and commerce;</w:t>
      </w:r>
    </w:p>
    <w:p>
      <w:pPr>
        <w:spacing w:after="0" w:line="173" w:lineRule="exact"/>
        <w:rPr>
          <w:rFonts w:ascii="Arial" w:cs="Arial" w:eastAsia="Arial" w:hAnsi="Arial"/>
          <w:sz w:val="17"/>
          <w:szCs w:val="17"/>
          <w:color w:val="auto"/>
        </w:rPr>
      </w:pPr>
    </w:p>
    <w:p>
      <w:pPr>
        <w:ind w:left="3460" w:hanging="869"/>
        <w:spacing w:after="0"/>
        <w:tabs>
          <w:tab w:leader="none" w:pos="3460" w:val="left"/>
        </w:tabs>
        <w:numPr>
          <w:ilvl w:val="0"/>
          <w:numId w:val="641"/>
        </w:numPr>
        <w:rPr>
          <w:rFonts w:ascii="Arial" w:cs="Arial" w:eastAsia="Arial" w:hAnsi="Arial"/>
          <w:sz w:val="17"/>
          <w:szCs w:val="17"/>
          <w:color w:val="auto"/>
        </w:rPr>
      </w:pPr>
      <w:r>
        <w:rPr>
          <w:rFonts w:ascii="Arial" w:cs="Arial" w:eastAsia="Arial" w:hAnsi="Arial"/>
          <w:sz w:val="17"/>
          <w:szCs w:val="17"/>
          <w:color w:val="auto"/>
        </w:rPr>
        <w:t>Name of the registered holder of the shares after the option is exercised;</w:t>
      </w:r>
    </w:p>
    <w:p>
      <w:pPr>
        <w:spacing w:after="0" w:line="228" w:lineRule="exact"/>
        <w:rPr>
          <w:rFonts w:ascii="Arial" w:cs="Arial" w:eastAsia="Arial" w:hAnsi="Arial"/>
          <w:sz w:val="17"/>
          <w:szCs w:val="17"/>
          <w:color w:val="auto"/>
        </w:rPr>
      </w:pPr>
    </w:p>
    <w:p>
      <w:pPr>
        <w:ind w:left="3460" w:hanging="869"/>
        <w:spacing w:after="0"/>
        <w:tabs>
          <w:tab w:leader="none" w:pos="3460" w:val="left"/>
        </w:tabs>
        <w:numPr>
          <w:ilvl w:val="0"/>
          <w:numId w:val="641"/>
        </w:numPr>
        <w:rPr>
          <w:rFonts w:ascii="Arial" w:cs="Arial" w:eastAsia="Arial" w:hAnsi="Arial"/>
          <w:sz w:val="17"/>
          <w:szCs w:val="17"/>
          <w:color w:val="auto"/>
        </w:rPr>
      </w:pPr>
      <w:r>
        <w:rPr>
          <w:rFonts w:ascii="Arial" w:cs="Arial" w:eastAsia="Arial" w:hAnsi="Arial"/>
          <w:sz w:val="17"/>
          <w:szCs w:val="17"/>
          <w:color w:val="auto"/>
        </w:rPr>
        <w:t>Number of the shares purchased from Grantors;</w:t>
      </w:r>
    </w:p>
    <w:p>
      <w:pPr>
        <w:spacing w:after="0" w:line="228" w:lineRule="exact"/>
        <w:rPr>
          <w:rFonts w:ascii="Arial" w:cs="Arial" w:eastAsia="Arial" w:hAnsi="Arial"/>
          <w:sz w:val="17"/>
          <w:szCs w:val="17"/>
          <w:color w:val="auto"/>
        </w:rPr>
      </w:pPr>
    </w:p>
    <w:p>
      <w:pPr>
        <w:ind w:left="3460" w:hanging="869"/>
        <w:spacing w:after="0"/>
        <w:tabs>
          <w:tab w:leader="none" w:pos="3460" w:val="left"/>
        </w:tabs>
        <w:numPr>
          <w:ilvl w:val="0"/>
          <w:numId w:val="641"/>
        </w:numPr>
        <w:rPr>
          <w:rFonts w:ascii="Arial" w:cs="Arial" w:eastAsia="Arial" w:hAnsi="Arial"/>
          <w:sz w:val="17"/>
          <w:szCs w:val="17"/>
          <w:color w:val="auto"/>
        </w:rPr>
      </w:pPr>
      <w:r>
        <w:rPr>
          <w:rFonts w:ascii="Arial" w:cs="Arial" w:eastAsia="Arial" w:hAnsi="Arial"/>
          <w:sz w:val="17"/>
          <w:szCs w:val="17"/>
          <w:color w:val="auto"/>
        </w:rPr>
        <w:t>Exercise consideration and its payment method; and</w:t>
      </w:r>
    </w:p>
    <w:p>
      <w:pPr>
        <w:spacing w:after="0" w:line="228" w:lineRule="exact"/>
        <w:rPr>
          <w:rFonts w:ascii="Arial" w:cs="Arial" w:eastAsia="Arial" w:hAnsi="Arial"/>
          <w:sz w:val="17"/>
          <w:szCs w:val="17"/>
          <w:color w:val="auto"/>
        </w:rPr>
      </w:pPr>
    </w:p>
    <w:p>
      <w:pPr>
        <w:ind w:left="3460" w:hanging="869"/>
        <w:spacing w:after="0"/>
        <w:tabs>
          <w:tab w:leader="none" w:pos="3460" w:val="left"/>
        </w:tabs>
        <w:numPr>
          <w:ilvl w:val="0"/>
          <w:numId w:val="641"/>
        </w:numPr>
        <w:rPr>
          <w:rFonts w:ascii="Arial" w:cs="Arial" w:eastAsia="Arial" w:hAnsi="Arial"/>
          <w:sz w:val="17"/>
          <w:szCs w:val="17"/>
          <w:color w:val="auto"/>
        </w:rPr>
      </w:pPr>
      <w:r>
        <w:rPr>
          <w:rFonts w:ascii="Arial" w:cs="Arial" w:eastAsia="Arial" w:hAnsi="Arial"/>
          <w:sz w:val="17"/>
          <w:szCs w:val="17"/>
          <w:color w:val="auto"/>
        </w:rPr>
        <w:t>Power of attorney (if exercised by any third party on its behalf).</w:t>
      </w:r>
    </w:p>
    <w:p>
      <w:pPr>
        <w:spacing w:after="0" w:line="228" w:lineRule="exact"/>
        <w:rPr>
          <w:sz w:val="20"/>
          <w:szCs w:val="20"/>
          <w:color w:val="auto"/>
        </w:rPr>
      </w:pPr>
    </w:p>
    <w:p>
      <w:pPr>
        <w:jc w:val="both"/>
        <w:ind w:left="2580" w:hanging="858"/>
        <w:spacing w:after="0" w:line="272" w:lineRule="auto"/>
        <w:tabs>
          <w:tab w:leader="none" w:pos="256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6"/>
          <w:szCs w:val="16"/>
          <w:color w:val="auto"/>
        </w:rPr>
        <w:t>The Parties hereto agree that Party A may designate at any time any third party to exercise the option and acquire and register the shares in the name of such third party. Grantors agree that, as long as Party A or its designated third party requests to exercise the option, Grantors shall, within Ten (10) working days after receipt of a notice on exercise, sign a share transfer agreement and other relevant documents according to the notice on exercise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34925</wp:posOffset>
            </wp:positionV>
            <wp:extent cx="7184390" cy="4127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0" w:name="page561"/>
    <w:bookmarkEnd w:id="560"/>
    <w:p>
      <w:pPr>
        <w:ind w:left="860"/>
        <w:spacing w:after="0"/>
        <w:tabs>
          <w:tab w:leader="none" w:pos="170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Transfer of Shares and Delivery</w:t>
      </w:r>
    </w:p>
    <w:p>
      <w:pPr>
        <w:spacing w:after="0" w:line="228" w:lineRule="exact"/>
        <w:rPr>
          <w:sz w:val="20"/>
          <w:szCs w:val="20"/>
          <w:color w:val="auto"/>
        </w:rPr>
      </w:pPr>
    </w:p>
    <w:p>
      <w:pPr>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Whenever Party A exercises the option, within Ten (10) working days from the date of receipt of a notice on exercise sent by Party A according to the Section 2.4 hereof;</w:t>
      </w:r>
    </w:p>
    <w:p>
      <w:pPr>
        <w:spacing w:after="0" w:line="168" w:lineRule="exact"/>
        <w:rPr>
          <w:sz w:val="20"/>
          <w:szCs w:val="20"/>
          <w:color w:val="auto"/>
        </w:rPr>
      </w:pPr>
    </w:p>
    <w:p>
      <w:pPr>
        <w:ind w:left="3460" w:hanging="869"/>
        <w:spacing w:after="0" w:line="332" w:lineRule="auto"/>
        <w:tabs>
          <w:tab w:leader="none" w:pos="3460" w:val="left"/>
        </w:tabs>
        <w:numPr>
          <w:ilvl w:val="1"/>
          <w:numId w:val="642"/>
        </w:numPr>
        <w:rPr>
          <w:rFonts w:ascii="Arial" w:cs="Arial" w:eastAsia="Arial" w:hAnsi="Arial"/>
          <w:sz w:val="15"/>
          <w:szCs w:val="15"/>
          <w:color w:val="auto"/>
        </w:rPr>
      </w:pPr>
      <w:r>
        <w:rPr>
          <w:rFonts w:ascii="Arial" w:cs="Arial" w:eastAsia="Arial" w:hAnsi="Arial"/>
          <w:sz w:val="15"/>
          <w:szCs w:val="15"/>
          <w:color w:val="auto"/>
        </w:rPr>
        <w:t>Grantors shall cause Party C to promptly hold a shareholders’ meeting at which a shareholder resolution on the approval of the transfer of shares by Grantors to Party A and/or its designated third party shall be adopted; and</w:t>
      </w:r>
    </w:p>
    <w:p>
      <w:pPr>
        <w:spacing w:after="0" w:line="120" w:lineRule="exact"/>
        <w:rPr>
          <w:rFonts w:ascii="Arial" w:cs="Arial" w:eastAsia="Arial" w:hAnsi="Arial"/>
          <w:sz w:val="15"/>
          <w:szCs w:val="15"/>
          <w:color w:val="auto"/>
        </w:rPr>
      </w:pPr>
    </w:p>
    <w:p>
      <w:pPr>
        <w:jc w:val="both"/>
        <w:ind w:left="3460" w:hanging="869"/>
        <w:spacing w:after="0" w:line="285" w:lineRule="auto"/>
        <w:tabs>
          <w:tab w:leader="none" w:pos="3460" w:val="left"/>
        </w:tabs>
        <w:numPr>
          <w:ilvl w:val="1"/>
          <w:numId w:val="642"/>
        </w:numPr>
        <w:rPr>
          <w:rFonts w:ascii="Arial" w:cs="Arial" w:eastAsia="Arial" w:hAnsi="Arial"/>
          <w:sz w:val="15"/>
          <w:szCs w:val="15"/>
          <w:color w:val="auto"/>
        </w:rPr>
      </w:pPr>
      <w:r>
        <w:rPr>
          <w:rFonts w:ascii="Arial" w:cs="Arial" w:eastAsia="Arial" w:hAnsi="Arial"/>
          <w:sz w:val="15"/>
          <w:szCs w:val="15"/>
          <w:color w:val="auto"/>
        </w:rPr>
        <w:t>Grantors shall sign all necessary contracts, agreements or documents, obtain all necessary government approvals and consents and take all necessary actions to transfer to Party A and/or its designated third party the ownership and all ancillary rights of the shares designated by Party A to be purchased without any security interests (other than the pledge under the Equity Pledge Agreement) and shall cause Party A and/or its designated third party to become the registered owner of the purchased shares and deliver to Party A and/or its designated third party the latest business license, articles of association, approval certificates (if applicable) and other relevant documents that are issued or registered by the relevant Chinese authorities, and such documents shall reflect any changes of Party C’s shares, directors and legal representative and other matters (if applicable).</w:t>
      </w:r>
    </w:p>
    <w:p>
      <w:pPr>
        <w:spacing w:after="0" w:line="151" w:lineRule="exact"/>
        <w:rPr>
          <w:rFonts w:ascii="Arial" w:cs="Arial" w:eastAsia="Arial" w:hAnsi="Arial"/>
          <w:sz w:val="15"/>
          <w:szCs w:val="15"/>
          <w:color w:val="auto"/>
        </w:rPr>
      </w:pPr>
    </w:p>
    <w:p>
      <w:pPr>
        <w:ind w:left="860" w:hanging="860"/>
        <w:spacing w:after="0"/>
        <w:tabs>
          <w:tab w:leader="none" w:pos="860" w:val="left"/>
        </w:tabs>
        <w:numPr>
          <w:ilvl w:val="0"/>
          <w:numId w:val="643"/>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and Undertakings</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Grantors jointly and severally make the following representations and warranties:</w:t>
      </w:r>
    </w:p>
    <w:p>
      <w:pPr>
        <w:spacing w:after="0" w:line="228" w:lineRule="exact"/>
        <w:rPr>
          <w:sz w:val="20"/>
          <w:szCs w:val="20"/>
          <w:color w:val="auto"/>
        </w:rPr>
      </w:pPr>
    </w:p>
    <w:p>
      <w:pPr>
        <w:jc w:val="both"/>
        <w:ind w:left="2580" w:hanging="858"/>
        <w:spacing w:after="0" w:line="291" w:lineRule="auto"/>
        <w:tabs>
          <w:tab w:leader="none" w:pos="25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On the date of signing this Agreement and each Delivery Date, Grantors have the powers, rights, authority and ability to sign and deliver this Agreement and any share transfer agreement (hereinafter referred to as “</w:t>
      </w:r>
      <w:r>
        <w:rPr>
          <w:rFonts w:ascii="Arial" w:cs="Arial" w:eastAsia="Arial" w:hAnsi="Arial"/>
          <w:sz w:val="15"/>
          <w:szCs w:val="15"/>
          <w:b w:val="1"/>
          <w:bCs w:val="1"/>
          <w:color w:val="auto"/>
        </w:rPr>
        <w:t>Transfer Agreement</w:t>
      </w:r>
      <w:r>
        <w:rPr>
          <w:rFonts w:ascii="Arial" w:cs="Arial" w:eastAsia="Arial" w:hAnsi="Arial"/>
          <w:sz w:val="15"/>
          <w:szCs w:val="15"/>
          <w:color w:val="auto"/>
        </w:rPr>
        <w:t>”) signed by them as a party thereto for each share transfer according to this Agreement and to perform their obligations under this Agreement and any Transfer Agreement. This Agreement and any Transfer Agreement to which they are a party shall constitute their legal, effective and binding obligations that are enforceable on them according to the provisions thereof once signed.</w:t>
      </w:r>
    </w:p>
    <w:p>
      <w:pPr>
        <w:spacing w:after="0" w:line="150" w:lineRule="exact"/>
        <w:rPr>
          <w:sz w:val="20"/>
          <w:szCs w:val="20"/>
          <w:color w:val="auto"/>
        </w:rPr>
      </w:pPr>
    </w:p>
    <w:p>
      <w:pPr>
        <w:jc w:val="both"/>
        <w:ind w:left="2580" w:hanging="858"/>
        <w:spacing w:after="0" w:line="266" w:lineRule="auto"/>
        <w:tabs>
          <w:tab w:leader="none" w:pos="25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No signing and delivery of this Agreement or any Transfer Agreement and no performance by Grantors of their obligations under this Agreement or any Transfer Agreement shall (i) result in any violation of any relevant laws and regulations of the PRC; (ii) conflict with the articles of association or other organizational documents; (iii) result in any breach of any binding agreements or instruments to which they are a party or constitute any breach of contract under any binding agreements or instruments to which they are a party; (iv) result in any breach of any licenses or approvals issued by the relevant competent government departments to them; or (v) cause any licenses or approvals issued by the relevant competent government departments to them to be suspended or revoked or attached with any conditions;</w:t>
      </w:r>
    </w:p>
    <w:p>
      <w:pPr>
        <w:spacing w:after="0" w:line="167"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There is no suit, arbitration or other judicial or administrative proceedings that are pending or may have a substantial impact on the performance of this Agreement or any Transfer Agreement.</w:t>
      </w:r>
    </w:p>
    <w:p>
      <w:pPr>
        <w:spacing w:after="0" w:line="168" w:lineRule="exact"/>
        <w:rPr>
          <w:sz w:val="20"/>
          <w:szCs w:val="20"/>
          <w:color w:val="auto"/>
        </w:rPr>
      </w:pPr>
    </w:p>
    <w:p>
      <w:pPr>
        <w:jc w:val="both"/>
        <w:ind w:left="2580" w:hanging="858"/>
        <w:spacing w:after="0" w:line="296" w:lineRule="auto"/>
        <w:tabs>
          <w:tab w:leader="none" w:pos="256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6"/>
          <w:szCs w:val="16"/>
          <w:color w:val="auto"/>
        </w:rPr>
        <w:t>Grantors have good and marketable ownership of all shares of Party C. There are no pledges, liabilities and other third party encumbrances on Party C’s shares held by Grantors other than the pledge under the Equity Pledge Agreement.</w:t>
      </w:r>
    </w:p>
    <w:p>
      <w:pPr>
        <w:spacing w:after="0" w:line="144" w:lineRule="exact"/>
        <w:rPr>
          <w:sz w:val="20"/>
          <w:szCs w:val="20"/>
          <w:color w:val="auto"/>
        </w:rPr>
      </w:pPr>
    </w:p>
    <w:p>
      <w:pPr>
        <w:jc w:val="both"/>
        <w:ind w:left="2580" w:hanging="858"/>
        <w:spacing w:after="0" w:line="264" w:lineRule="auto"/>
        <w:tabs>
          <w:tab w:leader="none" w:pos="256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color w:val="auto"/>
        </w:rPr>
        <w:t>Grantors have disclosed to Party A all circumstances that may have a material adverse effect on the performance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184390" cy="4127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1" w:name="page562"/>
    <w:bookmarkEnd w:id="561"/>
    <w:p>
      <w:pPr>
        <w:jc w:val="both"/>
        <w:ind w:left="1720" w:hanging="858"/>
        <w:spacing w:after="0" w:line="264" w:lineRule="auto"/>
        <w:tabs>
          <w:tab w:leader="none" w:pos="170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7"/>
          <w:szCs w:val="17"/>
          <w:color w:val="auto"/>
        </w:rPr>
        <w:t>The option granted by Grantors to Party A is exclusive, and Grantors have not otherwise granted any third party any other options or similar rights before or when granting the option to Party A.</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Grantors jointly and severally make the following undertakings:</w:t>
      </w:r>
    </w:p>
    <w:p>
      <w:pPr>
        <w:spacing w:after="0" w:line="228" w:lineRule="exact"/>
        <w:rPr>
          <w:sz w:val="20"/>
          <w:szCs w:val="20"/>
          <w:color w:val="auto"/>
        </w:rPr>
      </w:pPr>
    </w:p>
    <w:p>
      <w:pPr>
        <w:jc w:val="both"/>
        <w:ind w:left="1720" w:hanging="858"/>
        <w:spacing w:after="0" w:line="304" w:lineRule="auto"/>
        <w:tabs>
          <w:tab w:leader="none" w:pos="17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Within the term of this Agreement, Grantors will not create any pledges, liabilities and any other third party encumbrances on Party C’s shares held by them other than those under the Equity Pledge Agreement separately signed by Grantors and Party A nor transfer, donate or otherwise dispose of any shares held by them to any third party other than the Parties to this Agreement.</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Within the term of this Agreement, Grantors will not otherwise grant any other options or similar rights to any third party.</w:t>
      </w:r>
    </w:p>
    <w:p>
      <w:pPr>
        <w:spacing w:after="0" w:line="228" w:lineRule="exact"/>
        <w:rPr>
          <w:sz w:val="20"/>
          <w:szCs w:val="20"/>
          <w:color w:val="auto"/>
        </w:rPr>
      </w:pPr>
    </w:p>
    <w:p>
      <w:pPr>
        <w:jc w:val="both"/>
        <w:ind w:left="1720" w:hanging="858"/>
        <w:spacing w:after="0" w:line="251" w:lineRule="auto"/>
        <w:tabs>
          <w:tab w:leader="none" w:pos="170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Within the term of this Agreement, Grantors will cause and ensure that the business carried out by Party C conforms to the applicable laws, regulations, rules and other management regulations and documents issued by the competent government departments and that there are no breach of the above provisions that results in a major adverse impact on the business or assets of the company.</w:t>
      </w:r>
    </w:p>
    <w:p>
      <w:pPr>
        <w:spacing w:after="0" w:line="179" w:lineRule="exact"/>
        <w:rPr>
          <w:sz w:val="20"/>
          <w:szCs w:val="20"/>
          <w:color w:val="auto"/>
        </w:rPr>
      </w:pPr>
    </w:p>
    <w:p>
      <w:pPr>
        <w:jc w:val="both"/>
        <w:ind w:left="1720" w:hanging="858"/>
        <w:spacing w:after="0" w:line="251" w:lineRule="auto"/>
        <w:tabs>
          <w:tab w:leader="none" w:pos="170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Grantors will maintain the valid existence of Party C in accordance with good financial and commercial standards and practices, operate their business and deal with affairs in a prudent and efficient manner, use their best efforts to obtain and maintain any permits, licenses and approvals necessary for Party C’s continuous operation and ensure that any such permits, licenses and approvals will not be canceled, withdrawn or declared null and void.</w:t>
      </w:r>
    </w:p>
    <w:p>
      <w:pPr>
        <w:spacing w:after="0" w:line="179"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5"/>
          <w:szCs w:val="15"/>
          <w:color w:val="auto"/>
        </w:rPr>
        <w:t>Grantors will provide Party A with all Party C’s operation and financial information at Party A’s request.</w:t>
      </w:r>
    </w:p>
    <w:p>
      <w:pPr>
        <w:spacing w:after="0" w:line="22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5"/>
          <w:szCs w:val="15"/>
          <w:color w:val="auto"/>
        </w:rPr>
        <w:t>Except as expressly agreed by Party A (or its designated third party) in writing, before Party A (or its designated third party)</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exercises its option and obtains all of Party C’s shares or assets, Grantors shall not jointly or individually:</w:t>
      </w:r>
    </w:p>
    <w:p>
      <w:pPr>
        <w:spacing w:after="0" w:line="191" w:lineRule="exact"/>
        <w:rPr>
          <w:sz w:val="20"/>
          <w:szCs w:val="20"/>
          <w:color w:val="auto"/>
        </w:rPr>
      </w:pPr>
    </w:p>
    <w:p>
      <w:pPr>
        <w:jc w:val="both"/>
        <w:ind w:left="2600" w:hanging="869"/>
        <w:spacing w:after="0" w:line="249" w:lineRule="auto"/>
        <w:tabs>
          <w:tab w:leader="none" w:pos="2600" w:val="left"/>
        </w:tabs>
        <w:numPr>
          <w:ilvl w:val="0"/>
          <w:numId w:val="644"/>
        </w:numPr>
        <w:rPr>
          <w:rFonts w:ascii="Arial" w:cs="Arial" w:eastAsia="Arial" w:hAnsi="Arial"/>
          <w:sz w:val="17"/>
          <w:szCs w:val="17"/>
          <w:color w:val="auto"/>
        </w:rPr>
      </w:pPr>
      <w:r>
        <w:rPr>
          <w:rFonts w:ascii="Arial" w:cs="Arial" w:eastAsia="Arial" w:hAnsi="Arial"/>
          <w:sz w:val="17"/>
          <w:szCs w:val="17"/>
          <w:color w:val="auto"/>
        </w:rPr>
        <w:t>Supplement or modify Party C’s constitutional documents in any form, and such supplements, alterations or modifications will have substantial adverse effects on any assets, responsibilities, operation, shares and other legal rights of Party C (excluding the same proportion of capital increase for the purpose of meeting the legal requirements) or may affect the effective performance of this Agreement and other agreements signed by Party A, Grantors and Party C.</w:t>
      </w:r>
    </w:p>
    <w:p>
      <w:pPr>
        <w:spacing w:after="0" w:line="181" w:lineRule="exact"/>
        <w:rPr>
          <w:rFonts w:ascii="Arial" w:cs="Arial" w:eastAsia="Arial" w:hAnsi="Arial"/>
          <w:sz w:val="17"/>
          <w:szCs w:val="17"/>
          <w:color w:val="auto"/>
        </w:rPr>
      </w:pPr>
    </w:p>
    <w:p>
      <w:pPr>
        <w:jc w:val="both"/>
        <w:ind w:left="2600" w:hanging="869"/>
        <w:spacing w:after="0" w:line="278" w:lineRule="auto"/>
        <w:tabs>
          <w:tab w:leader="none" w:pos="2600" w:val="left"/>
        </w:tabs>
        <w:numPr>
          <w:ilvl w:val="0"/>
          <w:numId w:val="644"/>
        </w:numPr>
        <w:rPr>
          <w:rFonts w:ascii="Arial" w:cs="Arial" w:eastAsia="Arial" w:hAnsi="Arial"/>
          <w:sz w:val="16"/>
          <w:szCs w:val="16"/>
          <w:color w:val="auto"/>
        </w:rPr>
      </w:pPr>
      <w:r>
        <w:rPr>
          <w:rFonts w:ascii="Arial" w:cs="Arial" w:eastAsia="Arial" w:hAnsi="Arial"/>
          <w:sz w:val="16"/>
          <w:szCs w:val="16"/>
          <w:color w:val="auto"/>
        </w:rPr>
        <w:t>Cause Party C to enter into or do any transactions or acts (excluding those that arise in the ordinary or daily business course or have been disclosed to and agreed by Party A expressly in writing in advance) that will have materially adverse effects on its assets, liabilities, operation, shares and other legitimate rights.</w:t>
      </w:r>
    </w:p>
    <w:p>
      <w:pPr>
        <w:spacing w:after="0" w:line="157" w:lineRule="exact"/>
        <w:rPr>
          <w:rFonts w:ascii="Arial" w:cs="Arial" w:eastAsia="Arial" w:hAnsi="Arial"/>
          <w:sz w:val="16"/>
          <w:szCs w:val="16"/>
          <w:color w:val="auto"/>
        </w:rPr>
      </w:pPr>
    </w:p>
    <w:p>
      <w:pPr>
        <w:ind w:left="2600" w:hanging="869"/>
        <w:spacing w:after="0" w:line="264" w:lineRule="auto"/>
        <w:tabs>
          <w:tab w:leader="none" w:pos="2600" w:val="left"/>
        </w:tabs>
        <w:numPr>
          <w:ilvl w:val="0"/>
          <w:numId w:val="644"/>
        </w:numPr>
        <w:rPr>
          <w:rFonts w:ascii="Arial" w:cs="Arial" w:eastAsia="Arial" w:hAnsi="Arial"/>
          <w:sz w:val="17"/>
          <w:szCs w:val="17"/>
          <w:color w:val="auto"/>
        </w:rPr>
      </w:pPr>
      <w:r>
        <w:rPr>
          <w:rFonts w:ascii="Arial" w:cs="Arial" w:eastAsia="Arial" w:hAnsi="Arial"/>
          <w:sz w:val="17"/>
          <w:szCs w:val="17"/>
          <w:color w:val="auto"/>
        </w:rPr>
        <w:t>Cause any resolutions on the distribution of dividends or bonuses to be adopted at the shareholders’ meeting of Party C.</w:t>
      </w:r>
    </w:p>
    <w:p>
      <w:pPr>
        <w:spacing w:after="0" w:line="167" w:lineRule="exact"/>
        <w:rPr>
          <w:rFonts w:ascii="Arial" w:cs="Arial" w:eastAsia="Arial" w:hAnsi="Arial"/>
          <w:sz w:val="17"/>
          <w:szCs w:val="17"/>
          <w:color w:val="auto"/>
        </w:rPr>
      </w:pPr>
    </w:p>
    <w:p>
      <w:pPr>
        <w:ind w:left="2600" w:hanging="869"/>
        <w:spacing w:after="0" w:line="296" w:lineRule="auto"/>
        <w:tabs>
          <w:tab w:leader="none" w:pos="2600" w:val="left"/>
        </w:tabs>
        <w:numPr>
          <w:ilvl w:val="0"/>
          <w:numId w:val="644"/>
        </w:numPr>
        <w:rPr>
          <w:rFonts w:ascii="Arial" w:cs="Arial" w:eastAsia="Arial" w:hAnsi="Arial"/>
          <w:sz w:val="16"/>
          <w:szCs w:val="16"/>
          <w:color w:val="auto"/>
        </w:rPr>
      </w:pPr>
      <w:r>
        <w:rPr>
          <w:rFonts w:ascii="Arial" w:cs="Arial" w:eastAsia="Arial" w:hAnsi="Arial"/>
          <w:sz w:val="16"/>
          <w:szCs w:val="16"/>
          <w:color w:val="auto"/>
        </w:rPr>
        <w:t>Sell, assign, mortgage or otherwise dispose of any legal or beneficial interests on Party C’s shares or allow to create any other security interests thereon at any time from the effective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23495</wp:posOffset>
            </wp:positionV>
            <wp:extent cx="7184390" cy="4127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380"/>
          </w:cols>
          <w:pgMar w:left="1180" w:top="126" w:right="339" w:bottom="1440" w:gutter="0" w:footer="0" w:header="0"/>
        </w:sectPr>
      </w:pPr>
    </w:p>
    <w:bookmarkStart w:id="562" w:name="page563"/>
    <w:bookmarkEnd w:id="562"/>
    <w:p>
      <w:pPr>
        <w:jc w:val="both"/>
        <w:ind w:left="2340" w:hanging="869"/>
        <w:spacing w:after="0" w:line="251" w:lineRule="auto"/>
        <w:tabs>
          <w:tab w:leader="none" w:pos="234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Cause any sales, transfer, mortgage or otherwise disposal of any legal or beneficial interests on shares to be approved at the shareholders’ meeting of Party C, or allow to create any other security interests thereon, or adopt a shareholder resolution on the increase or decrease of Party C’s registered capital or otherwise modify the structure of the registered capital.</w:t>
      </w:r>
    </w:p>
    <w:p>
      <w:pPr>
        <w:spacing w:after="0" w:line="178" w:lineRule="exact"/>
        <w:rPr>
          <w:rFonts w:ascii="Arial" w:cs="Arial" w:eastAsia="Arial" w:hAnsi="Arial"/>
          <w:sz w:val="17"/>
          <w:szCs w:val="17"/>
          <w:color w:val="auto"/>
        </w:rPr>
      </w:pPr>
    </w:p>
    <w:p>
      <w:pPr>
        <w:jc w:val="both"/>
        <w:ind w:left="2340" w:hanging="869"/>
        <w:spacing w:after="0" w:line="254" w:lineRule="auto"/>
        <w:tabs>
          <w:tab w:leader="none" w:pos="234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Cause any merger or association of Party C with any persons to be approved at the shareholders’ meeting of Party C, or acquire investments from any persons or make an investment to any persons, or carry out reorganization in any other form.</w:t>
      </w:r>
    </w:p>
    <w:p>
      <w:pPr>
        <w:spacing w:after="0" w:line="176" w:lineRule="exact"/>
        <w:rPr>
          <w:rFonts w:ascii="Arial" w:cs="Arial" w:eastAsia="Arial" w:hAnsi="Arial"/>
          <w:sz w:val="17"/>
          <w:szCs w:val="17"/>
          <w:color w:val="auto"/>
        </w:rPr>
      </w:pPr>
    </w:p>
    <w:p>
      <w:pPr>
        <w:ind w:left="2340" w:hanging="869"/>
        <w:spacing w:after="0" w:line="264" w:lineRule="auto"/>
        <w:tabs>
          <w:tab w:leader="none" w:pos="234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Cause any winding-up, liquidation or dissolution and other matters of Party C to be approved at the shareholders’ meeting of Party C.</w:t>
      </w:r>
    </w:p>
    <w:p>
      <w:pPr>
        <w:spacing w:after="0" w:line="168" w:lineRule="exact"/>
        <w:rPr>
          <w:sz w:val="20"/>
          <w:szCs w:val="20"/>
          <w:color w:val="auto"/>
        </w:rPr>
      </w:pPr>
    </w:p>
    <w:p>
      <w:pPr>
        <w:ind w:left="1460" w:hanging="858"/>
        <w:spacing w:after="0" w:line="264" w:lineRule="auto"/>
        <w:tabs>
          <w:tab w:leader="none" w:pos="1440" w:val="left"/>
        </w:tabs>
        <w:rPr>
          <w:sz w:val="20"/>
          <w:szCs w:val="20"/>
          <w:color w:val="auto"/>
        </w:rPr>
      </w:pPr>
      <w:r>
        <w:rPr>
          <w:rFonts w:ascii="Arial" w:cs="Arial" w:eastAsia="Arial" w:hAnsi="Arial"/>
          <w:sz w:val="17"/>
          <w:szCs w:val="17"/>
          <w:color w:val="auto"/>
        </w:rPr>
        <w:t>3.2.7</w:t>
      </w:r>
      <w:r>
        <w:rPr>
          <w:sz w:val="20"/>
          <w:szCs w:val="20"/>
          <w:color w:val="auto"/>
        </w:rPr>
        <w:tab/>
      </w:r>
      <w:r>
        <w:rPr>
          <w:rFonts w:ascii="Arial" w:cs="Arial" w:eastAsia="Arial" w:hAnsi="Arial"/>
          <w:sz w:val="17"/>
          <w:szCs w:val="17"/>
          <w:color w:val="auto"/>
        </w:rPr>
        <w:t>Before Party A (or its designated third party) exercises its option and obtains all of Party C’s shares or assets, Grantors undertake that:</w:t>
      </w:r>
    </w:p>
    <w:p>
      <w:pPr>
        <w:spacing w:after="0" w:line="168" w:lineRule="exact"/>
        <w:rPr>
          <w:sz w:val="20"/>
          <w:szCs w:val="20"/>
          <w:color w:val="auto"/>
        </w:rPr>
      </w:pPr>
    </w:p>
    <w:p>
      <w:pPr>
        <w:jc w:val="both"/>
        <w:ind w:left="2340" w:hanging="869"/>
        <w:spacing w:after="0" w:line="254" w:lineRule="auto"/>
        <w:tabs>
          <w:tab w:leader="none" w:pos="2340" w:val="left"/>
        </w:tabs>
        <w:numPr>
          <w:ilvl w:val="0"/>
          <w:numId w:val="646"/>
        </w:numPr>
        <w:rPr>
          <w:rFonts w:ascii="Arial" w:cs="Arial" w:eastAsia="Arial" w:hAnsi="Arial"/>
          <w:sz w:val="17"/>
          <w:szCs w:val="17"/>
          <w:color w:val="auto"/>
        </w:rPr>
      </w:pPr>
      <w:r>
        <w:rPr>
          <w:rFonts w:ascii="Arial" w:cs="Arial" w:eastAsia="Arial" w:hAnsi="Arial"/>
          <w:sz w:val="17"/>
          <w:szCs w:val="17"/>
          <w:color w:val="auto"/>
        </w:rPr>
        <w:t>They will forthwith notify Party A in writing of any suits, arbitration or administrative proceedings that have arisen or may arise in relation to the shares owned by them or of any circumstances that may have any adverse effect on such shares.</w:t>
      </w:r>
    </w:p>
    <w:p>
      <w:pPr>
        <w:spacing w:after="0" w:line="176" w:lineRule="exact"/>
        <w:rPr>
          <w:rFonts w:ascii="Arial" w:cs="Arial" w:eastAsia="Arial" w:hAnsi="Arial"/>
          <w:sz w:val="17"/>
          <w:szCs w:val="17"/>
          <w:color w:val="auto"/>
        </w:rPr>
      </w:pPr>
    </w:p>
    <w:p>
      <w:pPr>
        <w:jc w:val="both"/>
        <w:ind w:left="2340" w:hanging="869"/>
        <w:spacing w:after="0" w:line="288" w:lineRule="auto"/>
        <w:tabs>
          <w:tab w:leader="none" w:pos="2340" w:val="left"/>
        </w:tabs>
        <w:numPr>
          <w:ilvl w:val="0"/>
          <w:numId w:val="646"/>
        </w:numPr>
        <w:rPr>
          <w:rFonts w:ascii="Arial" w:cs="Arial" w:eastAsia="Arial" w:hAnsi="Arial"/>
          <w:sz w:val="15"/>
          <w:szCs w:val="15"/>
          <w:color w:val="auto"/>
        </w:rPr>
      </w:pPr>
      <w:r>
        <w:rPr>
          <w:rFonts w:ascii="Arial" w:cs="Arial" w:eastAsia="Arial" w:hAnsi="Arial"/>
          <w:sz w:val="15"/>
          <w:szCs w:val="15"/>
          <w:color w:val="auto"/>
        </w:rPr>
        <w:t>They will cause the shareholders’ meeting of Party C to examine and approve the transfer of the purchased shares as specified in this Agreement, cause Party C to amend its articles of association so as to reflect any changes of Party C’s shares after Party A and/or its designated third party exercises the option according to this Agreement and other changes as set forth herein and immediately apply to the authorities of the PRC for approval (if required by law) and change of registration, and cause the shareholders’ meeting of Party C to approve and appoint such persons as designated by Party A and/or its designated third party as Party C’s director and legal representative (if necessary).</w:t>
      </w:r>
    </w:p>
    <w:p>
      <w:pPr>
        <w:spacing w:after="0" w:line="153" w:lineRule="exact"/>
        <w:rPr>
          <w:rFonts w:ascii="Arial" w:cs="Arial" w:eastAsia="Arial" w:hAnsi="Arial"/>
          <w:sz w:val="15"/>
          <w:szCs w:val="15"/>
          <w:color w:val="auto"/>
        </w:rPr>
      </w:pPr>
    </w:p>
    <w:p>
      <w:pPr>
        <w:jc w:val="both"/>
        <w:ind w:left="2340" w:hanging="869"/>
        <w:spacing w:after="0" w:line="251" w:lineRule="auto"/>
        <w:tabs>
          <w:tab w:leader="none" w:pos="2340" w:val="left"/>
        </w:tabs>
        <w:numPr>
          <w:ilvl w:val="0"/>
          <w:numId w:val="646"/>
        </w:numPr>
        <w:rPr>
          <w:rFonts w:ascii="Arial" w:cs="Arial" w:eastAsia="Arial" w:hAnsi="Arial"/>
          <w:sz w:val="17"/>
          <w:szCs w:val="17"/>
          <w:color w:val="auto"/>
        </w:rPr>
      </w:pPr>
      <w:r>
        <w:rPr>
          <w:rFonts w:ascii="Arial" w:cs="Arial" w:eastAsia="Arial" w:hAnsi="Arial"/>
          <w:sz w:val="17"/>
          <w:szCs w:val="17"/>
          <w:color w:val="auto"/>
        </w:rPr>
        <w:t>Before Party A and/or its designated third party exercises the option, they will enter into all necessary or appropriate documents, take all necessary or appropriate actions and make all necessary or appropriate accusations or make all necessary and appropriate defenses for all claims in order to maintain their lawful and effective ownership over the appropriate shares.</w:t>
      </w:r>
    </w:p>
    <w:p>
      <w:pPr>
        <w:spacing w:after="0" w:line="178" w:lineRule="exact"/>
        <w:rPr>
          <w:rFonts w:ascii="Arial" w:cs="Arial" w:eastAsia="Arial" w:hAnsi="Arial"/>
          <w:sz w:val="17"/>
          <w:szCs w:val="17"/>
          <w:color w:val="auto"/>
        </w:rPr>
      </w:pPr>
    </w:p>
    <w:p>
      <w:pPr>
        <w:jc w:val="both"/>
        <w:ind w:left="2340" w:hanging="869"/>
        <w:spacing w:after="0" w:line="278" w:lineRule="auto"/>
        <w:tabs>
          <w:tab w:leader="none" w:pos="2340" w:val="left"/>
        </w:tabs>
        <w:numPr>
          <w:ilvl w:val="0"/>
          <w:numId w:val="646"/>
        </w:numPr>
        <w:rPr>
          <w:rFonts w:ascii="Arial" w:cs="Arial" w:eastAsia="Arial" w:hAnsi="Arial"/>
          <w:sz w:val="16"/>
          <w:szCs w:val="16"/>
          <w:color w:val="auto"/>
        </w:rPr>
      </w:pPr>
      <w:r>
        <w:rPr>
          <w:rFonts w:ascii="Arial" w:cs="Arial" w:eastAsia="Arial" w:hAnsi="Arial"/>
          <w:sz w:val="16"/>
          <w:szCs w:val="16"/>
          <w:color w:val="auto"/>
        </w:rPr>
        <w:t>Upon Party A’s request at any time, they will unconditionally transfer their shares to Party A and/or its designated third party at the time specified by Party A and waive their right of first refusal against any other shareholders of Party C in respect of the above transfer of shares by them according to Party A’s instructions.</w:t>
      </w:r>
    </w:p>
    <w:p>
      <w:pPr>
        <w:spacing w:after="0" w:line="157" w:lineRule="exact"/>
        <w:rPr>
          <w:rFonts w:ascii="Arial" w:cs="Arial" w:eastAsia="Arial" w:hAnsi="Arial"/>
          <w:sz w:val="16"/>
          <w:szCs w:val="16"/>
          <w:color w:val="auto"/>
        </w:rPr>
      </w:pPr>
    </w:p>
    <w:p>
      <w:pPr>
        <w:jc w:val="both"/>
        <w:ind w:left="2340" w:hanging="869"/>
        <w:spacing w:after="0" w:line="254" w:lineRule="auto"/>
        <w:tabs>
          <w:tab w:leader="none" w:pos="2340" w:val="left"/>
        </w:tabs>
        <w:numPr>
          <w:ilvl w:val="0"/>
          <w:numId w:val="646"/>
        </w:numPr>
        <w:rPr>
          <w:rFonts w:ascii="Arial" w:cs="Arial" w:eastAsia="Arial" w:hAnsi="Arial"/>
          <w:sz w:val="17"/>
          <w:szCs w:val="17"/>
          <w:color w:val="auto"/>
        </w:rPr>
      </w:pPr>
      <w:r>
        <w:rPr>
          <w:rFonts w:ascii="Arial" w:cs="Arial" w:eastAsia="Arial" w:hAnsi="Arial"/>
          <w:sz w:val="17"/>
          <w:szCs w:val="17"/>
          <w:color w:val="auto"/>
        </w:rPr>
        <w:t>They will strictly abide by this Agreement and other agreements jointly or severally entered into by and between Grantors and Party A, conscientiously perform their obligations under such agreements and will not do any acts/omissions that are likely to affect the validity and enforceability of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43815</wp:posOffset>
            </wp:positionV>
            <wp:extent cx="7184390" cy="4127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563" w:name="page564"/>
    <w:bookmarkEnd w:id="563"/>
    <w:p>
      <w:pPr>
        <w:spacing w:after="0"/>
        <w:tabs>
          <w:tab w:leader="none" w:pos="8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Party C and Grantors hereby jointly and severally make the following representations, warranties and undertakings to Party A:</w:t>
      </w:r>
    </w:p>
    <w:p>
      <w:pPr>
        <w:spacing w:after="0" w:line="228" w:lineRule="exact"/>
        <w:rPr>
          <w:sz w:val="20"/>
          <w:szCs w:val="20"/>
          <w:color w:val="auto"/>
        </w:rPr>
      </w:pPr>
    </w:p>
    <w:p>
      <w:pPr>
        <w:ind w:left="1720" w:hanging="858"/>
        <w:spacing w:after="0" w:line="264" w:lineRule="auto"/>
        <w:tabs>
          <w:tab w:leader="none" w:pos="170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Except as agreed by Party A (or its designated third party) in writing, before Party A (or its designated third party) exercises its option and obtains all of Party C’s shares or interests, Party C shall not:</w:t>
      </w:r>
    </w:p>
    <w:p>
      <w:pPr>
        <w:spacing w:after="0" w:line="168" w:lineRule="exact"/>
        <w:rPr>
          <w:sz w:val="20"/>
          <w:szCs w:val="20"/>
          <w:color w:val="auto"/>
        </w:rPr>
      </w:pPr>
    </w:p>
    <w:p>
      <w:pPr>
        <w:jc w:val="both"/>
        <w:ind w:left="2600" w:hanging="869"/>
        <w:spacing w:after="0" w:line="254" w:lineRule="auto"/>
        <w:tabs>
          <w:tab w:leader="none" w:pos="260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Sell, assign, mortgage or otherwise dispose of any assets, business or incomes or allow to create any other security interests thereon (excluding those that arise in the ordinary or daily business course or have been disclosed to and agreed by Party A expressly in writing in advance);</w:t>
      </w:r>
    </w:p>
    <w:p>
      <w:pPr>
        <w:spacing w:after="0" w:line="176" w:lineRule="exact"/>
        <w:rPr>
          <w:rFonts w:ascii="Arial" w:cs="Arial" w:eastAsia="Arial" w:hAnsi="Arial"/>
          <w:sz w:val="17"/>
          <w:szCs w:val="17"/>
          <w:color w:val="auto"/>
        </w:rPr>
      </w:pPr>
    </w:p>
    <w:p>
      <w:pPr>
        <w:jc w:val="both"/>
        <w:ind w:left="2600" w:hanging="869"/>
        <w:spacing w:after="0" w:line="254" w:lineRule="auto"/>
        <w:tabs>
          <w:tab w:leader="none" w:pos="260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Enter into any transactions (excluding those that arise in the ordinary or daily business course or have been disclosed to and agreed by Party A expressly in writing in advance) that will or may have materially adverse effects on its assets, liabilities, operation, shares and other legitimate rights;</w:t>
      </w:r>
    </w:p>
    <w:p>
      <w:pPr>
        <w:spacing w:after="0" w:line="176" w:lineRule="exact"/>
        <w:rPr>
          <w:rFonts w:ascii="Arial" w:cs="Arial" w:eastAsia="Arial" w:hAnsi="Arial"/>
          <w:sz w:val="17"/>
          <w:szCs w:val="17"/>
          <w:color w:val="auto"/>
        </w:rPr>
      </w:pPr>
    </w:p>
    <w:p>
      <w:pPr>
        <w:ind w:left="2600" w:hanging="869"/>
        <w:spacing w:after="0"/>
        <w:tabs>
          <w:tab w:leader="none" w:pos="260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Distribute any dividends or bonuses to each shareholder in any form;</w:t>
      </w:r>
    </w:p>
    <w:p>
      <w:pPr>
        <w:spacing w:after="0" w:line="228" w:lineRule="exact"/>
        <w:rPr>
          <w:rFonts w:ascii="Arial" w:cs="Arial" w:eastAsia="Arial" w:hAnsi="Arial"/>
          <w:sz w:val="17"/>
          <w:szCs w:val="17"/>
          <w:color w:val="auto"/>
        </w:rPr>
      </w:pPr>
    </w:p>
    <w:p>
      <w:pPr>
        <w:jc w:val="both"/>
        <w:ind w:left="2600" w:hanging="869"/>
        <w:spacing w:after="0" w:line="254" w:lineRule="auto"/>
        <w:tabs>
          <w:tab w:leader="none" w:pos="260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Incur, inherit, guarantee or allow the existence of any debts other than (i) any debts that arise in the ordinary or daily business course rather than by borrowing, and (ii) any debts that have been disclosed to and agreed by Party A expressly in writing in advance;</w:t>
      </w:r>
    </w:p>
    <w:p>
      <w:pPr>
        <w:spacing w:after="0" w:line="176" w:lineRule="exact"/>
        <w:rPr>
          <w:rFonts w:ascii="Arial" w:cs="Arial" w:eastAsia="Arial" w:hAnsi="Arial"/>
          <w:sz w:val="17"/>
          <w:szCs w:val="17"/>
          <w:color w:val="auto"/>
        </w:rPr>
      </w:pPr>
    </w:p>
    <w:p>
      <w:pPr>
        <w:ind w:left="2600" w:hanging="869"/>
        <w:spacing w:after="0" w:line="332" w:lineRule="auto"/>
        <w:tabs>
          <w:tab w:leader="none" w:pos="260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Sign any significant contracts other than those signed in the ordinary business course (for the purpose of this Article, if the amount under a contract is more than RMB50,000, such contract shall be deemed to be a significant contract);</w:t>
      </w:r>
    </w:p>
    <w:p>
      <w:pPr>
        <w:spacing w:after="0" w:line="120" w:lineRule="exact"/>
        <w:rPr>
          <w:rFonts w:ascii="Arial" w:cs="Arial" w:eastAsia="Arial" w:hAnsi="Arial"/>
          <w:sz w:val="15"/>
          <w:szCs w:val="15"/>
          <w:color w:val="auto"/>
        </w:rPr>
      </w:pPr>
    </w:p>
    <w:p>
      <w:pPr>
        <w:ind w:left="2600" w:hanging="869"/>
        <w:spacing w:after="0" w:line="264" w:lineRule="auto"/>
        <w:tabs>
          <w:tab w:leader="none" w:pos="260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Adopt a shareholder resolution on the increase or decrease of Party C’s registered capital or otherwise modify the structure of the registered capital;</w:t>
      </w:r>
    </w:p>
    <w:p>
      <w:pPr>
        <w:spacing w:after="0" w:line="167" w:lineRule="exact"/>
        <w:rPr>
          <w:rFonts w:ascii="Arial" w:cs="Arial" w:eastAsia="Arial" w:hAnsi="Arial"/>
          <w:sz w:val="17"/>
          <w:szCs w:val="17"/>
          <w:color w:val="auto"/>
        </w:rPr>
      </w:pPr>
    </w:p>
    <w:p>
      <w:pPr>
        <w:ind w:left="2600" w:hanging="869"/>
        <w:spacing w:after="0"/>
        <w:tabs>
          <w:tab w:leader="none" w:pos="260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Supplement, modify or amend Party C’s articles of association in any form; and</w:t>
      </w:r>
    </w:p>
    <w:p>
      <w:pPr>
        <w:spacing w:after="0" w:line="228" w:lineRule="exact"/>
        <w:rPr>
          <w:rFonts w:ascii="Arial" w:cs="Arial" w:eastAsia="Arial" w:hAnsi="Arial"/>
          <w:sz w:val="17"/>
          <w:szCs w:val="17"/>
          <w:color w:val="auto"/>
        </w:rPr>
      </w:pPr>
    </w:p>
    <w:p>
      <w:pPr>
        <w:ind w:left="2600" w:hanging="869"/>
        <w:spacing w:after="0" w:line="264" w:lineRule="auto"/>
        <w:tabs>
          <w:tab w:leader="none" w:pos="260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Enter into merge or association with any persons, or acquire investments from any persons or make an investment to any persons.</w:t>
      </w:r>
    </w:p>
    <w:p>
      <w:pPr>
        <w:spacing w:after="0" w:line="168" w:lineRule="exact"/>
        <w:rPr>
          <w:sz w:val="20"/>
          <w:szCs w:val="20"/>
          <w:color w:val="auto"/>
        </w:rPr>
      </w:pPr>
    </w:p>
    <w:p>
      <w:pPr>
        <w:jc w:val="both"/>
        <w:ind w:left="1720" w:hanging="858"/>
        <w:spacing w:after="0" w:line="332" w:lineRule="auto"/>
        <w:tabs>
          <w:tab w:leader="none" w:pos="170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5"/>
          <w:szCs w:val="15"/>
          <w:color w:val="auto"/>
        </w:rPr>
        <w:t>On the date of signing this Agreement and each Delivery Date, Party C has no outstanding debts other than (i) any debts arising in its ordinary business course; and (ii) any debts that have been disclosed to and agreed by Party A expressly in writing in advance.</w:t>
      </w:r>
    </w:p>
    <w:p>
      <w:pPr>
        <w:spacing w:after="0" w:line="121" w:lineRule="exact"/>
        <w:rPr>
          <w:sz w:val="20"/>
          <w:szCs w:val="20"/>
          <w:color w:val="auto"/>
        </w:rPr>
      </w:pPr>
    </w:p>
    <w:p>
      <w:pPr>
        <w:jc w:val="both"/>
        <w:ind w:left="1720" w:hanging="858"/>
        <w:spacing w:after="0" w:line="304" w:lineRule="auto"/>
        <w:tabs>
          <w:tab w:leader="none" w:pos="170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5"/>
          <w:szCs w:val="15"/>
          <w:color w:val="auto"/>
        </w:rPr>
        <w:t>On the date of signing this Agreement and each Delivery Date, there is no suit, arbitration or administrative proceedings that are ongoing or may occur in relation to the shares, Party C’s assets or that may have a substantial impact on the performance of this Agreement by Party C other than those that have been disclosed to and agreed by Party A expressly in writing in advance.</w:t>
      </w:r>
    </w:p>
    <w:p>
      <w:pPr>
        <w:spacing w:after="0" w:line="14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3"/>
          <w:szCs w:val="13"/>
          <w:color w:val="auto"/>
        </w:rPr>
        <w:t>Party C has not been declared bankrupt.</w:t>
      </w:r>
    </w:p>
    <w:p>
      <w:pPr>
        <w:spacing w:after="0" w:line="228" w:lineRule="exact"/>
        <w:rPr>
          <w:sz w:val="20"/>
          <w:szCs w:val="20"/>
          <w:color w:val="auto"/>
        </w:rPr>
      </w:pPr>
    </w:p>
    <w:p>
      <w:pPr>
        <w:jc w:val="both"/>
        <w:ind w:left="1720" w:hanging="858"/>
        <w:spacing w:after="0" w:line="249" w:lineRule="auto"/>
        <w:tabs>
          <w:tab w:leader="none" w:pos="1700" w:val="left"/>
        </w:tabs>
        <w:rPr>
          <w:sz w:val="20"/>
          <w:szCs w:val="20"/>
          <w:color w:val="auto"/>
        </w:rPr>
      </w:pPr>
      <w:r>
        <w:rPr>
          <w:rFonts w:ascii="Arial" w:cs="Arial" w:eastAsia="Arial" w:hAnsi="Arial"/>
          <w:sz w:val="17"/>
          <w:szCs w:val="17"/>
          <w:color w:val="auto"/>
        </w:rPr>
        <w:t>3.3.5</w:t>
      </w:r>
      <w:r>
        <w:rPr>
          <w:sz w:val="20"/>
          <w:szCs w:val="20"/>
          <w:color w:val="auto"/>
        </w:rPr>
        <w:tab/>
      </w:r>
      <w:r>
        <w:rPr>
          <w:rFonts w:ascii="Arial" w:cs="Arial" w:eastAsia="Arial" w:hAnsi="Arial"/>
          <w:sz w:val="17"/>
          <w:szCs w:val="17"/>
          <w:color w:val="auto"/>
        </w:rPr>
        <w:t>Party C hereby undertakes to Party A that it will comply with all laws and regulations applicable to the acquisition of shares and assets within the term of this Agreement, bear all expenses arising out of the share transfer and handle all procedures necessary for enabling Party A or its designated third party to become Party C’s shareholder, including but not limited to assisting Party A in obtaining any necessary approvals in relation to the share transfer from the approval authorities, submitting the relevant applications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47625</wp:posOffset>
            </wp:positionV>
            <wp:extent cx="7184390" cy="4127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380"/>
          </w:cols>
          <w:pgMar w:left="1180" w:top="126" w:right="339" w:bottom="1440" w:gutter="0" w:footer="0" w:header="0"/>
        </w:sectPr>
      </w:pPr>
    </w:p>
    <w:bookmarkStart w:id="564" w:name="page565"/>
    <w:bookmarkEnd w:id="564"/>
    <w:p>
      <w:pPr>
        <w:ind w:left="2580"/>
        <w:spacing w:after="0" w:line="264" w:lineRule="auto"/>
        <w:rPr>
          <w:sz w:val="20"/>
          <w:szCs w:val="20"/>
          <w:color w:val="auto"/>
        </w:rPr>
      </w:pPr>
      <w:r>
        <w:rPr>
          <w:rFonts w:ascii="Arial" w:cs="Arial" w:eastAsia="Arial" w:hAnsi="Arial"/>
          <w:sz w:val="17"/>
          <w:szCs w:val="17"/>
          <w:color w:val="auto"/>
        </w:rPr>
        <w:t>for handling the share change registration to the competent administrative department of industry and commerce and amending the register of shareholders.</w:t>
      </w:r>
    </w:p>
    <w:p>
      <w:pPr>
        <w:spacing w:after="0" w:line="164" w:lineRule="exact"/>
        <w:rPr>
          <w:sz w:val="20"/>
          <w:szCs w:val="20"/>
          <w:color w:val="auto"/>
        </w:rPr>
      </w:pPr>
    </w:p>
    <w:p>
      <w:pPr>
        <w:ind w:left="860" w:hanging="860"/>
        <w:spacing w:after="0"/>
        <w:tabs>
          <w:tab w:leader="none" w:pos="860" w:val="left"/>
        </w:tabs>
        <w:numPr>
          <w:ilvl w:val="0"/>
          <w:numId w:val="648"/>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207" w:lineRule="exact"/>
        <w:rPr>
          <w:rFonts w:ascii="Arial" w:cs="Arial" w:eastAsia="Arial" w:hAnsi="Arial"/>
          <w:sz w:val="17"/>
          <w:szCs w:val="17"/>
          <w:b w:val="1"/>
          <w:bCs w:val="1"/>
          <w:color w:val="auto"/>
        </w:rPr>
      </w:pPr>
    </w:p>
    <w:p>
      <w:pPr>
        <w:ind w:left="860"/>
        <w:spacing w:after="0"/>
        <w:rPr>
          <w:rFonts w:ascii="Arial" w:cs="Arial" w:eastAsia="Arial" w:hAnsi="Arial"/>
          <w:sz w:val="17"/>
          <w:szCs w:val="17"/>
          <w:b w:val="1"/>
          <w:bCs w:val="1"/>
          <w:color w:val="auto"/>
        </w:rPr>
      </w:pPr>
      <w:r>
        <w:rPr>
          <w:rFonts w:ascii="Arial" w:cs="Arial" w:eastAsia="Arial" w:hAnsi="Arial"/>
          <w:sz w:val="17"/>
          <w:szCs w:val="17"/>
          <w:color w:val="auto"/>
        </w:rPr>
        <w:t>All taxes arising out of the performance of this Agreement shall be borne by Party C.</w:t>
      </w:r>
    </w:p>
    <w:p>
      <w:pPr>
        <w:spacing w:after="0" w:line="199" w:lineRule="exact"/>
        <w:rPr>
          <w:rFonts w:ascii="Arial" w:cs="Arial" w:eastAsia="Arial" w:hAnsi="Arial"/>
          <w:sz w:val="17"/>
          <w:szCs w:val="17"/>
          <w:b w:val="1"/>
          <w:bCs w:val="1"/>
          <w:color w:val="auto"/>
        </w:rPr>
      </w:pPr>
    </w:p>
    <w:p>
      <w:pPr>
        <w:ind w:left="860" w:hanging="860"/>
        <w:spacing w:after="0"/>
        <w:tabs>
          <w:tab w:leader="none" w:pos="860" w:val="left"/>
        </w:tabs>
        <w:numPr>
          <w:ilvl w:val="0"/>
          <w:numId w:val="648"/>
        </w:numPr>
        <w:rPr>
          <w:rFonts w:ascii="Arial" w:cs="Arial" w:eastAsia="Arial" w:hAnsi="Arial"/>
          <w:sz w:val="17"/>
          <w:szCs w:val="17"/>
          <w:b w:val="1"/>
          <w:bCs w:val="1"/>
          <w:color w:val="auto"/>
        </w:rPr>
      </w:pPr>
      <w:r>
        <w:rPr>
          <w:rFonts w:ascii="Arial" w:cs="Arial" w:eastAsia="Arial" w:hAnsi="Arial"/>
          <w:sz w:val="17"/>
          <w:szCs w:val="17"/>
          <w:b w:val="1"/>
          <w:bCs w:val="1"/>
          <w:color w:val="auto"/>
        </w:rPr>
        <w:t>Breach of Contract</w:t>
      </w:r>
    </w:p>
    <w:p>
      <w:pPr>
        <w:spacing w:after="0" w:line="207" w:lineRule="exact"/>
        <w:rPr>
          <w:rFonts w:ascii="Arial" w:cs="Arial" w:eastAsia="Arial" w:hAnsi="Arial"/>
          <w:sz w:val="17"/>
          <w:szCs w:val="17"/>
          <w:b w:val="1"/>
          <w:bCs w:val="1"/>
          <w:color w:val="auto"/>
        </w:rPr>
      </w:pPr>
    </w:p>
    <w:p>
      <w:pPr>
        <w:jc w:val="both"/>
        <w:ind w:left="860"/>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Except as otherwise stipulated herein, if any Party fails to fully perform or suspend the performance of its obligations under this Agreement and fails to correct such breach within Thirty (30) days from the date of receipt of a notice from the other Party, or any of its representations and warranties under this Agreement are untrue, inaccurate or misleading, such Party shall be deemed to have breached this Agreement.</w:t>
      </w:r>
    </w:p>
    <w:p>
      <w:pPr>
        <w:spacing w:after="0" w:line="157" w:lineRule="exact"/>
        <w:rPr>
          <w:rFonts w:ascii="Arial" w:cs="Arial" w:eastAsia="Arial" w:hAnsi="Arial"/>
          <w:sz w:val="17"/>
          <w:szCs w:val="17"/>
          <w:b w:val="1"/>
          <w:bCs w:val="1"/>
          <w:color w:val="auto"/>
        </w:rPr>
      </w:pPr>
    </w:p>
    <w:p>
      <w:pPr>
        <w:jc w:val="both"/>
        <w:ind w:left="860"/>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If any Party hereto breaches this Agreement or any of its representations and warranties under this Agreement, the non-breaching Party may notify in writing the breaching Party of correcting such breach within Ten (10) days from the date of receipt of a notice, taking appropriate measures to effectively and promptly avoid any damage and continuing to perform this Agreement. If any damage occurs, the breaching Party shall make compensation to the non-breaching Party so that the non-breaching Party can obtain all rights and interests that should have been obtained by it in the case of the performance of this Agreement</w:t>
      </w:r>
    </w:p>
    <w:p>
      <w:pPr>
        <w:spacing w:after="0" w:line="181" w:lineRule="exact"/>
        <w:rPr>
          <w:rFonts w:ascii="Arial" w:cs="Arial" w:eastAsia="Arial" w:hAnsi="Arial"/>
          <w:sz w:val="17"/>
          <w:szCs w:val="17"/>
          <w:b w:val="1"/>
          <w:bCs w:val="1"/>
          <w:color w:val="auto"/>
        </w:rPr>
      </w:pPr>
    </w:p>
    <w:p>
      <w:pPr>
        <w:ind w:left="8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If all of the Parties breach this Agreement, they shall determine the respective amount of compensation payable by them according to the degree of their respective breach.</w:t>
      </w:r>
    </w:p>
    <w:p>
      <w:pPr>
        <w:spacing w:after="0" w:line="163" w:lineRule="exact"/>
        <w:rPr>
          <w:rFonts w:ascii="Arial" w:cs="Arial" w:eastAsia="Arial" w:hAnsi="Arial"/>
          <w:sz w:val="17"/>
          <w:szCs w:val="17"/>
          <w:b w:val="1"/>
          <w:bCs w:val="1"/>
          <w:color w:val="auto"/>
        </w:rPr>
      </w:pPr>
    </w:p>
    <w:p>
      <w:pPr>
        <w:ind w:left="860" w:hanging="860"/>
        <w:spacing w:after="0"/>
        <w:tabs>
          <w:tab w:leader="none" w:pos="860" w:val="left"/>
        </w:tabs>
        <w:numPr>
          <w:ilvl w:val="0"/>
          <w:numId w:val="648"/>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Governing Law</w:t>
      </w:r>
    </w:p>
    <w:p>
      <w:pPr>
        <w:spacing w:after="0" w:line="2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This Agreement shall be governed by and construed in accordance with the laws of the PRC.</w:t>
      </w:r>
    </w:p>
    <w:p>
      <w:pPr>
        <w:spacing w:after="0" w:line="203"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Arbitration</w:t>
      </w:r>
    </w:p>
    <w:p>
      <w:pPr>
        <w:spacing w:after="0" w:line="228" w:lineRule="exact"/>
        <w:rPr>
          <w:sz w:val="20"/>
          <w:szCs w:val="20"/>
          <w:color w:val="auto"/>
        </w:rPr>
      </w:pPr>
    </w:p>
    <w:p>
      <w:pPr>
        <w:jc w:val="both"/>
        <w:ind w:left="1720"/>
        <w:spacing w:after="0" w:line="278" w:lineRule="auto"/>
        <w:rPr>
          <w:sz w:val="20"/>
          <w:szCs w:val="20"/>
          <w:color w:val="auto"/>
        </w:rPr>
      </w:pPr>
      <w:r>
        <w:rPr>
          <w:rFonts w:ascii="Arial" w:cs="Arial" w:eastAsia="Arial" w:hAnsi="Arial"/>
          <w:sz w:val="16"/>
          <w:szCs w:val="16"/>
          <w:color w:val="auto"/>
        </w:rPr>
        <w:t>In case of any disputes among the Parties arising out of the construction and performance of any provisions of this Agreement, the Parties shall resolve such disputes through consultation in good faith. If such disputes cannot be resolved through consultation, any Party may submit such disputes to China International Economic and Trade Arbitration Commission for resolution by</w:t>
      </w:r>
    </w:p>
    <w:p>
      <w:pPr>
        <w:spacing w:after="0" w:line="158" w:lineRule="exact"/>
        <w:rPr>
          <w:sz w:val="20"/>
          <w:szCs w:val="20"/>
          <w:color w:val="auto"/>
        </w:rPr>
      </w:pPr>
    </w:p>
    <w:p>
      <w:pPr>
        <w:jc w:val="both"/>
        <w:ind w:left="1720"/>
        <w:spacing w:after="0" w:line="254" w:lineRule="auto"/>
        <w:rPr>
          <w:sz w:val="20"/>
          <w:szCs w:val="20"/>
          <w:color w:val="auto"/>
        </w:rPr>
      </w:pPr>
      <w:r>
        <w:rPr>
          <w:rFonts w:ascii="Arial" w:cs="Arial" w:eastAsia="Arial" w:hAnsi="Arial"/>
          <w:sz w:val="17"/>
          <w:szCs w:val="17"/>
          <w:color w:val="auto"/>
        </w:rPr>
        <w:t>arbitration in accordance with the existing arbitration rules of such Commission in force. The place of arbitration shall be Beijing, and the language to be used in the arbitration proceedings shall be Chinese. Any arbitral award shall be final and binding upon the Parties. No provisions of this Article shall be affected by any termination or cancellation of this Agreement.</w:t>
      </w:r>
    </w:p>
    <w:p>
      <w:pPr>
        <w:spacing w:after="0" w:line="17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Continue to Perform</w:t>
      </w:r>
    </w:p>
    <w:p>
      <w:pPr>
        <w:spacing w:after="0" w:line="228" w:lineRule="exact"/>
        <w:rPr>
          <w:sz w:val="20"/>
          <w:szCs w:val="20"/>
          <w:color w:val="auto"/>
        </w:rPr>
      </w:pPr>
    </w:p>
    <w:p>
      <w:pPr>
        <w:jc w:val="both"/>
        <w:ind w:left="1720"/>
        <w:spacing w:after="0" w:line="264" w:lineRule="auto"/>
        <w:rPr>
          <w:sz w:val="20"/>
          <w:szCs w:val="20"/>
          <w:color w:val="auto"/>
        </w:rPr>
      </w:pPr>
      <w:r>
        <w:rPr>
          <w:rFonts w:ascii="Arial" w:cs="Arial" w:eastAsia="Arial" w:hAnsi="Arial"/>
          <w:sz w:val="17"/>
          <w:szCs w:val="17"/>
          <w:color w:val="auto"/>
        </w:rPr>
        <w:t>Except for any matters disputed by the Parties hereto, the Parties hereto shall continue to perform their respective obligations under this Agreement based on the principle of good faith.</w:t>
      </w:r>
    </w:p>
    <w:p>
      <w:pPr>
        <w:spacing w:after="0" w:line="164" w:lineRule="exact"/>
        <w:rPr>
          <w:sz w:val="20"/>
          <w:szCs w:val="20"/>
          <w:color w:val="auto"/>
        </w:rPr>
      </w:pPr>
    </w:p>
    <w:p>
      <w:pPr>
        <w:ind w:left="860" w:hanging="860"/>
        <w:spacing w:after="0"/>
        <w:tabs>
          <w:tab w:leader="none" w:pos="860" w:val="left"/>
        </w:tabs>
        <w:numPr>
          <w:ilvl w:val="0"/>
          <w:numId w:val="649"/>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Confidential Information</w:t>
      </w:r>
    </w:p>
    <w:p>
      <w:pPr>
        <w:spacing w:after="0" w:line="228" w:lineRule="exact"/>
        <w:rPr>
          <w:sz w:val="20"/>
          <w:szCs w:val="20"/>
          <w:color w:val="auto"/>
        </w:rPr>
      </w:pPr>
    </w:p>
    <w:p>
      <w:pPr>
        <w:jc w:val="both"/>
        <w:ind w:left="1720" w:firstLine="1"/>
        <w:spacing w:after="0" w:line="254" w:lineRule="auto"/>
        <w:rPr>
          <w:sz w:val="20"/>
          <w:szCs w:val="20"/>
          <w:color w:val="auto"/>
        </w:rPr>
      </w:pPr>
      <w:r>
        <w:rPr>
          <w:rFonts w:ascii="Arial" w:cs="Arial" w:eastAsia="Arial" w:hAnsi="Arial"/>
          <w:sz w:val="17"/>
          <w:szCs w:val="17"/>
          <w:color w:val="auto"/>
        </w:rPr>
        <w:t>Any contents of this Agreement and its annexes shall be kept confidential. Any Party shall not disclose to any third party any information contained herein (unless they obtain the prior written consent of the Parties hereto). These provisions hereof shall survive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184390" cy="412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9">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5" w:name="page566"/>
    <w:bookmarkEnd w:id="565"/>
    <w:p>
      <w:pPr>
        <w:ind w:left="860"/>
        <w:spacing w:after="0"/>
        <w:tabs>
          <w:tab w:leader="none" w:pos="170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color w:val="auto"/>
        </w:rPr>
        <w:t>Exceptions</w:t>
      </w:r>
    </w:p>
    <w:p>
      <w:pPr>
        <w:spacing w:after="0" w:line="228" w:lineRule="exact"/>
        <w:rPr>
          <w:sz w:val="20"/>
          <w:szCs w:val="20"/>
          <w:color w:val="auto"/>
        </w:rPr>
      </w:pPr>
    </w:p>
    <w:p>
      <w:pPr>
        <w:ind w:left="1720" w:firstLine="1"/>
        <w:spacing w:after="0" w:line="264" w:lineRule="auto"/>
        <w:rPr>
          <w:sz w:val="20"/>
          <w:szCs w:val="20"/>
          <w:color w:val="auto"/>
        </w:rPr>
      </w:pPr>
      <w:r>
        <w:rPr>
          <w:rFonts w:ascii="Arial" w:cs="Arial" w:eastAsia="Arial" w:hAnsi="Arial"/>
          <w:sz w:val="17"/>
          <w:szCs w:val="17"/>
          <w:color w:val="auto"/>
        </w:rPr>
        <w:t>Any disclosure of any confidential information required by the laws, court judgments, arbitral awards and decisions of governmental authorities shall not constitute a breach of the Section 7.1 above.</w:t>
      </w:r>
    </w:p>
    <w:p>
      <w:pPr>
        <w:spacing w:after="0" w:line="164" w:lineRule="exact"/>
        <w:rPr>
          <w:sz w:val="20"/>
          <w:szCs w:val="20"/>
          <w:color w:val="auto"/>
        </w:rPr>
      </w:pPr>
    </w:p>
    <w:p>
      <w:pPr>
        <w:ind w:left="860" w:hanging="860"/>
        <w:spacing w:after="0"/>
        <w:tabs>
          <w:tab w:leader="none" w:pos="860" w:val="left"/>
        </w:tabs>
        <w:numPr>
          <w:ilvl w:val="0"/>
          <w:numId w:val="650"/>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Entire Agreement</w:t>
      </w:r>
    </w:p>
    <w:p>
      <w:pPr>
        <w:spacing w:after="0" w:line="228" w:lineRule="exact"/>
        <w:rPr>
          <w:sz w:val="20"/>
          <w:szCs w:val="20"/>
          <w:color w:val="auto"/>
        </w:rPr>
      </w:pPr>
    </w:p>
    <w:p>
      <w:pPr>
        <w:jc w:val="both"/>
        <w:ind w:left="1720"/>
        <w:spacing w:after="0" w:line="251" w:lineRule="auto"/>
        <w:rPr>
          <w:sz w:val="20"/>
          <w:szCs w:val="20"/>
          <w:color w:val="auto"/>
        </w:rPr>
      </w:pPr>
      <w:r>
        <w:rPr>
          <w:rFonts w:ascii="Arial" w:cs="Arial" w:eastAsia="Arial" w:hAnsi="Arial"/>
          <w:sz w:val="17"/>
          <w:szCs w:val="17"/>
          <w:color w:val="auto"/>
        </w:rPr>
        <w:t>This Agreement shall constitute an entire agreement among the Parties hereto in respect of the matters involved herein. In case of any discrepancies between any prior discussions, negotiations and agreement and this Agreement, this Agreement shall prevail. This Agreement shall be amended by the Parties in writing. Any annexes hereto shall form an integral part of this Agreement and be equally authentic as this Agreement.</w:t>
      </w:r>
    </w:p>
    <w:p>
      <w:pPr>
        <w:spacing w:after="0" w:line="179"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3"/>
          <w:szCs w:val="13"/>
          <w:color w:val="auto"/>
        </w:rPr>
        <w:t>Notices</w:t>
      </w:r>
    </w:p>
    <w:p>
      <w:pPr>
        <w:spacing w:after="0" w:line="228" w:lineRule="exact"/>
        <w:rPr>
          <w:sz w:val="20"/>
          <w:szCs w:val="20"/>
          <w:color w:val="auto"/>
        </w:rPr>
      </w:pPr>
    </w:p>
    <w:p>
      <w:pPr>
        <w:jc w:val="both"/>
        <w:ind w:left="2580" w:hanging="858"/>
        <w:spacing w:after="0" w:line="254" w:lineRule="auto"/>
        <w:tabs>
          <w:tab w:leader="none" w:pos="2560" w:val="left"/>
        </w:tabs>
        <w:rPr>
          <w:sz w:val="20"/>
          <w:szCs w:val="20"/>
          <w:color w:val="auto"/>
        </w:rPr>
      </w:pPr>
      <w:r>
        <w:rPr>
          <w:rFonts w:ascii="Arial" w:cs="Arial" w:eastAsia="Arial" w:hAnsi="Arial"/>
          <w:sz w:val="17"/>
          <w:szCs w:val="17"/>
          <w:color w:val="auto"/>
        </w:rPr>
        <w:t>8.2.1</w:t>
      </w:r>
      <w:r>
        <w:rPr>
          <w:sz w:val="20"/>
          <w:szCs w:val="20"/>
          <w:color w:val="auto"/>
        </w:rPr>
        <w:tab/>
      </w:r>
      <w:r>
        <w:rPr>
          <w:rFonts w:ascii="Arial" w:cs="Arial" w:eastAsia="Arial" w:hAnsi="Arial"/>
          <w:sz w:val="17"/>
          <w:szCs w:val="17"/>
          <w:color w:val="auto"/>
        </w:rPr>
        <w:t>Any notices sent by the Parties for the performance of their rights and obligations under this Agreement shall be made in writing and be sent to the following addresses of one or all of the Parties hereto by personal delivery, registered mail, postage prepaid mail, recognized express service or facsimile transmission:</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Party A,</w:t>
      </w:r>
    </w:p>
    <w:p>
      <w:pPr>
        <w:spacing w:after="0" w:line="207"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Address: No. 36 Courtyard, Chuangyuan Road, Building No. 6, Laiguangying, Chaoyang District, Beijing, China</w:t>
      </w:r>
    </w:p>
    <w:p>
      <w:pPr>
        <w:spacing w:after="0" w:line="203"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Tel.:</w:t>
      </w:r>
    </w:p>
    <w:p>
      <w:pPr>
        <w:spacing w:after="0" w:line="203"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Attn.: LIU Tongbo</w:t>
      </w:r>
    </w:p>
    <w:p>
      <w:pPr>
        <w:spacing w:after="0" w:line="199"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Party B and Party C</w:t>
      </w:r>
      <w:r>
        <w:rPr>
          <w:rFonts w:ascii="Arial" w:cs="Arial" w:eastAsia="Arial" w:hAnsi="Arial"/>
          <w:sz w:val="17"/>
          <w:szCs w:val="17"/>
          <w:color w:val="auto"/>
        </w:rPr>
        <w:t>:</w:t>
      </w:r>
    </w:p>
    <w:p>
      <w:pPr>
        <w:spacing w:after="0" w:line="207"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Address: Room No. 103 (even), No. 90-96, Kexue grand avenue, Huangpu District, Guangzhou, China</w:t>
      </w:r>
    </w:p>
    <w:p>
      <w:pPr>
        <w:spacing w:after="0" w:line="203"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Tel.:</w:t>
      </w:r>
    </w:p>
    <w:p>
      <w:pPr>
        <w:spacing w:after="0" w:line="203"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Attn.: LI Haohan</w:t>
      </w:r>
    </w:p>
    <w:p>
      <w:pPr>
        <w:spacing w:after="0" w:line="203"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3"/>
          <w:szCs w:val="13"/>
          <w:color w:val="auto"/>
        </w:rPr>
        <w:t>All notices and correspondences shall be deemed to have been delivered under the following circumstances:</w:t>
      </w:r>
    </w:p>
    <w:p>
      <w:pPr>
        <w:spacing w:after="0" w:line="228" w:lineRule="exact"/>
        <w:rPr>
          <w:sz w:val="20"/>
          <w:szCs w:val="20"/>
          <w:color w:val="auto"/>
        </w:rPr>
      </w:pPr>
    </w:p>
    <w:p>
      <w:pPr>
        <w:jc w:val="both"/>
        <w:ind w:left="3460" w:hanging="869"/>
        <w:spacing w:after="0" w:line="254" w:lineRule="auto"/>
        <w:tabs>
          <w:tab w:leader="none" w:pos="3460" w:val="left"/>
        </w:tabs>
        <w:numPr>
          <w:ilvl w:val="0"/>
          <w:numId w:val="651"/>
        </w:numPr>
        <w:rPr>
          <w:rFonts w:ascii="Arial" w:cs="Arial" w:eastAsia="Arial" w:hAnsi="Arial"/>
          <w:sz w:val="17"/>
          <w:szCs w:val="17"/>
          <w:color w:val="auto"/>
        </w:rPr>
      </w:pPr>
      <w:r>
        <w:rPr>
          <w:rFonts w:ascii="Arial" w:cs="Arial" w:eastAsia="Arial" w:hAnsi="Arial"/>
          <w:sz w:val="17"/>
          <w:szCs w:val="17"/>
          <w:color w:val="auto"/>
        </w:rPr>
        <w:t>If delivered by fax, the date displayed on the fax machine shall be the date of delivery, provided that, when such notices sent by fax are delivered later than 5:00 p.m. or on any non-working day in the place of delivery, the working day following the date displayed shall be the date of delivery;</w:t>
      </w:r>
    </w:p>
    <w:p>
      <w:pPr>
        <w:spacing w:after="0" w:line="176" w:lineRule="exact"/>
        <w:rPr>
          <w:rFonts w:ascii="Arial" w:cs="Arial" w:eastAsia="Arial" w:hAnsi="Arial"/>
          <w:sz w:val="17"/>
          <w:szCs w:val="17"/>
          <w:color w:val="auto"/>
        </w:rPr>
      </w:pPr>
    </w:p>
    <w:p>
      <w:pPr>
        <w:ind w:left="3460" w:hanging="869"/>
        <w:spacing w:after="0" w:line="264" w:lineRule="auto"/>
        <w:tabs>
          <w:tab w:leader="none" w:pos="3460" w:val="left"/>
        </w:tabs>
        <w:numPr>
          <w:ilvl w:val="0"/>
          <w:numId w:val="651"/>
        </w:numPr>
        <w:rPr>
          <w:rFonts w:ascii="Arial" w:cs="Arial" w:eastAsia="Arial" w:hAnsi="Arial"/>
          <w:sz w:val="17"/>
          <w:szCs w:val="17"/>
          <w:color w:val="auto"/>
        </w:rPr>
      </w:pPr>
      <w:r>
        <w:rPr>
          <w:rFonts w:ascii="Arial" w:cs="Arial" w:eastAsia="Arial" w:hAnsi="Arial"/>
          <w:sz w:val="17"/>
          <w:szCs w:val="17"/>
          <w:color w:val="auto"/>
        </w:rPr>
        <w:t>If delivered by personal delivery (including by express mail service), the date of signing for such notices shall be the date of delivery; and</w:t>
      </w:r>
    </w:p>
    <w:p>
      <w:pPr>
        <w:spacing w:after="0" w:line="167" w:lineRule="exact"/>
        <w:rPr>
          <w:rFonts w:ascii="Arial" w:cs="Arial" w:eastAsia="Arial" w:hAnsi="Arial"/>
          <w:sz w:val="17"/>
          <w:szCs w:val="17"/>
          <w:color w:val="auto"/>
        </w:rPr>
      </w:pPr>
    </w:p>
    <w:p>
      <w:pPr>
        <w:ind w:left="3460" w:hanging="869"/>
        <w:spacing w:after="0" w:line="265" w:lineRule="auto"/>
        <w:tabs>
          <w:tab w:leader="none" w:pos="3460" w:val="left"/>
        </w:tabs>
        <w:numPr>
          <w:ilvl w:val="0"/>
          <w:numId w:val="651"/>
        </w:numPr>
        <w:rPr>
          <w:rFonts w:ascii="Arial" w:cs="Arial" w:eastAsia="Arial" w:hAnsi="Arial"/>
          <w:sz w:val="17"/>
          <w:szCs w:val="17"/>
          <w:color w:val="auto"/>
        </w:rPr>
      </w:pPr>
      <w:r>
        <w:rPr>
          <w:rFonts w:ascii="Arial" w:cs="Arial" w:eastAsia="Arial" w:hAnsi="Arial"/>
          <w:sz w:val="17"/>
          <w:szCs w:val="17"/>
          <w:color w:val="auto"/>
        </w:rPr>
        <w:t>If delivered by registered mail, the Fifteenth (15</w:t>
      </w:r>
      <w:r>
        <w:rPr>
          <w:rFonts w:ascii="Arial" w:cs="Arial" w:eastAsia="Arial" w:hAnsi="Arial"/>
          <w:sz w:val="14"/>
          <w:szCs w:val="14"/>
          <w:color w:val="auto"/>
        </w:rPr>
        <w:t>th</w:t>
      </w:r>
      <w:r>
        <w:rPr>
          <w:rFonts w:ascii="Arial" w:cs="Arial" w:eastAsia="Arial" w:hAnsi="Arial"/>
          <w:sz w:val="17"/>
          <w:szCs w:val="17"/>
          <w:color w:val="auto"/>
        </w:rPr>
        <w:t>) day following the date shown in the return receipt of such registered mail shall be the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184390" cy="4127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6" w:name="page567"/>
    <w:bookmarkEnd w:id="566"/>
    <w:p>
      <w:pPr>
        <w:ind w:left="860"/>
        <w:spacing w:after="0"/>
        <w:tabs>
          <w:tab w:leader="none" w:pos="1700" w:val="left"/>
        </w:tabs>
        <w:rPr>
          <w:sz w:val="20"/>
          <w:szCs w:val="20"/>
          <w:color w:val="auto"/>
        </w:rPr>
      </w:pPr>
      <w:r>
        <w:rPr>
          <w:rFonts w:ascii="Arial" w:cs="Arial" w:eastAsia="Arial" w:hAnsi="Arial"/>
          <w:sz w:val="17"/>
          <w:szCs w:val="17"/>
          <w:color w:val="auto"/>
        </w:rPr>
        <w:t>8.2.3</w:t>
      </w:r>
      <w:r>
        <w:rPr>
          <w:sz w:val="20"/>
          <w:szCs w:val="20"/>
          <w:color w:val="auto"/>
        </w:rPr>
        <w:tab/>
      </w:r>
      <w:r>
        <w:rPr>
          <w:rFonts w:ascii="Arial" w:cs="Arial" w:eastAsia="Arial" w:hAnsi="Arial"/>
          <w:sz w:val="15"/>
          <w:szCs w:val="15"/>
          <w:color w:val="auto"/>
        </w:rPr>
        <w:t>Binding force</w:t>
      </w: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This Agreement shall be binding on the Parties hereto.</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3"/>
          <w:szCs w:val="13"/>
          <w:color w:val="auto"/>
        </w:rPr>
        <w:t>Language</w:t>
      </w:r>
    </w:p>
    <w:p>
      <w:pPr>
        <w:spacing w:after="0" w:line="22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Agreement is written in Chinese and is executed in four (4) copies.</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color w:val="auto"/>
        </w:rPr>
        <w:t>Day and Working Day</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Day</w:t>
      </w:r>
      <w:r>
        <w:rPr>
          <w:rFonts w:ascii="Arial" w:cs="Arial" w:eastAsia="Arial" w:hAnsi="Arial"/>
          <w:sz w:val="17"/>
          <w:szCs w:val="17"/>
          <w:color w:val="auto"/>
        </w:rPr>
        <w:t>” referred to herein shall be the calendar day; “</w:t>
      </w:r>
      <w:r>
        <w:rPr>
          <w:rFonts w:ascii="Arial" w:cs="Arial" w:eastAsia="Arial" w:hAnsi="Arial"/>
          <w:sz w:val="17"/>
          <w:szCs w:val="17"/>
          <w:b w:val="1"/>
          <w:bCs w:val="1"/>
          <w:color w:val="auto"/>
        </w:rPr>
        <w:t>Working Day</w:t>
      </w:r>
      <w:r>
        <w:rPr>
          <w:rFonts w:ascii="Arial" w:cs="Arial" w:eastAsia="Arial" w:hAnsi="Arial"/>
          <w:sz w:val="17"/>
          <w:szCs w:val="17"/>
          <w:color w:val="auto"/>
        </w:rPr>
        <w:t>” referred to herein shall be any day from Monday to Friday.</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3"/>
          <w:szCs w:val="13"/>
          <w:color w:val="auto"/>
        </w:rPr>
        <w:t>Headings</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headings hereunder are for reading convenience only and shall not be used for the interpretation of this Agreement.</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3"/>
          <w:szCs w:val="13"/>
          <w:color w:val="auto"/>
        </w:rPr>
        <w:t>Pending matters</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Any matters not stipulated herein shall be resolved by the Parties hereto through friendly consultation in accordance with the laws of the PRC.</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Termination</w:t>
      </w:r>
    </w:p>
    <w:p>
      <w:pPr>
        <w:spacing w:after="0" w:line="228" w:lineRule="exact"/>
        <w:rPr>
          <w:sz w:val="20"/>
          <w:szCs w:val="20"/>
          <w:color w:val="auto"/>
        </w:rPr>
      </w:pPr>
    </w:p>
    <w:p>
      <w:pPr>
        <w:jc w:val="both"/>
        <w:ind w:left="860"/>
        <w:spacing w:after="0" w:line="278" w:lineRule="auto"/>
        <w:rPr>
          <w:sz w:val="20"/>
          <w:szCs w:val="20"/>
          <w:color w:val="auto"/>
        </w:rPr>
      </w:pPr>
      <w:r>
        <w:rPr>
          <w:rFonts w:ascii="Arial" w:cs="Arial" w:eastAsia="Arial" w:hAnsi="Arial"/>
          <w:sz w:val="16"/>
          <w:szCs w:val="16"/>
          <w:color w:val="auto"/>
        </w:rPr>
        <w:t>The Parties hereto acknowledge that, in case of any change of shareholding structure of Party C or any increase or decrease of shareholders, Party A, Party C and all existing shareholders of Party C shall re-sign this Agreement and that this Agreement shall be automatically terminated and become invalid from the effective date of the option agreement re-signed by the aforesaid Parties.</w:t>
      </w:r>
    </w:p>
    <w:p>
      <w:pPr>
        <w:spacing w:after="0" w:line="158"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60960</wp:posOffset>
            </wp:positionV>
            <wp:extent cx="7184390" cy="4127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380"/>
          </w:cols>
          <w:pgMar w:left="1180" w:top="127" w:right="339" w:bottom="1440" w:gutter="0" w:footer="0" w:header="0"/>
        </w:sectPr>
      </w:pPr>
    </w:p>
    <w:bookmarkStart w:id="567" w:name="page568"/>
    <w:bookmarkEnd w:id="567"/>
    <w:p>
      <w:pPr>
        <w:jc w:val="right"/>
        <w:ind w:right="2579"/>
        <w:spacing w:after="0"/>
        <w:rPr>
          <w:sz w:val="20"/>
          <w:szCs w:val="20"/>
          <w:color w:val="auto"/>
        </w:rPr>
      </w:pPr>
      <w:r>
        <w:rPr>
          <w:rFonts w:ascii="Arial" w:cs="Arial" w:eastAsia="Arial" w:hAnsi="Arial"/>
          <w:sz w:val="17"/>
          <w:szCs w:val="17"/>
          <w:color w:val="auto"/>
        </w:rPr>
        <w:t>[This page is the signature page to the Option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LIU Tongbo</w:t>
      </w:r>
      <w:r>
        <w:rPr>
          <w:rFonts w:ascii="Arial" w:cs="Arial" w:eastAsia="Arial" w:hAnsi="Arial"/>
          <w:sz w:val="17"/>
          <w:szCs w:val="17"/>
          <w:color w:val="auto"/>
        </w:rPr>
        <w:t xml:space="preserve"> (Seal)</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 Haohan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Haohan</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 Peiheng</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Signature: </w:t>
      </w:r>
      <w:r>
        <w:rPr>
          <w:rFonts w:ascii="Arial" w:cs="Arial" w:eastAsia="Arial" w:hAnsi="Arial"/>
          <w:sz w:val="17"/>
          <w:szCs w:val="17"/>
          <w:u w:val="single" w:color="auto"/>
          <w:color w:val="auto"/>
        </w:rPr>
        <w:t>/s/ DU Peiheng</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Legal or Authorized Representative: </w:t>
      </w:r>
      <w:r>
        <w:rPr>
          <w:rFonts w:ascii="Arial" w:cs="Arial" w:eastAsia="Arial" w:hAnsi="Arial"/>
          <w:sz w:val="17"/>
          <w:szCs w:val="17"/>
          <w:u w:val="single" w:color="auto"/>
          <w:color w:val="auto"/>
        </w:rPr>
        <w:t>/s/ LI Haohan</w:t>
      </w:r>
      <w:r>
        <w:rPr>
          <w:rFonts w:ascii="Arial" w:cs="Arial" w:eastAsia="Arial" w:hAnsi="Arial"/>
          <w:sz w:val="17"/>
          <w:szCs w:val="17"/>
          <w:color w:val="auto"/>
        </w:rPr>
        <w:t xml:space="preserv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84390" cy="4127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2">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568" w:name="page569"/>
    <w:bookmarkEnd w:id="568"/>
    <w:p>
      <w:pPr>
        <w:jc w:val="center"/>
        <w:ind w:right="40"/>
        <w:spacing w:after="0"/>
        <w:rPr>
          <w:sz w:val="20"/>
          <w:szCs w:val="20"/>
          <w:color w:val="auto"/>
        </w:rPr>
      </w:pPr>
      <w:r>
        <w:rPr>
          <w:rFonts w:ascii="Arial" w:cs="Arial" w:eastAsia="Arial" w:hAnsi="Arial"/>
          <w:sz w:val="20"/>
          <w:szCs w:val="20"/>
          <w:b w:val="1"/>
          <w:bCs w:val="1"/>
          <w:color w:val="auto"/>
        </w:rPr>
        <w:t>Annex I Party C’s Shareholders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tcBorders>
              <w:right w:val="single" w:sz="8" w:color="auto"/>
            </w:tcBorders>
          </w:tcPr>
          <w:p>
            <w:pPr>
              <w:spacing w:after="0"/>
              <w:rPr>
                <w:sz w:val="18"/>
                <w:szCs w:val="18"/>
                <w:color w:val="auto"/>
              </w:rPr>
            </w:pP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S/N</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Name of Shareholders</w:t>
            </w:r>
          </w:p>
        </w:tc>
        <w:tc>
          <w:tcPr>
            <w:tcW w:w="214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ID Card No.</w:t>
            </w:r>
          </w:p>
        </w:tc>
        <w:tc>
          <w:tcPr>
            <w:tcW w:w="2280" w:type="dxa"/>
            <w:vAlign w:val="bottom"/>
          </w:tcPr>
          <w:p>
            <w:pPr>
              <w:spacing w:after="0"/>
              <w:rPr>
                <w:sz w:val="18"/>
                <w:szCs w:val="18"/>
                <w:color w:val="auto"/>
              </w:rPr>
            </w:pPr>
          </w:p>
        </w:tc>
      </w:tr>
      <w:tr>
        <w:trPr>
          <w:trHeight w:val="192"/>
        </w:trPr>
        <w:tc>
          <w:tcPr>
            <w:tcW w:w="2280" w:type="dxa"/>
            <w:vAlign w:val="bottom"/>
            <w:tcBorders>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40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1"/>
              </w:rPr>
              <w:t>LI Haohan</w:t>
            </w:r>
          </w:p>
        </w:tc>
        <w:tc>
          <w:tcPr>
            <w:tcW w:w="2140" w:type="dxa"/>
            <w:vAlign w:val="bottom"/>
            <w:tcBorders>
              <w:bottom w:val="single" w:sz="8" w:color="auto"/>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r>
      <w:tr>
        <w:trPr>
          <w:trHeight w:val="192"/>
        </w:trPr>
        <w:tc>
          <w:tcPr>
            <w:tcW w:w="2280" w:type="dxa"/>
            <w:vAlign w:val="bottom"/>
            <w:tcBorders>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404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DU Peiheng</w:t>
            </w:r>
          </w:p>
        </w:tc>
        <w:tc>
          <w:tcPr>
            <w:tcW w:w="2140" w:type="dxa"/>
            <w:vAlign w:val="bottom"/>
            <w:tcBorders>
              <w:bottom w:val="single" w:sz="8" w:color="auto"/>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r>
      <w:tr>
        <w:trPr>
          <w:trHeight w:val="296"/>
        </w:trPr>
        <w:tc>
          <w:tcPr>
            <w:tcW w:w="2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14" w:right="299" w:bottom="1440" w:gutter="0" w:footer="0" w:header="0"/>
        </w:sectPr>
      </w:pPr>
    </w:p>
    <w:bookmarkStart w:id="569" w:name="page570"/>
    <w:bookmarkEnd w:id="569"/>
    <w:p>
      <w:pPr>
        <w:jc w:val="center"/>
        <w:spacing w:after="0"/>
        <w:rPr>
          <w:sz w:val="20"/>
          <w:szCs w:val="20"/>
          <w:color w:val="auto"/>
        </w:rPr>
      </w:pPr>
      <w:r>
        <w:rPr>
          <w:rFonts w:ascii="Arial" w:cs="Arial" w:eastAsia="Arial" w:hAnsi="Arial"/>
          <w:sz w:val="20"/>
          <w:szCs w:val="20"/>
          <w:b w:val="1"/>
          <w:bCs w:val="1"/>
          <w:color w:val="auto"/>
        </w:rPr>
        <w:t>Annex II Party C’s Shareholding Structure</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S/N</w:t>
            </w:r>
          </w:p>
        </w:tc>
        <w:tc>
          <w:tcPr>
            <w:tcW w:w="5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6"/>
              </w:rPr>
              <w:t>Name of Shareholders</w:t>
            </w:r>
          </w:p>
        </w:tc>
        <w:tc>
          <w:tcPr>
            <w:tcW w:w="24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7"/>
                <w:szCs w:val="17"/>
                <w:color w:val="auto"/>
              </w:rPr>
              <w:t>Amount of Contribution (CNY</w:t>
            </w:r>
          </w:p>
        </w:tc>
        <w:tc>
          <w:tcPr>
            <w:tcW w:w="24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7"/>
                <w:szCs w:val="17"/>
                <w:color w:val="auto"/>
              </w:rPr>
              <w:t>Equity Proportion</w:t>
            </w:r>
          </w:p>
        </w:tc>
        <w:tc>
          <w:tcPr>
            <w:tcW w:w="0" w:type="dxa"/>
            <w:vAlign w:val="bottom"/>
          </w:tcPr>
          <w:p>
            <w:pPr>
              <w:spacing w:after="0"/>
              <w:rPr>
                <w:sz w:val="1"/>
                <w:szCs w:val="1"/>
                <w:color w:val="auto"/>
              </w:rPr>
            </w:pPr>
          </w:p>
        </w:tc>
      </w:tr>
      <w:tr>
        <w:trPr>
          <w:trHeight w:val="112"/>
        </w:trPr>
        <w:tc>
          <w:tcPr>
            <w:tcW w:w="600" w:type="dxa"/>
            <w:vAlign w:val="bottom"/>
            <w:tcBorders>
              <w:left w:val="single" w:sz="8" w:color="auto"/>
              <w:righ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10000)</w:t>
            </w: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572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w:t>
            </w: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91"/>
              </w:rPr>
              <w:t>LI Haohan</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190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8"/>
              </w:rPr>
              <w:t>95%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w:t>
            </w: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DU Peiheng</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10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5%</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572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9"/>
              </w:rPr>
              <w:t>Total</w:t>
            </w:r>
          </w:p>
        </w:tc>
        <w:tc>
          <w:tcPr>
            <w:tcW w:w="246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200</w:t>
            </w:r>
          </w:p>
        </w:tc>
        <w:tc>
          <w:tcPr>
            <w:tcW w:w="2480" w:type="dxa"/>
            <w:vAlign w:val="bottom"/>
            <w:tcBorders>
              <w:bottom w:val="single" w:sz="8" w:color="auto"/>
              <w:right w:val="single" w:sz="8" w:color="auto"/>
            </w:tcBorders>
          </w:tcPr>
          <w:p>
            <w:pPr>
              <w:jc w:val="center"/>
              <w:spacing w:after="0" w:line="192" w:lineRule="exact"/>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570" w:name="page571"/>
    <w:bookmarkEnd w:id="570"/>
    <w:p>
      <w:pPr>
        <w:jc w:val="right"/>
        <w:spacing w:after="0"/>
        <w:rPr>
          <w:sz w:val="20"/>
          <w:szCs w:val="20"/>
          <w:color w:val="auto"/>
        </w:rPr>
      </w:pPr>
      <w:r>
        <w:rPr>
          <w:rFonts w:ascii="Arial" w:cs="Arial" w:eastAsia="Arial" w:hAnsi="Arial"/>
          <w:sz w:val="17"/>
          <w:szCs w:val="17"/>
          <w:b w:val="1"/>
          <w:bCs w:val="1"/>
          <w:color w:val="auto"/>
        </w:rPr>
        <w:t>Exhibit 4.67</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parties acknowledge that, for the purpose of the performance by the shareholders (“</w:t>
      </w:r>
      <w:r>
        <w:rPr>
          <w:rFonts w:ascii="Arial" w:cs="Arial" w:eastAsia="Arial" w:hAnsi="Arial"/>
          <w:sz w:val="17"/>
          <w:szCs w:val="17"/>
          <w:b w:val="1"/>
          <w:bCs w:val="1"/>
          <w:color w:val="auto"/>
        </w:rPr>
        <w:t>Authorizers</w:t>
      </w:r>
      <w:r>
        <w:rPr>
          <w:rFonts w:ascii="Arial" w:cs="Arial" w:eastAsia="Arial" w:hAnsi="Arial"/>
          <w:sz w:val="17"/>
          <w:szCs w:val="17"/>
          <w:color w:val="auto"/>
        </w:rPr>
        <w:t>”) of Guangzhou Wudawei Education Technology Co., Ltd. (“</w:t>
      </w:r>
      <w:r>
        <w:rPr>
          <w:rFonts w:ascii="Arial" w:cs="Arial" w:eastAsia="Arial" w:hAnsi="Arial"/>
          <w:sz w:val="17"/>
          <w:szCs w:val="17"/>
          <w:b w:val="1"/>
          <w:bCs w:val="1"/>
          <w:color w:val="auto"/>
        </w:rPr>
        <w:t>Guangzhou Wudawei</w:t>
      </w:r>
      <w:r>
        <w:rPr>
          <w:rFonts w:ascii="Arial" w:cs="Arial" w:eastAsia="Arial" w:hAnsi="Arial"/>
          <w:sz w:val="17"/>
          <w:szCs w:val="17"/>
          <w:color w:val="auto"/>
        </w:rPr>
        <w:t>”) of any specific obligations required by them as the shareholders of Guangzhou Wudawei, all Authorizers hereby grant the authorization and sign this Power of Attorney (hereinafter referred to as “</w:t>
      </w:r>
      <w:r>
        <w:rPr>
          <w:rFonts w:ascii="Arial" w:cs="Arial" w:eastAsia="Arial" w:hAnsi="Arial"/>
          <w:sz w:val="17"/>
          <w:szCs w:val="17"/>
          <w:b w:val="1"/>
          <w:bCs w:val="1"/>
          <w:color w:val="auto"/>
        </w:rPr>
        <w:t>Power of Attorney</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LI Haohan, DU Peiheng,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above Authorizers are collectively referred to as “</w:t>
      </w:r>
      <w:r>
        <w:rPr>
          <w:rFonts w:ascii="Arial" w:cs="Arial" w:eastAsia="Arial" w:hAnsi="Arial"/>
          <w:sz w:val="17"/>
          <w:szCs w:val="17"/>
          <w:b w:val="1"/>
          <w:bCs w:val="1"/>
          <w:color w:val="auto"/>
        </w:rPr>
        <w:t>Authorizers</w:t>
      </w:r>
      <w:r>
        <w:rPr>
          <w:rFonts w:ascii="Arial" w:cs="Arial" w:eastAsia="Arial" w:hAnsi="Arial"/>
          <w:sz w:val="17"/>
          <w:szCs w:val="17"/>
          <w:color w:val="auto"/>
        </w:rPr>
        <w:t>”)</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Authorizers hereby irrevocably authorize to the maximum scope permitted by law Wuhan Studyvip Online Education Co., Limited ("</w:t>
      </w:r>
      <w:r>
        <w:rPr>
          <w:rFonts w:ascii="Arial" w:cs="Arial" w:eastAsia="Arial" w:hAnsi="Arial"/>
          <w:sz w:val="15"/>
          <w:szCs w:val="15"/>
          <w:b w:val="1"/>
          <w:bCs w:val="1"/>
          <w:color w:val="auto"/>
        </w:rPr>
        <w:t>WFOE</w:t>
      </w:r>
      <w:r>
        <w:rPr>
          <w:rFonts w:ascii="Arial" w:cs="Arial" w:eastAsia="Arial" w:hAnsi="Arial"/>
          <w:sz w:val="15"/>
          <w:szCs w:val="15"/>
          <w:color w:val="auto"/>
        </w:rPr>
        <w:t>") or its designated person or authorized representative (“</w:t>
      </w:r>
      <w:r>
        <w:rPr>
          <w:rFonts w:ascii="Arial" w:cs="Arial" w:eastAsia="Arial" w:hAnsi="Arial"/>
          <w:sz w:val="15"/>
          <w:szCs w:val="15"/>
          <w:b w:val="1"/>
          <w:bCs w:val="1"/>
          <w:color w:val="auto"/>
        </w:rPr>
        <w:t>Authorized Person</w:t>
      </w:r>
      <w:r>
        <w:rPr>
          <w:rFonts w:ascii="Arial" w:cs="Arial" w:eastAsia="Arial" w:hAnsi="Arial"/>
          <w:sz w:val="15"/>
          <w:szCs w:val="15"/>
          <w:color w:val="auto"/>
        </w:rPr>
        <w:t>”) to exercise all their shareholder rights corresponding to all voting shares (“</w:t>
      </w:r>
      <w:r>
        <w:rPr>
          <w:rFonts w:ascii="Arial" w:cs="Arial" w:eastAsia="Arial" w:hAnsi="Arial"/>
          <w:sz w:val="15"/>
          <w:szCs w:val="15"/>
          <w:b w:val="1"/>
          <w:bCs w:val="1"/>
          <w:color w:val="auto"/>
        </w:rPr>
        <w:t>Shares</w:t>
      </w:r>
      <w:r>
        <w:rPr>
          <w:rFonts w:ascii="Arial" w:cs="Arial" w:eastAsia="Arial" w:hAnsi="Arial"/>
          <w:sz w:val="15"/>
          <w:szCs w:val="15"/>
          <w:color w:val="auto"/>
        </w:rPr>
        <w:t>”) held by them in Guangzhou Wudawei on behalf of the Authorizers, including but not limited to the rights to (1) propose to hold a meeting of shareholders, and receive any notices on the convening and proceedings of the meetings of shareholders; (2) participate in a meeting of shareholders and sign the relevant shareholder resolutions on behalf of the Authorizers; (3) exercise all shareholder rights enjoyed by the Authorizers according to the laws and the articles of association, including but not limited to the voting rights, the right to sell or transfer or pledge or dispose of all or any part of the Shares of the Authorizers and the right to decide any bonus and other matters; (4) designate and appoint, as the authorized representative of the Authorizers, the chairman, directors, supervisors, general manager, chief financial officer and other senior managers of Guangzhou Wudawei at the meeting of shareholders of Guangzhou Wudawei.</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powers of attorney in relation to any Shares that were issued by the Authorizers prior to the date of signature of this Power of Attorney shall be irrevocably revoked, and the Authorizers hereby warrant that they shall not issue a separate power of attorney in respect of any Shares. This Power of Attorney and any powers, rights or interests granted by it shall be irrevocable.</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Except as otherwise agreed herein, all acts done by the Authorized Person in respect of any Shares of the Authorizers may be done at the Authorized Person’s sole discretion without any oral or written instructions of the Authorizers. The Authorizers hereby irrevocably acknowledge that all acts done by the Authorized Person in respect of any Shares of the Authorizers shall be deemed to be the acts done by the Authorizers and that all documents signed by the Authorized Person shall be deemed to be the documents signed by the Authorizers. In addition, the Authorized Person shall have the right to transfer such delegation and may delegate this authorization to any other individuals or entities designated by the board of directors of designated by the board of directors of the WFOE.</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Unless the Business Operation Agreement signed by Guangzhou Wudawei, Authorized Person and Authorizers is terminated in advance for any reason, the term of this Power of Attorney shall be ten years from the date of signature hereof. Upon expiration of this Power of Attorney, the Authorizers shall, at the request of the Authorized Person, extend the term of this Power of Attorney according to the Authorized Person’s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be binding upon all senior managers, directors, agents, assigns and successors of the Authorizers.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Authorizers have caused this Power of Attorney to be executed on 14th day of September,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84390" cy="4127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1" w:name="page572"/>
    <w:bookmarkEnd w:id="571"/>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LI Haohan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Haohan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DU Peiheng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DU Peiheng</w:t>
      </w:r>
    </w:p>
    <w:p>
      <w:pPr>
        <w:spacing w:after="0" w:line="200" w:lineRule="exact"/>
        <w:rPr>
          <w:sz w:val="20"/>
          <w:szCs w:val="20"/>
          <w:color w:val="auto"/>
        </w:rPr>
      </w:pPr>
    </w:p>
    <w:p>
      <w:pPr>
        <w:spacing w:after="0" w:line="389" w:lineRule="exact"/>
        <w:rPr>
          <w:sz w:val="20"/>
          <w:szCs w:val="20"/>
          <w:color w:val="auto"/>
        </w:rPr>
      </w:pPr>
    </w:p>
    <w:p>
      <w:pPr>
        <w:jc w:val="right"/>
        <w:ind w:right="2579"/>
        <w:spacing w:after="0"/>
        <w:rPr>
          <w:sz w:val="20"/>
          <w:szCs w:val="20"/>
          <w:color w:val="auto"/>
        </w:rPr>
      </w:pPr>
      <w:r>
        <w:rPr>
          <w:rFonts w:ascii="Arial" w:cs="Arial" w:eastAsia="Arial" w:hAnsi="Arial"/>
          <w:sz w:val="17"/>
          <w:szCs w:val="17"/>
          <w:color w:val="auto"/>
        </w:rPr>
        <w:t>[This page is the signature page to the Power of Attorney]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Person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Wuhan Studyvip Online Education Co., Limited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Tongbo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LIU Tongbo</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Title: Authorized Representative</w:t>
      </w:r>
    </w:p>
    <w:p>
      <w:pPr>
        <w:sectPr>
          <w:pgSz w:w="11900" w:h="16838" w:orient="portrait"/>
          <w:cols w:equalWidth="0" w:num="1">
            <w:col w:w="10139"/>
          </w:cols>
          <w:pgMar w:left="320" w:top="126" w:right="1440" w:bottom="1440" w:gutter="0" w:footer="0" w:header="0"/>
        </w:sectPr>
      </w:pPr>
    </w:p>
    <w:bookmarkStart w:id="572" w:name="page573"/>
    <w:bookmarkEnd w:id="572"/>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Arial" w:cs="Arial" w:eastAsia="Arial" w:hAnsi="Arial"/>
                <w:sz w:val="17"/>
                <w:szCs w:val="17"/>
                <w:b w:val="1"/>
                <w:bCs w:val="1"/>
                <w:color w:val="auto"/>
              </w:rPr>
              <w:t>Exhibit 4.68</w:t>
            </w:r>
          </w:p>
        </w:tc>
      </w:tr>
      <w:tr>
        <w:trPr>
          <w:trHeight w:val="434"/>
        </w:trPr>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80" w:type="dxa"/>
            <w:vAlign w:val="bottom"/>
            <w:gridSpan w:val="2"/>
          </w:tcPr>
          <w:p>
            <w:pPr>
              <w:jc w:val="right"/>
              <w:ind w:right="4797"/>
              <w:spacing w:after="0"/>
              <w:rPr>
                <w:sz w:val="20"/>
                <w:szCs w:val="20"/>
                <w:color w:val="auto"/>
              </w:rPr>
            </w:pPr>
            <w:r>
              <w:rPr>
                <w:rFonts w:ascii="Arial" w:cs="Arial" w:eastAsia="Arial" w:hAnsi="Arial"/>
                <w:sz w:val="20"/>
                <w:szCs w:val="20"/>
                <w:b w:val="1"/>
                <w:bCs w:val="1"/>
                <w:color w:val="auto"/>
              </w:rPr>
              <w:t>Spousal Consents</w:t>
            </w:r>
          </w:p>
        </w:tc>
      </w:tr>
      <w:tr>
        <w:trPr>
          <w:trHeight w:val="372"/>
        </w:trPr>
        <w:tc>
          <w:tcPr>
            <w:tcW w:w="5700" w:type="dxa"/>
            <w:vAlign w:val="bottom"/>
            <w:gridSpan w:val="4"/>
          </w:tcPr>
          <w:p>
            <w:pPr>
              <w:spacing w:after="0"/>
              <w:rPr>
                <w:sz w:val="20"/>
                <w:szCs w:val="20"/>
                <w:color w:val="auto"/>
              </w:rPr>
            </w:pPr>
            <w:r>
              <w:rPr>
                <w:rFonts w:ascii="Arial" w:cs="Arial" w:eastAsia="Arial" w:hAnsi="Arial"/>
                <w:sz w:val="17"/>
                <w:szCs w:val="17"/>
                <w:color w:val="auto"/>
              </w:rPr>
              <w:t>I, HUANG Jiawen, (Citizen of the People's Republic of China; ID Card No.:</w:t>
            </w:r>
          </w:p>
        </w:tc>
        <w:tc>
          <w:tcPr>
            <w:tcW w:w="5540" w:type="dxa"/>
            <w:vAlign w:val="bottom"/>
          </w:tcPr>
          <w:p>
            <w:pPr>
              <w:jc w:val="right"/>
              <w:spacing w:after="0"/>
              <w:rPr>
                <w:sz w:val="20"/>
                <w:szCs w:val="20"/>
                <w:color w:val="auto"/>
              </w:rPr>
            </w:pPr>
            <w:r>
              <w:rPr>
                <w:rFonts w:ascii="Arial" w:cs="Arial" w:eastAsia="Arial" w:hAnsi="Arial"/>
                <w:sz w:val="17"/>
                <w:szCs w:val="17"/>
                <w:color w:val="auto"/>
              </w:rPr>
              <w:t>), is the lawful spouse of DU Peiheng (Citizen of the People's Republic of</w:t>
            </w:r>
          </w:p>
        </w:tc>
      </w:tr>
      <w:tr>
        <w:trPr>
          <w:trHeight w:val="178"/>
        </w:trPr>
        <w:tc>
          <w:tcPr>
            <w:tcW w:w="1760" w:type="dxa"/>
            <w:vAlign w:val="bottom"/>
          </w:tcPr>
          <w:p>
            <w:pPr>
              <w:spacing w:after="0" w:line="179" w:lineRule="exact"/>
              <w:rPr>
                <w:sz w:val="20"/>
                <w:szCs w:val="20"/>
                <w:color w:val="auto"/>
              </w:rPr>
            </w:pPr>
            <w:r>
              <w:rPr>
                <w:rFonts w:ascii="Arial" w:cs="Arial" w:eastAsia="Arial" w:hAnsi="Arial"/>
                <w:sz w:val="17"/>
                <w:szCs w:val="17"/>
                <w:color w:val="auto"/>
              </w:rPr>
              <w:t>China; ID Card No.:</w:t>
            </w:r>
          </w:p>
        </w:tc>
        <w:tc>
          <w:tcPr>
            <w:tcW w:w="9480" w:type="dxa"/>
            <w:vAlign w:val="bottom"/>
            <w:gridSpan w:val="4"/>
          </w:tcPr>
          <w:p>
            <w:pPr>
              <w:jc w:val="right"/>
              <w:spacing w:after="0" w:line="179" w:lineRule="exact"/>
              <w:rPr>
                <w:sz w:val="20"/>
                <w:szCs w:val="20"/>
                <w:color w:val="auto"/>
              </w:rPr>
            </w:pPr>
            <w:r>
              <w:rPr>
                <w:rFonts w:ascii="Arial" w:cs="Arial" w:eastAsia="Arial" w:hAnsi="Arial"/>
                <w:sz w:val="17"/>
                <w:szCs w:val="17"/>
                <w:color w:val="auto"/>
                <w:w w:val="93"/>
              </w:rPr>
              <w:t>, the “</w:t>
            </w:r>
            <w:r>
              <w:rPr>
                <w:rFonts w:ascii="Arial" w:cs="Arial" w:eastAsia="Arial" w:hAnsi="Arial"/>
                <w:sz w:val="17"/>
                <w:szCs w:val="17"/>
                <w:b w:val="1"/>
                <w:bCs w:val="1"/>
                <w:color w:val="auto"/>
                <w:w w:val="93"/>
              </w:rPr>
              <w:t>My Spouse</w:t>
            </w:r>
            <w:r>
              <w:rPr>
                <w:rFonts w:ascii="Arial" w:cs="Arial" w:eastAsia="Arial" w:hAnsi="Arial"/>
                <w:sz w:val="17"/>
                <w:szCs w:val="17"/>
                <w:color w:val="auto"/>
                <w:w w:val="93"/>
              </w:rPr>
              <w:t>”). I hereby confirm and agree that the equity held by My Spouse presently and in the future (hereinafter referred to as</w:t>
            </w:r>
          </w:p>
        </w:tc>
      </w:tr>
      <w:tr>
        <w:trPr>
          <w:trHeight w:val="20"/>
        </w:trPr>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Equity and Interest</w:t>
      </w:r>
      <w:r>
        <w:rPr>
          <w:rFonts w:ascii="Arial" w:cs="Arial" w:eastAsia="Arial" w:hAnsi="Arial"/>
          <w:sz w:val="15"/>
          <w:szCs w:val="15"/>
          <w:color w:val="auto"/>
        </w:rPr>
        <w:t>”) is the personal property of My Spouse, do not form the common property of me and My Spouse and can be disposed solely by My Spouse: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Guangzhou Wudawei Education Technology Co., Ltd. (the “</w:t>
      </w:r>
      <w:r>
        <w:rPr>
          <w:rFonts w:ascii="Arial" w:cs="Arial" w:eastAsia="Arial" w:hAnsi="Arial"/>
          <w:sz w:val="17"/>
          <w:szCs w:val="17"/>
          <w:b w:val="1"/>
          <w:bCs w:val="1"/>
          <w:u w:val="single" w:color="auto"/>
          <w:color w:val="auto"/>
        </w:rPr>
        <w:t>Tianjin Shangde</w:t>
      </w:r>
      <w:r>
        <w:rPr>
          <w:rFonts w:ascii="Arial" w:cs="Arial" w:eastAsia="Arial" w:hAnsi="Arial"/>
          <w:sz w:val="17"/>
          <w:szCs w:val="17"/>
          <w:color w:val="auto"/>
        </w:rPr>
        <w: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Guangzhou Wudawei or affecting in any manner any decision made by My Spouse.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Guangzhou Wudawei and its shareholders and Wuhan Studyvip Online Education Co. Limited).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14th day of September,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6">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3" w:name="page574"/>
    <w:bookmarkEnd w:id="573"/>
    <w:p>
      <w:pPr>
        <w:jc w:val="right"/>
        <w:ind w:right="2619"/>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HUANG Jiawen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HUANG Jiawen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DU Peiheng hereby agrees and accepts this Spousal Consents: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DU Peiheng</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DU Peiheng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84390" cy="4127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139"/>
          </w:cols>
          <w:pgMar w:left="320" w:top="326" w:right="1440" w:bottom="1440" w:gutter="0" w:footer="0" w:header="0"/>
        </w:sectPr>
      </w:pPr>
    </w:p>
    <w:bookmarkStart w:id="574" w:name="page575"/>
    <w:bookmarkEnd w:id="574"/>
    <w:tbl>
      <w:tblPr>
        <w:tblLayout w:type="fixed"/>
        <w:tblInd w:w="0" w:type="dxa"/>
        <w:tblCellMar>
          <w:top w:w="0" w:type="dxa"/>
          <w:left w:w="0" w:type="dxa"/>
          <w:bottom w:w="0" w:type="dxa"/>
          <w:right w:w="0" w:type="dxa"/>
        </w:tblCellMar>
      </w:tblPr>
      <w:tr>
        <w:trPr>
          <w:trHeight w:val="259"/>
        </w:trPr>
        <w:tc>
          <w:tcPr>
            <w:tcW w:w="1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6360" w:type="dxa"/>
            <w:vAlign w:val="bottom"/>
            <w:gridSpan w:val="2"/>
          </w:tcPr>
          <w:p>
            <w:pPr>
              <w:jc w:val="right"/>
              <w:ind w:right="4880"/>
              <w:spacing w:after="0"/>
              <w:rPr>
                <w:sz w:val="20"/>
                <w:szCs w:val="20"/>
                <w:color w:val="auto"/>
              </w:rPr>
            </w:pPr>
            <w:r>
              <w:rPr>
                <w:rFonts w:ascii="Arial" w:cs="Arial" w:eastAsia="Arial" w:hAnsi="Arial"/>
                <w:sz w:val="20"/>
                <w:szCs w:val="20"/>
                <w:b w:val="1"/>
                <w:bCs w:val="1"/>
                <w:color w:val="auto"/>
                <w:w w:val="83"/>
              </w:rPr>
              <w:t>Spousal Consents</w:t>
            </w:r>
          </w:p>
        </w:tc>
      </w:tr>
      <w:tr>
        <w:trPr>
          <w:trHeight w:val="372"/>
        </w:trPr>
        <w:tc>
          <w:tcPr>
            <w:tcW w:w="4880" w:type="dxa"/>
            <w:vAlign w:val="bottom"/>
            <w:gridSpan w:val="4"/>
          </w:tcPr>
          <w:p>
            <w:pPr>
              <w:spacing w:after="0"/>
              <w:rPr>
                <w:sz w:val="20"/>
                <w:szCs w:val="20"/>
                <w:color w:val="auto"/>
              </w:rPr>
            </w:pPr>
            <w:r>
              <w:rPr>
                <w:rFonts w:ascii="Arial" w:cs="Arial" w:eastAsia="Arial" w:hAnsi="Arial"/>
                <w:sz w:val="17"/>
                <w:szCs w:val="17"/>
                <w:color w:val="auto"/>
                <w:w w:val="91"/>
              </w:rPr>
              <w:t>I, LIU Yameizi, (Citizen of the People's Republic of China; ID Card No.:</w:t>
            </w:r>
          </w:p>
        </w:tc>
        <w:tc>
          <w:tcPr>
            <w:tcW w:w="6360" w:type="dxa"/>
            <w:vAlign w:val="bottom"/>
            <w:gridSpan w:val="2"/>
          </w:tcPr>
          <w:p>
            <w:pPr>
              <w:jc w:val="right"/>
              <w:spacing w:after="0"/>
              <w:rPr>
                <w:sz w:val="20"/>
                <w:szCs w:val="20"/>
                <w:color w:val="auto"/>
              </w:rPr>
            </w:pPr>
            <w:r>
              <w:rPr>
                <w:rFonts w:ascii="Arial" w:cs="Arial" w:eastAsia="Arial" w:hAnsi="Arial"/>
                <w:sz w:val="17"/>
                <w:szCs w:val="17"/>
                <w:color w:val="auto"/>
              </w:rPr>
              <w:t>), is the lawful spouse of LI Haohan (Citizen of the People's Republic of China; ID</w:t>
            </w:r>
          </w:p>
        </w:tc>
      </w:tr>
      <w:tr>
        <w:trPr>
          <w:trHeight w:val="178"/>
        </w:trPr>
        <w:tc>
          <w:tcPr>
            <w:tcW w:w="1100" w:type="dxa"/>
            <w:vAlign w:val="bottom"/>
          </w:tcPr>
          <w:p>
            <w:pPr>
              <w:spacing w:after="0" w:line="179" w:lineRule="exact"/>
              <w:rPr>
                <w:sz w:val="20"/>
                <w:szCs w:val="20"/>
                <w:color w:val="auto"/>
              </w:rPr>
            </w:pPr>
            <w:r>
              <w:rPr>
                <w:rFonts w:ascii="Arial" w:cs="Arial" w:eastAsia="Arial" w:hAnsi="Arial"/>
                <w:sz w:val="17"/>
                <w:szCs w:val="17"/>
                <w:color w:val="auto"/>
              </w:rPr>
              <w:t>Card No.:</w:t>
            </w:r>
          </w:p>
        </w:tc>
        <w:tc>
          <w:tcPr>
            <w:tcW w:w="10140" w:type="dxa"/>
            <w:vAlign w:val="bottom"/>
            <w:gridSpan w:val="5"/>
          </w:tcPr>
          <w:p>
            <w:pPr>
              <w:jc w:val="right"/>
              <w:spacing w:after="0" w:line="179" w:lineRule="exact"/>
              <w:rPr>
                <w:sz w:val="20"/>
                <w:szCs w:val="20"/>
                <w:color w:val="auto"/>
              </w:rPr>
            </w:pPr>
            <w:r>
              <w:rPr>
                <w:rFonts w:ascii="Arial" w:cs="Arial" w:eastAsia="Arial" w:hAnsi="Arial"/>
                <w:sz w:val="17"/>
                <w:szCs w:val="17"/>
                <w:color w:val="auto"/>
                <w:w w:val="93"/>
              </w:rPr>
              <w:t>, the “</w:t>
            </w:r>
            <w:r>
              <w:rPr>
                <w:rFonts w:ascii="Arial" w:cs="Arial" w:eastAsia="Arial" w:hAnsi="Arial"/>
                <w:sz w:val="17"/>
                <w:szCs w:val="17"/>
                <w:b w:val="1"/>
                <w:bCs w:val="1"/>
                <w:color w:val="auto"/>
                <w:w w:val="93"/>
              </w:rPr>
              <w:t>My Spouse</w:t>
            </w:r>
            <w:r>
              <w:rPr>
                <w:rFonts w:ascii="Arial" w:cs="Arial" w:eastAsia="Arial" w:hAnsi="Arial"/>
                <w:sz w:val="17"/>
                <w:szCs w:val="17"/>
                <w:color w:val="auto"/>
                <w:w w:val="93"/>
              </w:rPr>
              <w:t>”). I hereby confirm and agree that the equity held by My Spouse presently and in the future (hereinafter referred to as “</w:t>
            </w:r>
            <w:r>
              <w:rPr>
                <w:rFonts w:ascii="Arial" w:cs="Arial" w:eastAsia="Arial" w:hAnsi="Arial"/>
                <w:sz w:val="17"/>
                <w:szCs w:val="17"/>
                <w:b w:val="1"/>
                <w:bCs w:val="1"/>
                <w:color w:val="auto"/>
                <w:w w:val="93"/>
              </w:rPr>
              <w:t>Equity</w:t>
            </w:r>
          </w:p>
        </w:tc>
      </w:tr>
      <w:tr>
        <w:trPr>
          <w:trHeight w:val="20"/>
        </w:trPr>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and Interest</w:t>
      </w:r>
      <w:r>
        <w:rPr>
          <w:rFonts w:ascii="Arial" w:cs="Arial" w:eastAsia="Arial" w:hAnsi="Arial"/>
          <w:sz w:val="16"/>
          <w:szCs w:val="16"/>
          <w:color w:val="auto"/>
        </w:rPr>
        <w:t>”) is the personal property of My Spouse, do not form the common property of me and My Spouse and can be disposed solely by My Spouse: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1) The equity of Guangzhou Wudawei Education Technology Co., Ltd. (the “</w:t>
      </w:r>
      <w:r>
        <w:rPr>
          <w:rFonts w:ascii="Arial" w:cs="Arial" w:eastAsia="Arial" w:hAnsi="Arial"/>
          <w:sz w:val="17"/>
          <w:szCs w:val="17"/>
          <w:b w:val="1"/>
          <w:bCs w:val="1"/>
          <w:u w:val="single" w:color="auto"/>
          <w:color w:val="auto"/>
        </w:rPr>
        <w:t>Guangzhou Wudawei</w:t>
      </w:r>
      <w:r>
        <w:rPr>
          <w:rFonts w:ascii="Arial" w:cs="Arial" w:eastAsia="Arial" w:hAnsi="Arial"/>
          <w:sz w:val="17"/>
          <w:szCs w:val="17"/>
          <w:color w:val="auto"/>
        </w:rPr>
        <w: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hereby unconditionally and irrevocably waive any foregoing Equity and Interest, or any rights or Equity and Interest of the corresponding assets thereof which may be granted to me by any applicable laws, promise not to propose any claim regarding the foregoing Equity and Interest and the corresponding assets thereof, including proposing that the any of the foregoing Equity and Interest and its corresponding assets constitute the common property of me and My Spouse, and based upon such proposition, further claiming to participate in the routine operation management of the Shareholding Platform or Guangzhou Wudawei or affecting in any manner any decision made by My Spouse.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further confirm, promise and warrant that under any circumstance, My Spouse shall have the right to independently dispose any of the foregoing Equity and Interest he holds, and that I will not take any action that may affect or prevent the performance by My Spouse of the obligations under any transaction or transaction documents in connection with the foregoing Equity and Interest (including but not limited to, the series of controlling agreements signed by Guangzhou Wudawei and its shareholders and Wuhan Studyvip Online Education Co. Limited).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conclusion, validity, interpretation, performance, modification, termination and dispute settlement shall be governed by the laws of China. All parties to this Letter agree that any dispute arising out of the interpretation and performance of this Spousal Consents shall be firstly settled through amicable negotiations, or in case it cannot be settled within Thirty (30) days after one party issues a written notice to the other parties to the effect of requesting settlement through negotiations, either party may submit the dispute to China International Economic and Trade Arbitration Commission for arbitration subject to its then-currently effective arbitration rules. The arbitration shall be conducted at Beijing. The language of the arbitration shall be in English. The arbitration award shall be final and binding upon the parties.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This Spousal Consents is signed on the 14th day of September,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84390" cy="4127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5" w:name="page576"/>
    <w:bookmarkEnd w:id="575"/>
    <w:p>
      <w:pPr>
        <w:jc w:val="right"/>
        <w:ind w:right="2619"/>
        <w:spacing w:after="0"/>
        <w:rPr>
          <w:sz w:val="20"/>
          <w:szCs w:val="20"/>
          <w:color w:val="auto"/>
        </w:rPr>
      </w:pPr>
      <w:r>
        <w:rPr>
          <w:rFonts w:ascii="Arial" w:cs="Arial" w:eastAsia="Arial" w:hAnsi="Arial"/>
          <w:sz w:val="17"/>
          <w:szCs w:val="17"/>
          <w:color w:val="auto"/>
        </w:rPr>
        <w:t>[This page is the signature page to the Spousal Consents]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LIU Yameizi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LIU Yameizi</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LI Haohan hereby agrees and accepts this Spousal Consents: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Signature: </w:t>
      </w:r>
      <w:r>
        <w:rPr>
          <w:rFonts w:ascii="Arial" w:cs="Arial" w:eastAsia="Arial" w:hAnsi="Arial"/>
          <w:sz w:val="17"/>
          <w:szCs w:val="17"/>
          <w:u w:val="single" w:color="auto"/>
          <w:color w:val="auto"/>
        </w:rPr>
        <w:t>/s/ LI Haohan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Name: LI Haohan</w:t>
      </w:r>
    </w:p>
    <w:p>
      <w:pPr>
        <w:sectPr>
          <w:pgSz w:w="11900" w:h="16838" w:orient="portrait"/>
          <w:cols w:equalWidth="0" w:num="1">
            <w:col w:w="10139"/>
          </w:cols>
          <w:pgMar w:left="320" w:top="325" w:right="1440" w:bottom="1440" w:gutter="0" w:footer="0" w:header="0"/>
        </w:sectPr>
      </w:pPr>
    </w:p>
    <w:bookmarkStart w:id="576" w:name="page577"/>
    <w:bookmarkEnd w:id="576"/>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60" w:type="dxa"/>
            <w:vAlign w:val="bottom"/>
          </w:tcPr>
          <w:p>
            <w:pPr>
              <w:spacing w:after="0"/>
              <w:rPr>
                <w:sz w:val="20"/>
                <w:szCs w:val="20"/>
                <w:color w:val="auto"/>
              </w:rPr>
            </w:pPr>
          </w:p>
        </w:tc>
        <w:tc>
          <w:tcPr>
            <w:tcW w:w="6760" w:type="dxa"/>
            <w:vAlign w:val="bottom"/>
          </w:tcPr>
          <w:p>
            <w:pPr>
              <w:ind w:left="2860"/>
              <w:spacing w:after="0"/>
              <w:rPr>
                <w:sz w:val="20"/>
                <w:szCs w:val="20"/>
                <w:color w:val="auto"/>
              </w:rPr>
            </w:pPr>
            <w:r>
              <w:rPr>
                <w:rFonts w:ascii="Arial" w:cs="Arial" w:eastAsia="Arial" w:hAnsi="Arial"/>
                <w:sz w:val="18"/>
                <w:szCs w:val="18"/>
                <w:b w:val="1"/>
                <w:bCs w:val="1"/>
                <w:color w:val="auto"/>
                <w:w w:val="98"/>
              </w:rPr>
              <w:t>List of subsidiaries and VIEs of the Registrant</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4"/>
        </w:trPr>
        <w:tc>
          <w:tcPr>
            <w:tcW w:w="960" w:type="dxa"/>
            <w:vAlign w:val="bottom"/>
          </w:tcPr>
          <w:p>
            <w:pPr>
              <w:spacing w:after="0"/>
              <w:rPr>
                <w:sz w:val="20"/>
                <w:szCs w:val="20"/>
                <w:color w:val="auto"/>
              </w:rPr>
            </w:pPr>
            <w:r>
              <w:rPr>
                <w:rFonts w:ascii="Arial" w:cs="Arial" w:eastAsia="Arial" w:hAnsi="Arial"/>
                <w:sz w:val="18"/>
                <w:szCs w:val="18"/>
                <w:b w:val="1"/>
                <w:bCs w:val="1"/>
                <w:color w:val="auto"/>
                <w:w w:val="87"/>
              </w:rPr>
              <w:t>Subsidiaries</w:t>
            </w:r>
          </w:p>
        </w:tc>
        <w:tc>
          <w:tcPr>
            <w:tcW w:w="6760" w:type="dxa"/>
            <w:vAlign w:val="bottom"/>
          </w:tcPr>
          <w:p>
            <w:pPr>
              <w:spacing w:after="0"/>
              <w:rPr>
                <w:sz w:val="24"/>
                <w:szCs w:val="24"/>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b w:val="1"/>
                <w:bCs w:val="1"/>
                <w:color w:val="auto"/>
                <w:w w:val="91"/>
              </w:rPr>
              <w:t>Place of Incorporation</w:t>
            </w:r>
          </w:p>
        </w:tc>
      </w:tr>
      <w:tr>
        <w:trPr>
          <w:trHeight w:val="20"/>
        </w:trPr>
        <w:tc>
          <w:tcPr>
            <w:tcW w:w="9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433"/>
        </w:trPr>
        <w:tc>
          <w:tcPr>
            <w:tcW w:w="7720" w:type="dxa"/>
            <w:vAlign w:val="bottom"/>
            <w:gridSpan w:val="2"/>
          </w:tcPr>
          <w:p>
            <w:pPr>
              <w:spacing w:after="0"/>
              <w:rPr>
                <w:sz w:val="20"/>
                <w:szCs w:val="20"/>
                <w:color w:val="auto"/>
              </w:rPr>
            </w:pPr>
            <w:r>
              <w:rPr>
                <w:rFonts w:ascii="Arial" w:cs="Arial" w:eastAsia="Arial" w:hAnsi="Arial"/>
                <w:sz w:val="18"/>
                <w:szCs w:val="18"/>
                <w:color w:val="auto"/>
              </w:rPr>
              <w:t>Sunlands Online Education HK Limited</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Hong Kong</w:t>
            </w:r>
          </w:p>
        </w:tc>
      </w:tr>
      <w:tr>
        <w:trPr>
          <w:trHeight w:val="411"/>
        </w:trPr>
        <w:tc>
          <w:tcPr>
            <w:tcW w:w="7720" w:type="dxa"/>
            <w:vAlign w:val="bottom"/>
            <w:gridSpan w:val="2"/>
          </w:tcPr>
          <w:p>
            <w:pPr>
              <w:spacing w:after="0"/>
              <w:rPr>
                <w:sz w:val="20"/>
                <w:szCs w:val="20"/>
                <w:color w:val="auto"/>
              </w:rPr>
            </w:pPr>
            <w:r>
              <w:rPr>
                <w:rFonts w:ascii="Arial" w:cs="Arial" w:eastAsia="Arial" w:hAnsi="Arial"/>
                <w:sz w:val="18"/>
                <w:szCs w:val="18"/>
                <w:color w:val="auto"/>
              </w:rPr>
              <w:t>Cheerwins Technology Group</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Cayman</w:t>
            </w:r>
          </w:p>
        </w:tc>
      </w:tr>
      <w:tr>
        <w:trPr>
          <w:trHeight w:val="411"/>
        </w:trPr>
        <w:tc>
          <w:tcPr>
            <w:tcW w:w="7720" w:type="dxa"/>
            <w:vAlign w:val="bottom"/>
            <w:gridSpan w:val="2"/>
          </w:tcPr>
          <w:p>
            <w:pPr>
              <w:spacing w:after="0"/>
              <w:rPr>
                <w:sz w:val="20"/>
                <w:szCs w:val="20"/>
                <w:color w:val="auto"/>
              </w:rPr>
            </w:pPr>
            <w:r>
              <w:rPr>
                <w:rFonts w:ascii="Arial" w:cs="Arial" w:eastAsia="Arial" w:hAnsi="Arial"/>
                <w:sz w:val="18"/>
                <w:szCs w:val="18"/>
                <w:color w:val="auto"/>
              </w:rPr>
              <w:t>Cheerwins Online Education HK Limited</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Hong Kong</w:t>
            </w:r>
          </w:p>
        </w:tc>
      </w:tr>
      <w:tr>
        <w:trPr>
          <w:trHeight w:val="411"/>
        </w:trPr>
        <w:tc>
          <w:tcPr>
            <w:tcW w:w="7720" w:type="dxa"/>
            <w:vAlign w:val="bottom"/>
            <w:gridSpan w:val="2"/>
          </w:tcPr>
          <w:p>
            <w:pPr>
              <w:spacing w:after="0"/>
              <w:rPr>
                <w:sz w:val="20"/>
                <w:szCs w:val="20"/>
                <w:color w:val="auto"/>
              </w:rPr>
            </w:pPr>
            <w:r>
              <w:rPr>
                <w:rFonts w:ascii="Arial" w:cs="Arial" w:eastAsia="Arial" w:hAnsi="Arial"/>
                <w:sz w:val="18"/>
                <w:szCs w:val="18"/>
                <w:color w:val="auto"/>
              </w:rPr>
              <w:t>Wuhan Studyvip Online Education Co., Ltd.</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PRC</w:t>
            </w:r>
          </w:p>
        </w:tc>
      </w:tr>
      <w:tr>
        <w:trPr>
          <w:trHeight w:val="411"/>
        </w:trPr>
        <w:tc>
          <w:tcPr>
            <w:tcW w:w="7720" w:type="dxa"/>
            <w:vAlign w:val="bottom"/>
            <w:gridSpan w:val="2"/>
          </w:tcPr>
          <w:p>
            <w:pPr>
              <w:spacing w:after="0"/>
              <w:rPr>
                <w:sz w:val="20"/>
                <w:szCs w:val="20"/>
                <w:color w:val="auto"/>
              </w:rPr>
            </w:pPr>
            <w:r>
              <w:rPr>
                <w:rFonts w:ascii="Arial" w:cs="Arial" w:eastAsia="Arial" w:hAnsi="Arial"/>
                <w:sz w:val="18"/>
                <w:szCs w:val="18"/>
                <w:color w:val="auto"/>
              </w:rPr>
              <w:t>Tianjin Studyvip Education Co., Limited</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PRC</w:t>
            </w:r>
          </w:p>
        </w:tc>
      </w:tr>
      <w:tr>
        <w:trPr>
          <w:trHeight w:val="411"/>
        </w:trPr>
        <w:tc>
          <w:tcPr>
            <w:tcW w:w="7720" w:type="dxa"/>
            <w:vAlign w:val="bottom"/>
            <w:gridSpan w:val="2"/>
          </w:tcPr>
          <w:p>
            <w:pPr>
              <w:spacing w:after="0"/>
              <w:rPr>
                <w:sz w:val="20"/>
                <w:szCs w:val="20"/>
                <w:color w:val="auto"/>
              </w:rPr>
            </w:pPr>
            <w:r>
              <w:rPr>
                <w:rFonts w:ascii="Arial" w:cs="Arial" w:eastAsia="Arial" w:hAnsi="Arial"/>
                <w:sz w:val="18"/>
                <w:szCs w:val="18"/>
                <w:color w:val="auto"/>
              </w:rPr>
              <w:t>Wuhan Shangde Online Education Technology Co., Ltd</w:t>
            </w: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PRC</w:t>
            </w:r>
          </w:p>
        </w:tc>
      </w:tr>
    </w:tbl>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b w:val="1"/>
                <w:bCs w:val="1"/>
                <w:color w:val="auto"/>
                <w:w w:val="97"/>
              </w:rPr>
              <w:t>VIEs</w:t>
            </w:r>
          </w:p>
        </w:tc>
        <w:tc>
          <w:tcPr>
            <w:tcW w:w="5860" w:type="dxa"/>
            <w:vAlign w:val="bottom"/>
          </w:tcPr>
          <w:p>
            <w:pPr>
              <w:spacing w:after="0"/>
              <w:rPr>
                <w:sz w:val="17"/>
                <w:szCs w:val="17"/>
                <w:color w:val="auto"/>
              </w:rPr>
            </w:pPr>
          </w:p>
        </w:tc>
        <w:tc>
          <w:tcPr>
            <w:tcW w:w="3500" w:type="dxa"/>
            <w:vAlign w:val="bottom"/>
            <w:gridSpan w:val="2"/>
          </w:tcPr>
          <w:p>
            <w:pPr>
              <w:ind w:left="1740"/>
              <w:spacing w:after="0"/>
              <w:rPr>
                <w:sz w:val="20"/>
                <w:szCs w:val="20"/>
                <w:color w:val="auto"/>
              </w:rPr>
            </w:pPr>
            <w:r>
              <w:rPr>
                <w:rFonts w:ascii="Arial" w:cs="Arial" w:eastAsia="Arial" w:hAnsi="Arial"/>
                <w:sz w:val="18"/>
                <w:szCs w:val="18"/>
                <w:b w:val="1"/>
                <w:bCs w:val="1"/>
                <w:color w:val="auto"/>
                <w:w w:val="91"/>
              </w:rPr>
              <w:t>Place of Incorporation</w:t>
            </w:r>
          </w:p>
        </w:tc>
      </w:tr>
      <w:tr>
        <w:trPr>
          <w:trHeight w:val="20"/>
        </w:trPr>
        <w:tc>
          <w:tcPr>
            <w:tcW w:w="40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433"/>
        </w:trPr>
        <w:tc>
          <w:tcPr>
            <w:tcW w:w="6260" w:type="dxa"/>
            <w:vAlign w:val="bottom"/>
            <w:gridSpan w:val="2"/>
          </w:tcPr>
          <w:p>
            <w:pPr>
              <w:spacing w:after="0"/>
              <w:rPr>
                <w:sz w:val="20"/>
                <w:szCs w:val="20"/>
                <w:color w:val="auto"/>
              </w:rPr>
            </w:pPr>
            <w:r>
              <w:rPr>
                <w:rFonts w:ascii="Arial" w:cs="Arial" w:eastAsia="Arial" w:hAnsi="Arial"/>
                <w:sz w:val="18"/>
                <w:szCs w:val="18"/>
                <w:color w:val="auto"/>
              </w:rPr>
              <w:t>Beijing Shangde Online Education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r>
        <w:trPr>
          <w:trHeight w:val="411"/>
        </w:trPr>
        <w:tc>
          <w:tcPr>
            <w:tcW w:w="6260" w:type="dxa"/>
            <w:vAlign w:val="bottom"/>
            <w:gridSpan w:val="2"/>
          </w:tcPr>
          <w:p>
            <w:pPr>
              <w:spacing w:after="0"/>
              <w:rPr>
                <w:sz w:val="20"/>
                <w:szCs w:val="20"/>
                <w:color w:val="auto"/>
              </w:rPr>
            </w:pPr>
            <w:r>
              <w:rPr>
                <w:rFonts w:ascii="Arial" w:cs="Arial" w:eastAsia="Arial" w:hAnsi="Arial"/>
                <w:sz w:val="18"/>
                <w:szCs w:val="18"/>
                <w:color w:val="auto"/>
              </w:rPr>
              <w:t>Tianjin Shangde Online Education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r>
        <w:trPr>
          <w:trHeight w:val="411"/>
        </w:trPr>
        <w:tc>
          <w:tcPr>
            <w:tcW w:w="6260" w:type="dxa"/>
            <w:vAlign w:val="bottom"/>
            <w:gridSpan w:val="2"/>
          </w:tcPr>
          <w:p>
            <w:pPr>
              <w:spacing w:after="0"/>
              <w:rPr>
                <w:sz w:val="20"/>
                <w:szCs w:val="20"/>
                <w:color w:val="auto"/>
              </w:rPr>
            </w:pPr>
            <w:r>
              <w:rPr>
                <w:rFonts w:ascii="Arial" w:cs="Arial" w:eastAsia="Arial" w:hAnsi="Arial"/>
                <w:sz w:val="18"/>
                <w:szCs w:val="18"/>
                <w:color w:val="auto"/>
              </w:rPr>
              <w:t>Wuhan Jiayan Online Education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r>
        <w:trPr>
          <w:trHeight w:val="411"/>
        </w:trPr>
        <w:tc>
          <w:tcPr>
            <w:tcW w:w="6260" w:type="dxa"/>
            <w:vAlign w:val="bottom"/>
            <w:gridSpan w:val="2"/>
          </w:tcPr>
          <w:p>
            <w:pPr>
              <w:spacing w:after="0"/>
              <w:rPr>
                <w:sz w:val="20"/>
                <w:szCs w:val="20"/>
                <w:color w:val="auto"/>
              </w:rPr>
            </w:pPr>
            <w:r>
              <w:rPr>
                <w:rFonts w:ascii="Arial" w:cs="Arial" w:eastAsia="Arial" w:hAnsi="Arial"/>
                <w:sz w:val="18"/>
                <w:szCs w:val="18"/>
                <w:color w:val="auto"/>
              </w:rPr>
              <w:t>Beijing Odysseus Education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r>
        <w:trPr>
          <w:trHeight w:val="411"/>
        </w:trPr>
        <w:tc>
          <w:tcPr>
            <w:tcW w:w="6260" w:type="dxa"/>
            <w:vAlign w:val="bottom"/>
            <w:gridSpan w:val="2"/>
          </w:tcPr>
          <w:p>
            <w:pPr>
              <w:spacing w:after="0"/>
              <w:rPr>
                <w:sz w:val="20"/>
                <w:szCs w:val="20"/>
                <w:color w:val="auto"/>
              </w:rPr>
            </w:pPr>
            <w:r>
              <w:rPr>
                <w:rFonts w:ascii="Arial" w:cs="Arial" w:eastAsia="Arial" w:hAnsi="Arial"/>
                <w:sz w:val="18"/>
                <w:szCs w:val="18"/>
                <w:color w:val="auto"/>
              </w:rPr>
              <w:t>Beijing Feibian Education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r>
        <w:trPr>
          <w:trHeight w:val="411"/>
        </w:trPr>
        <w:tc>
          <w:tcPr>
            <w:tcW w:w="6260" w:type="dxa"/>
            <w:vAlign w:val="bottom"/>
            <w:gridSpan w:val="2"/>
          </w:tcPr>
          <w:p>
            <w:pPr>
              <w:spacing w:after="0"/>
              <w:rPr>
                <w:sz w:val="20"/>
                <w:szCs w:val="20"/>
                <w:color w:val="auto"/>
              </w:rPr>
            </w:pPr>
            <w:r>
              <w:rPr>
                <w:rFonts w:ascii="Arial" w:cs="Arial" w:eastAsia="Arial" w:hAnsi="Arial"/>
                <w:sz w:val="18"/>
                <w:szCs w:val="18"/>
                <w:color w:val="auto"/>
              </w:rPr>
              <w:t>Guangzhou Wudawei Education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r>
        <w:trPr>
          <w:trHeight w:val="411"/>
        </w:trPr>
        <w:tc>
          <w:tcPr>
            <w:tcW w:w="6260" w:type="dxa"/>
            <w:vAlign w:val="bottom"/>
            <w:gridSpan w:val="2"/>
          </w:tcPr>
          <w:p>
            <w:pPr>
              <w:spacing w:after="0"/>
              <w:rPr>
                <w:sz w:val="20"/>
                <w:szCs w:val="20"/>
                <w:color w:val="auto"/>
              </w:rPr>
            </w:pPr>
            <w:r>
              <w:rPr>
                <w:rFonts w:ascii="Arial" w:cs="Arial" w:eastAsia="Arial" w:hAnsi="Arial"/>
                <w:sz w:val="18"/>
                <w:szCs w:val="18"/>
                <w:color w:val="auto"/>
              </w:rPr>
              <w:t>Guangzhou Tianyong Online Education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r>
        <w:trPr>
          <w:trHeight w:val="411"/>
        </w:trPr>
        <w:tc>
          <w:tcPr>
            <w:tcW w:w="6260" w:type="dxa"/>
            <w:vAlign w:val="bottom"/>
            <w:gridSpan w:val="2"/>
          </w:tcPr>
          <w:p>
            <w:pPr>
              <w:spacing w:after="0"/>
              <w:rPr>
                <w:sz w:val="20"/>
                <w:szCs w:val="20"/>
                <w:color w:val="auto"/>
              </w:rPr>
            </w:pPr>
            <w:r>
              <w:rPr>
                <w:rFonts w:ascii="Arial" w:cs="Arial" w:eastAsia="Arial" w:hAnsi="Arial"/>
                <w:sz w:val="18"/>
                <w:szCs w:val="18"/>
                <w:color w:val="auto"/>
              </w:rPr>
              <w:t>Wuhan Hadeliang Online Education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r>
        <w:trPr>
          <w:trHeight w:val="411"/>
        </w:trPr>
        <w:tc>
          <w:tcPr>
            <w:tcW w:w="6260" w:type="dxa"/>
            <w:vAlign w:val="bottom"/>
            <w:gridSpan w:val="2"/>
          </w:tcPr>
          <w:p>
            <w:pPr>
              <w:spacing w:after="0"/>
              <w:rPr>
                <w:sz w:val="20"/>
                <w:szCs w:val="20"/>
                <w:color w:val="auto"/>
              </w:rPr>
            </w:pPr>
            <w:r>
              <w:rPr>
                <w:rFonts w:ascii="Arial" w:cs="Arial" w:eastAsia="Arial" w:hAnsi="Arial"/>
                <w:sz w:val="18"/>
                <w:szCs w:val="18"/>
                <w:color w:val="auto"/>
              </w:rPr>
              <w:t>Wuhan Fangtang Education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r>
        <w:trPr>
          <w:trHeight w:val="411"/>
        </w:trPr>
        <w:tc>
          <w:tcPr>
            <w:tcW w:w="6260" w:type="dxa"/>
            <w:vAlign w:val="bottom"/>
            <w:gridSpan w:val="2"/>
          </w:tcPr>
          <w:p>
            <w:pPr>
              <w:spacing w:after="0"/>
              <w:rPr>
                <w:sz w:val="20"/>
                <w:szCs w:val="20"/>
                <w:color w:val="auto"/>
              </w:rPr>
            </w:pPr>
            <w:r>
              <w:rPr>
                <w:rFonts w:ascii="Arial" w:cs="Arial" w:eastAsia="Arial" w:hAnsi="Arial"/>
                <w:sz w:val="18"/>
                <w:szCs w:val="18"/>
                <w:color w:val="auto"/>
              </w:rPr>
              <w:t>Beijing Zhiziyuanshui Education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r>
        <w:trPr>
          <w:trHeight w:val="411"/>
        </w:trPr>
        <w:tc>
          <w:tcPr>
            <w:tcW w:w="6260" w:type="dxa"/>
            <w:vAlign w:val="bottom"/>
            <w:gridSpan w:val="2"/>
          </w:tcPr>
          <w:p>
            <w:pPr>
              <w:spacing w:after="0"/>
              <w:rPr>
                <w:sz w:val="20"/>
                <w:szCs w:val="20"/>
                <w:color w:val="auto"/>
              </w:rPr>
            </w:pPr>
            <w:r>
              <w:rPr>
                <w:rFonts w:ascii="Arial" w:cs="Arial" w:eastAsia="Arial" w:hAnsi="Arial"/>
                <w:sz w:val="18"/>
                <w:szCs w:val="18"/>
                <w:color w:val="auto"/>
              </w:rPr>
              <w:t>Wuhan Xiaoyan Technology Co., Ltd.</w:t>
            </w:r>
          </w:p>
        </w:tc>
        <w:tc>
          <w:tcPr>
            <w:tcW w:w="3500" w:type="dxa"/>
            <w:vAlign w:val="bottom"/>
            <w:gridSpan w:val="2"/>
          </w:tcPr>
          <w:p>
            <w:pPr>
              <w:ind w:left="1740"/>
              <w:spacing w:after="0"/>
              <w:rPr>
                <w:sz w:val="20"/>
                <w:szCs w:val="20"/>
                <w:color w:val="auto"/>
              </w:rPr>
            </w:pPr>
            <w:r>
              <w:rPr>
                <w:rFonts w:ascii="Arial" w:cs="Arial" w:eastAsia="Arial" w:hAnsi="Arial"/>
                <w:sz w:val="18"/>
                <w:szCs w:val="18"/>
                <w:color w:val="auto"/>
              </w:rPr>
              <w:t>PRC</w:t>
            </w:r>
          </w:p>
        </w:tc>
      </w:tr>
    </w:tbl>
    <w:p>
      <w:pPr>
        <w:sectPr>
          <w:pgSz w:w="11900" w:h="16838" w:orient="portrait"/>
          <w:cols w:equalWidth="0" w:num="1">
            <w:col w:w="11240"/>
          </w:cols>
          <w:pgMar w:left="320" w:top="318" w:right="339" w:bottom="1440" w:gutter="0" w:footer="0" w:header="0"/>
        </w:sectPr>
      </w:pPr>
    </w:p>
    <w:bookmarkStart w:id="577" w:name="page578"/>
    <w:bookmarkEnd w:id="577"/>
    <w:p>
      <w:pPr>
        <w:jc w:val="right"/>
        <w:spacing w:after="0"/>
        <w:rPr>
          <w:sz w:val="20"/>
          <w:szCs w:val="20"/>
          <w:color w:val="auto"/>
        </w:rPr>
      </w:pPr>
      <w:r>
        <w:rPr>
          <w:rFonts w:ascii="Arial" w:cs="Arial" w:eastAsia="Arial" w:hAnsi="Arial"/>
          <w:sz w:val="18"/>
          <w:szCs w:val="18"/>
          <w:b w:val="1"/>
          <w:bCs w:val="1"/>
          <w:color w:val="auto"/>
        </w:rPr>
        <w:t>Exhibit 12.1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 Tongbo Liu, certify that:</w:t>
      </w:r>
    </w:p>
    <w:p>
      <w:pPr>
        <w:spacing w:after="0" w:line="204" w:lineRule="exact"/>
        <w:rPr>
          <w:sz w:val="20"/>
          <w:szCs w:val="20"/>
          <w:color w:val="auto"/>
        </w:rPr>
      </w:pPr>
    </w:p>
    <w:p>
      <w:pPr>
        <w:ind w:left="1500" w:hanging="753"/>
        <w:spacing w:after="0"/>
        <w:tabs>
          <w:tab w:leader="none" w:pos="15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Sunlands Technology Group (the “Company”);</w:t>
      </w:r>
    </w:p>
    <w:p>
      <w:pPr>
        <w:spacing w:after="0" w:line="204" w:lineRule="exact"/>
        <w:rPr>
          <w:rFonts w:ascii="Arial" w:cs="Arial" w:eastAsia="Arial" w:hAnsi="Arial"/>
          <w:sz w:val="18"/>
          <w:szCs w:val="18"/>
          <w:color w:val="auto"/>
        </w:rPr>
      </w:pPr>
    </w:p>
    <w:p>
      <w:pPr>
        <w:ind w:left="1500" w:right="20" w:hanging="753"/>
        <w:spacing w:after="0" w:line="260" w:lineRule="auto"/>
        <w:tabs>
          <w:tab w:leader="none" w:pos="15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1500" w:right="60" w:hanging="753"/>
        <w:spacing w:after="0" w:line="260" w:lineRule="auto"/>
        <w:tabs>
          <w:tab w:leader="none" w:pos="15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Arial" w:cs="Arial" w:eastAsia="Arial" w:hAnsi="Arial"/>
          <w:sz w:val="18"/>
          <w:szCs w:val="18"/>
          <w:color w:val="auto"/>
        </w:rPr>
      </w:pPr>
    </w:p>
    <w:p>
      <w:pPr>
        <w:ind w:left="1500" w:right="80" w:hanging="753"/>
        <w:spacing w:after="0" w:line="275" w:lineRule="auto"/>
        <w:tabs>
          <w:tab w:leader="none" w:pos="15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48" w:lineRule="exact"/>
        <w:rPr>
          <w:rFonts w:ascii="Arial" w:cs="Arial" w:eastAsia="Arial" w:hAnsi="Arial"/>
          <w:sz w:val="18"/>
          <w:szCs w:val="18"/>
          <w:color w:val="auto"/>
        </w:rPr>
      </w:pPr>
    </w:p>
    <w:p>
      <w:pPr>
        <w:ind w:left="2240" w:right="40" w:hanging="746"/>
        <w:spacing w:after="0" w:line="308" w:lineRule="auto"/>
        <w:tabs>
          <w:tab w:leader="none" w:pos="2240" w:val="left"/>
        </w:tabs>
        <w:numPr>
          <w:ilvl w:val="1"/>
          <w:numId w:val="6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6"/>
          <w:szCs w:val="16"/>
          <w:color w:val="auto"/>
        </w:rPr>
      </w:pPr>
    </w:p>
    <w:p>
      <w:pPr>
        <w:ind w:left="2240" w:right="220" w:hanging="746"/>
        <w:spacing w:after="0" w:line="260" w:lineRule="auto"/>
        <w:tabs>
          <w:tab w:leader="none" w:pos="224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8"/>
          <w:szCs w:val="18"/>
          <w:color w:val="auto"/>
        </w:rPr>
      </w:pPr>
    </w:p>
    <w:p>
      <w:pPr>
        <w:ind w:left="2240" w:right="80" w:hanging="746"/>
        <w:spacing w:after="0" w:line="260" w:lineRule="auto"/>
        <w:tabs>
          <w:tab w:leader="none" w:pos="224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Arial" w:cs="Arial" w:eastAsia="Arial" w:hAnsi="Arial"/>
          <w:sz w:val="18"/>
          <w:szCs w:val="18"/>
          <w:color w:val="auto"/>
        </w:rPr>
      </w:pPr>
    </w:p>
    <w:p>
      <w:pPr>
        <w:ind w:left="1500" w:right="200" w:hanging="753"/>
        <w:spacing w:after="0" w:line="260" w:lineRule="auto"/>
        <w:tabs>
          <w:tab w:leader="none" w:pos="15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Arial" w:cs="Arial" w:eastAsia="Arial" w:hAnsi="Arial"/>
          <w:sz w:val="18"/>
          <w:szCs w:val="18"/>
          <w:color w:val="auto"/>
        </w:rPr>
      </w:pPr>
    </w:p>
    <w:p>
      <w:pPr>
        <w:ind w:left="2240" w:right="140" w:hanging="746"/>
        <w:spacing w:after="0" w:line="260" w:lineRule="auto"/>
        <w:tabs>
          <w:tab w:leader="none" w:pos="224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Arial" w:cs="Arial" w:eastAsia="Arial" w:hAnsi="Arial"/>
          <w:sz w:val="18"/>
          <w:szCs w:val="18"/>
          <w:color w:val="auto"/>
        </w:rPr>
      </w:pPr>
    </w:p>
    <w:p>
      <w:pPr>
        <w:ind w:left="2240" w:right="520" w:hanging="746"/>
        <w:spacing w:after="0" w:line="275" w:lineRule="auto"/>
        <w:tabs>
          <w:tab w:leader="none" w:pos="224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4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Date: April 16, 2021</w:t>
      </w:r>
    </w:p>
    <w:p>
      <w:pPr>
        <w:spacing w:after="0" w:line="200" w:lineRule="exact"/>
        <w:rPr>
          <w:sz w:val="20"/>
          <w:szCs w:val="20"/>
          <w:color w:val="auto"/>
        </w:rPr>
      </w:pPr>
    </w:p>
    <w:p>
      <w:pPr>
        <w:spacing w:after="0" w:line="203" w:lineRule="exact"/>
        <w:rPr>
          <w:sz w:val="20"/>
          <w:szCs w:val="20"/>
          <w:color w:val="auto"/>
        </w:rPr>
      </w:pPr>
    </w:p>
    <w:tbl>
      <w:tblPr>
        <w:tblLayout w:type="fixed"/>
        <w:tblInd w:w="600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Tongbo Liu</w:t>
            </w:r>
          </w:p>
        </w:tc>
      </w:tr>
      <w:tr>
        <w:trPr>
          <w:trHeight w:val="187"/>
        </w:trPr>
        <w:tc>
          <w:tcPr>
            <w:tcW w:w="680" w:type="dxa"/>
            <w:vAlign w:val="bottom"/>
          </w:tcPr>
          <w:p>
            <w:pPr>
              <w:spacing w:after="0" w:line="188" w:lineRule="exact"/>
              <w:rPr>
                <w:sz w:val="20"/>
                <w:szCs w:val="20"/>
                <w:color w:val="auto"/>
              </w:rPr>
            </w:pPr>
            <w:r>
              <w:rPr>
                <w:rFonts w:ascii="Arial" w:cs="Arial" w:eastAsia="Arial" w:hAnsi="Arial"/>
                <w:sz w:val="18"/>
                <w:szCs w:val="18"/>
                <w:color w:val="auto"/>
              </w:rPr>
              <w:t>Name:</w:t>
            </w:r>
          </w:p>
        </w:tc>
        <w:tc>
          <w:tcPr>
            <w:tcW w:w="3500" w:type="dxa"/>
            <w:vAlign w:val="bottom"/>
          </w:tcPr>
          <w:p>
            <w:pPr>
              <w:spacing w:after="0" w:line="188" w:lineRule="exact"/>
              <w:rPr>
                <w:sz w:val="20"/>
                <w:szCs w:val="20"/>
                <w:color w:val="auto"/>
              </w:rPr>
            </w:pPr>
            <w:r>
              <w:rPr>
                <w:rFonts w:ascii="Arial" w:cs="Arial" w:eastAsia="Arial" w:hAnsi="Arial"/>
                <w:sz w:val="18"/>
                <w:szCs w:val="18"/>
                <w:color w:val="auto"/>
              </w:rPr>
              <w:t>Tongbo Liu</w:t>
            </w:r>
          </w:p>
        </w:tc>
      </w:tr>
      <w:tr>
        <w:trPr>
          <w:trHeight w:val="233"/>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8" w:right="339" w:bottom="1440" w:gutter="0" w:footer="0" w:header="0"/>
        </w:sectPr>
      </w:pPr>
    </w:p>
    <w:bookmarkStart w:id="578" w:name="page579"/>
    <w:bookmarkEnd w:id="578"/>
    <w:p>
      <w:pPr>
        <w:jc w:val="right"/>
        <w:spacing w:after="0"/>
        <w:rPr>
          <w:sz w:val="20"/>
          <w:szCs w:val="20"/>
          <w:color w:val="auto"/>
        </w:rPr>
      </w:pPr>
      <w:r>
        <w:rPr>
          <w:rFonts w:ascii="Arial" w:cs="Arial" w:eastAsia="Arial" w:hAnsi="Arial"/>
          <w:sz w:val="18"/>
          <w:szCs w:val="18"/>
          <w:b w:val="1"/>
          <w:bCs w:val="1"/>
          <w:color w:val="auto"/>
        </w:rPr>
        <w:t>Exhibit 12.2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 Lv Lu, certify that:</w:t>
      </w:r>
    </w:p>
    <w:p>
      <w:pPr>
        <w:spacing w:after="0" w:line="204" w:lineRule="exact"/>
        <w:rPr>
          <w:sz w:val="20"/>
          <w:szCs w:val="20"/>
          <w:color w:val="auto"/>
        </w:rPr>
      </w:pPr>
    </w:p>
    <w:p>
      <w:pPr>
        <w:ind w:left="1500" w:hanging="753"/>
        <w:spacing w:after="0"/>
        <w:tabs>
          <w:tab w:leader="none" w:pos="15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Sunlands Technology Group (the “Company”);</w:t>
      </w:r>
    </w:p>
    <w:p>
      <w:pPr>
        <w:spacing w:after="0" w:line="204" w:lineRule="exact"/>
        <w:rPr>
          <w:rFonts w:ascii="Arial" w:cs="Arial" w:eastAsia="Arial" w:hAnsi="Arial"/>
          <w:sz w:val="18"/>
          <w:szCs w:val="18"/>
          <w:color w:val="auto"/>
        </w:rPr>
      </w:pPr>
    </w:p>
    <w:p>
      <w:pPr>
        <w:ind w:left="1500" w:right="20" w:hanging="753"/>
        <w:spacing w:after="0" w:line="260" w:lineRule="auto"/>
        <w:tabs>
          <w:tab w:leader="none" w:pos="15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1500" w:right="60" w:hanging="753"/>
        <w:spacing w:after="0" w:line="260" w:lineRule="auto"/>
        <w:tabs>
          <w:tab w:leader="none" w:pos="15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Arial" w:cs="Arial" w:eastAsia="Arial" w:hAnsi="Arial"/>
          <w:sz w:val="18"/>
          <w:szCs w:val="18"/>
          <w:color w:val="auto"/>
        </w:rPr>
      </w:pPr>
    </w:p>
    <w:p>
      <w:pPr>
        <w:ind w:left="1500" w:right="80" w:hanging="753"/>
        <w:spacing w:after="0" w:line="275" w:lineRule="auto"/>
        <w:tabs>
          <w:tab w:leader="none" w:pos="15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48" w:lineRule="exact"/>
        <w:rPr>
          <w:rFonts w:ascii="Arial" w:cs="Arial" w:eastAsia="Arial" w:hAnsi="Arial"/>
          <w:sz w:val="18"/>
          <w:szCs w:val="18"/>
          <w:color w:val="auto"/>
        </w:rPr>
      </w:pPr>
    </w:p>
    <w:p>
      <w:pPr>
        <w:ind w:left="2240" w:right="40" w:hanging="746"/>
        <w:spacing w:after="0" w:line="308" w:lineRule="auto"/>
        <w:tabs>
          <w:tab w:leader="none" w:pos="2240" w:val="left"/>
        </w:tabs>
        <w:numPr>
          <w:ilvl w:val="1"/>
          <w:numId w:val="6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6"/>
          <w:szCs w:val="16"/>
          <w:color w:val="auto"/>
        </w:rPr>
      </w:pPr>
    </w:p>
    <w:p>
      <w:pPr>
        <w:ind w:left="2240" w:right="220" w:hanging="746"/>
        <w:spacing w:after="0" w:line="260" w:lineRule="auto"/>
        <w:tabs>
          <w:tab w:leader="none" w:pos="2240" w:val="left"/>
        </w:tabs>
        <w:numPr>
          <w:ilvl w:val="1"/>
          <w:numId w:val="65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8"/>
          <w:szCs w:val="18"/>
          <w:color w:val="auto"/>
        </w:rPr>
      </w:pPr>
    </w:p>
    <w:p>
      <w:pPr>
        <w:ind w:left="2240" w:right="80" w:hanging="746"/>
        <w:spacing w:after="0" w:line="260" w:lineRule="auto"/>
        <w:tabs>
          <w:tab w:leader="none" w:pos="2240" w:val="left"/>
        </w:tabs>
        <w:numPr>
          <w:ilvl w:val="1"/>
          <w:numId w:val="65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Arial" w:cs="Arial" w:eastAsia="Arial" w:hAnsi="Arial"/>
          <w:sz w:val="18"/>
          <w:szCs w:val="18"/>
          <w:color w:val="auto"/>
        </w:rPr>
      </w:pPr>
    </w:p>
    <w:p>
      <w:pPr>
        <w:ind w:left="1500" w:right="200" w:hanging="753"/>
        <w:spacing w:after="0" w:line="260" w:lineRule="auto"/>
        <w:tabs>
          <w:tab w:leader="none" w:pos="15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Arial" w:cs="Arial" w:eastAsia="Arial" w:hAnsi="Arial"/>
          <w:sz w:val="18"/>
          <w:szCs w:val="18"/>
          <w:color w:val="auto"/>
        </w:rPr>
      </w:pPr>
    </w:p>
    <w:p>
      <w:pPr>
        <w:ind w:left="2240" w:right="140" w:hanging="746"/>
        <w:spacing w:after="0" w:line="260" w:lineRule="auto"/>
        <w:tabs>
          <w:tab w:leader="none" w:pos="2240" w:val="left"/>
        </w:tabs>
        <w:numPr>
          <w:ilvl w:val="1"/>
          <w:numId w:val="6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Arial" w:cs="Arial" w:eastAsia="Arial" w:hAnsi="Arial"/>
          <w:sz w:val="18"/>
          <w:szCs w:val="18"/>
          <w:color w:val="auto"/>
        </w:rPr>
      </w:pPr>
    </w:p>
    <w:p>
      <w:pPr>
        <w:ind w:left="2240" w:right="520" w:hanging="746"/>
        <w:spacing w:after="0" w:line="275" w:lineRule="auto"/>
        <w:tabs>
          <w:tab w:leader="none" w:pos="2240" w:val="left"/>
        </w:tabs>
        <w:numPr>
          <w:ilvl w:val="1"/>
          <w:numId w:val="6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4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Date: April 16, 2021</w:t>
      </w:r>
    </w:p>
    <w:p>
      <w:pPr>
        <w:spacing w:after="0" w:line="200" w:lineRule="exact"/>
        <w:rPr>
          <w:sz w:val="20"/>
          <w:szCs w:val="20"/>
          <w:color w:val="auto"/>
        </w:rPr>
      </w:pPr>
    </w:p>
    <w:p>
      <w:pPr>
        <w:spacing w:after="0" w:line="203" w:lineRule="exact"/>
        <w:rPr>
          <w:sz w:val="20"/>
          <w:szCs w:val="20"/>
          <w:color w:val="auto"/>
        </w:rPr>
      </w:pPr>
    </w:p>
    <w:tbl>
      <w:tblPr>
        <w:tblLayout w:type="fixed"/>
        <w:tblInd w:w="600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Lv Lu</w:t>
            </w:r>
          </w:p>
        </w:tc>
      </w:tr>
      <w:tr>
        <w:trPr>
          <w:trHeight w:val="187"/>
        </w:trPr>
        <w:tc>
          <w:tcPr>
            <w:tcW w:w="680" w:type="dxa"/>
            <w:vAlign w:val="bottom"/>
          </w:tcPr>
          <w:p>
            <w:pPr>
              <w:spacing w:after="0" w:line="188" w:lineRule="exact"/>
              <w:rPr>
                <w:sz w:val="20"/>
                <w:szCs w:val="20"/>
                <w:color w:val="auto"/>
              </w:rPr>
            </w:pPr>
            <w:r>
              <w:rPr>
                <w:rFonts w:ascii="Arial" w:cs="Arial" w:eastAsia="Arial" w:hAnsi="Arial"/>
                <w:sz w:val="18"/>
                <w:szCs w:val="18"/>
                <w:color w:val="auto"/>
              </w:rPr>
              <w:t>Name:</w:t>
            </w:r>
          </w:p>
        </w:tc>
        <w:tc>
          <w:tcPr>
            <w:tcW w:w="3500" w:type="dxa"/>
            <w:vAlign w:val="bottom"/>
          </w:tcPr>
          <w:p>
            <w:pPr>
              <w:spacing w:after="0" w:line="188" w:lineRule="exact"/>
              <w:rPr>
                <w:sz w:val="20"/>
                <w:szCs w:val="20"/>
                <w:color w:val="auto"/>
              </w:rPr>
            </w:pPr>
            <w:r>
              <w:rPr>
                <w:rFonts w:ascii="Arial" w:cs="Arial" w:eastAsia="Arial" w:hAnsi="Arial"/>
                <w:sz w:val="18"/>
                <w:szCs w:val="18"/>
                <w:color w:val="auto"/>
              </w:rPr>
              <w:t>Lv Lu</w:t>
            </w:r>
          </w:p>
        </w:tc>
      </w:tr>
      <w:tr>
        <w:trPr>
          <w:trHeight w:val="233"/>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18" w:right="339" w:bottom="1440" w:gutter="0" w:footer="0" w:header="0"/>
        </w:sectPr>
      </w:pPr>
    </w:p>
    <w:bookmarkStart w:id="579" w:name="page580"/>
    <w:bookmarkEnd w:id="579"/>
    <w:p>
      <w:pPr>
        <w:jc w:val="right"/>
        <w:spacing w:after="0"/>
        <w:rPr>
          <w:sz w:val="20"/>
          <w:szCs w:val="20"/>
          <w:color w:val="auto"/>
        </w:rPr>
      </w:pPr>
      <w:r>
        <w:rPr>
          <w:rFonts w:ascii="Arial" w:cs="Arial" w:eastAsia="Arial" w:hAnsi="Arial"/>
          <w:sz w:val="18"/>
          <w:szCs w:val="18"/>
          <w:b w:val="1"/>
          <w:bCs w:val="1"/>
          <w:color w:val="auto"/>
        </w:rPr>
        <w:t>Exhibit 13.1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8" w:lineRule="exact"/>
        <w:rPr>
          <w:sz w:val="20"/>
          <w:szCs w:val="20"/>
          <w:color w:val="auto"/>
        </w:rPr>
      </w:pPr>
    </w:p>
    <w:p>
      <w:pPr>
        <w:jc w:val="both"/>
        <w:ind w:right="100"/>
        <w:spacing w:after="0" w:line="282" w:lineRule="auto"/>
        <w:rPr>
          <w:sz w:val="20"/>
          <w:szCs w:val="20"/>
          <w:color w:val="auto"/>
        </w:rPr>
      </w:pPr>
      <w:r>
        <w:rPr>
          <w:rFonts w:ascii="Arial" w:cs="Arial" w:eastAsia="Arial" w:hAnsi="Arial"/>
          <w:sz w:val="17"/>
          <w:szCs w:val="17"/>
          <w:color w:val="auto"/>
        </w:rPr>
        <w:t>In connection with the annual report of Sunlands Technology Group (the “Company”) on Form 20-F for the year ended December 31, 2020 as filed with the Securities and Exchange Commission on the date hereof (the “Report”), I, Tongbo Liu, Chief Executive Officer of the Company, certify, pursuant to 18 U.S.C. Section 1350, as adopted pursuant to Section 906 of the Sarbanes-Oxley Act of 2002, that to my knowledge:</w:t>
      </w:r>
    </w:p>
    <w:p>
      <w:pPr>
        <w:spacing w:after="0" w:line="146" w:lineRule="exact"/>
        <w:rPr>
          <w:sz w:val="20"/>
          <w:szCs w:val="20"/>
          <w:color w:val="auto"/>
        </w:rPr>
      </w:pPr>
    </w:p>
    <w:p>
      <w:pPr>
        <w:ind w:left="380" w:hanging="380"/>
        <w:spacing w:after="0"/>
        <w:tabs>
          <w:tab w:leader="none" w:pos="38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4" w:lineRule="exact"/>
        <w:rPr>
          <w:rFonts w:ascii="Arial" w:cs="Arial" w:eastAsia="Arial" w:hAnsi="Arial"/>
          <w:sz w:val="18"/>
          <w:szCs w:val="18"/>
          <w:color w:val="auto"/>
        </w:rPr>
      </w:pPr>
    </w:p>
    <w:p>
      <w:pPr>
        <w:ind w:right="280"/>
        <w:spacing w:after="0" w:line="535" w:lineRule="auto"/>
        <w:tabs>
          <w:tab w:leader="none" w:pos="374"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16,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Tongbo Liu</w:t>
            </w:r>
          </w:p>
        </w:tc>
      </w:tr>
      <w:tr>
        <w:trPr>
          <w:trHeight w:val="187"/>
        </w:trPr>
        <w:tc>
          <w:tcPr>
            <w:tcW w:w="740" w:type="dxa"/>
            <w:vAlign w:val="bottom"/>
          </w:tcPr>
          <w:p>
            <w:pPr>
              <w:spacing w:after="0" w:line="188"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88" w:lineRule="exact"/>
              <w:rPr>
                <w:sz w:val="20"/>
                <w:szCs w:val="20"/>
                <w:color w:val="auto"/>
              </w:rPr>
            </w:pPr>
            <w:r>
              <w:rPr>
                <w:rFonts w:ascii="Arial" w:cs="Arial" w:eastAsia="Arial" w:hAnsi="Arial"/>
                <w:sz w:val="18"/>
                <w:szCs w:val="18"/>
                <w:color w:val="auto"/>
              </w:rPr>
              <w:t>Tongbo Liu</w:t>
            </w:r>
          </w:p>
        </w:tc>
      </w:tr>
      <w:tr>
        <w:trPr>
          <w:trHeight w:val="23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8" w:right="339" w:bottom="1440" w:gutter="0" w:footer="0" w:header="0"/>
        </w:sectPr>
      </w:pPr>
    </w:p>
    <w:bookmarkStart w:id="580" w:name="page581"/>
    <w:bookmarkEnd w:id="580"/>
    <w:p>
      <w:pPr>
        <w:jc w:val="right"/>
        <w:spacing w:after="0"/>
        <w:rPr>
          <w:sz w:val="20"/>
          <w:szCs w:val="20"/>
          <w:color w:val="auto"/>
        </w:rPr>
      </w:pPr>
      <w:r>
        <w:rPr>
          <w:rFonts w:ascii="Arial" w:cs="Arial" w:eastAsia="Arial" w:hAnsi="Arial"/>
          <w:sz w:val="18"/>
          <w:szCs w:val="18"/>
          <w:b w:val="1"/>
          <w:bCs w:val="1"/>
          <w:color w:val="auto"/>
        </w:rPr>
        <w:t>Exhibit 13.2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connection with the annual report of Sunlands Technology Group (the “Company”) on Form 20-F for the year ended December 31, 2020 as filed with the Securities and Exchange Commission on the date hereof (the “Report”), I, Lv Lu, Chief Financial Officer of the Company, certify, pursuant to 18 U.S.C. Section 1350, as adopted pursuant to Section 906 of the Sarbanes-Oxley Act of 2002, that to my knowledge:</w:t>
      </w:r>
    </w:p>
    <w:p>
      <w:pPr>
        <w:spacing w:after="0" w:line="162" w:lineRule="exact"/>
        <w:rPr>
          <w:sz w:val="20"/>
          <w:szCs w:val="20"/>
          <w:color w:val="auto"/>
        </w:rPr>
      </w:pPr>
    </w:p>
    <w:p>
      <w:pPr>
        <w:ind w:left="380" w:hanging="380"/>
        <w:spacing w:after="0"/>
        <w:tabs>
          <w:tab w:leader="none" w:pos="38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4" w:lineRule="exact"/>
        <w:rPr>
          <w:rFonts w:ascii="Arial" w:cs="Arial" w:eastAsia="Arial" w:hAnsi="Arial"/>
          <w:sz w:val="18"/>
          <w:szCs w:val="18"/>
          <w:color w:val="auto"/>
        </w:rPr>
      </w:pPr>
    </w:p>
    <w:p>
      <w:pPr>
        <w:ind w:right="280"/>
        <w:spacing w:after="0" w:line="520" w:lineRule="auto"/>
        <w:tabs>
          <w:tab w:leader="none" w:pos="374" w:val="left"/>
        </w:tabs>
        <w:numPr>
          <w:ilvl w:val="0"/>
          <w:numId w:val="6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16,2021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Lv Lu</w:t>
            </w:r>
          </w:p>
        </w:tc>
      </w:tr>
      <w:tr>
        <w:trPr>
          <w:trHeight w:val="187"/>
        </w:trPr>
        <w:tc>
          <w:tcPr>
            <w:tcW w:w="740" w:type="dxa"/>
            <w:vAlign w:val="bottom"/>
          </w:tcPr>
          <w:p>
            <w:pPr>
              <w:spacing w:after="0" w:line="188"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88" w:lineRule="exact"/>
              <w:rPr>
                <w:sz w:val="20"/>
                <w:szCs w:val="20"/>
                <w:color w:val="auto"/>
              </w:rPr>
            </w:pPr>
            <w:r>
              <w:rPr>
                <w:rFonts w:ascii="Arial" w:cs="Arial" w:eastAsia="Arial" w:hAnsi="Arial"/>
                <w:sz w:val="18"/>
                <w:szCs w:val="18"/>
                <w:color w:val="auto"/>
              </w:rPr>
              <w:t>Lv Lu</w:t>
            </w:r>
          </w:p>
        </w:tc>
      </w:tr>
      <w:tr>
        <w:trPr>
          <w:trHeight w:val="23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18" w:right="339" w:bottom="1440" w:gutter="0" w:footer="0" w:header="0"/>
        </w:sectPr>
      </w:pPr>
    </w:p>
    <w:bookmarkStart w:id="581" w:name="page582"/>
    <w:bookmarkEnd w:id="581"/>
    <w:p>
      <w:pPr>
        <w:jc w:val="right"/>
        <w:spacing w:after="0"/>
        <w:rPr>
          <w:sz w:val="20"/>
          <w:szCs w:val="20"/>
          <w:color w:val="auto"/>
        </w:rPr>
      </w:pPr>
      <w:r>
        <w:rPr>
          <w:rFonts w:ascii="Arial" w:cs="Arial" w:eastAsia="Arial" w:hAnsi="Arial"/>
          <w:sz w:val="17"/>
          <w:szCs w:val="17"/>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147320</wp:posOffset>
            </wp:positionV>
            <wp:extent cx="2388870" cy="40322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9">
                      <a:extLst>
                        <a:ext uri="{28A0092B-C50C-407E-A947-70E740481C1C}"/>
                      </a:extLst>
                    </a:blip>
                    <a:srcRect/>
                    <a:stretch>
                      <a:fillRect/>
                    </a:stretch>
                  </pic:blipFill>
                  <pic:spPr bwMode="auto">
                    <a:xfrm>
                      <a:off x="0" y="0"/>
                      <a:ext cx="238887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TIAN YUAN LAW FIRM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10/F, CPIC Plaza, 28 Fengsheng Lane, Xicheng District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Beijing 100032, P. R. China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Tel: (8610) 5776-3888; Fax: (8610)5776-3777</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April 16, 2021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Sunlands Technology Group</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Building 4-6, Chaolai Science Park, No. 36</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Chuangyuan Road, Chaoyang District</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Beijing, 100012, the People’s Republic of China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0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hereby consent to the reference to our firm in “Item 3.D—Key Information—Risk Factors—Risks Related to Our Business,” “Item 4.B—Business Overview— Regulation,” “Item 4.C—Information on the Company—Organizational Structure,” “Item 5.A—Operating and Financial Review and Prospects—Operating Results— Taxation—PRC,” “Item 5.A—Operating and Financial Review and Prospects—Operating Results—Critical Accounting Policies, Judgments and Estimates— Consolidation of variable interest entity” and “Item 10.E—Additional Information—Taxation—People’s Republic of China Taxation” in the annual report on Form 20-F for the fiscal year ended December 31, 2020, which will be filed by Sunlands Technology Group in April, 2021 with the Securities and Exchange Commission under the Securities Exchange Act of 1934, as amended. We also consent to the filing with the Securities and Exchange Commission of this consent letter as an exhibit to the annual report on Form 20-F for the fiscal year ended December 31, 2020.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Sincerely yours,</w:t>
      </w:r>
    </w:p>
    <w:p>
      <w:pPr>
        <w:spacing w:after="0" w:line="200" w:lineRule="exact"/>
        <w:rPr>
          <w:sz w:val="20"/>
          <w:szCs w:val="20"/>
          <w:color w:val="auto"/>
        </w:rPr>
      </w:pP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Tian Yuan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10160</wp:posOffset>
            </wp:positionV>
            <wp:extent cx="356743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0">
                      <a:extLst>
                        <a:ext uri="{28A0092B-C50C-407E-A947-70E740481C1C}"/>
                      </a:extLst>
                    </a:blip>
                    <a:srcRect/>
                    <a:stretch>
                      <a:fillRect/>
                    </a:stretch>
                  </pic:blipFill>
                  <pic:spPr bwMode="auto">
                    <a:xfrm>
                      <a:off x="0" y="0"/>
                      <a:ext cx="3567430" cy="762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Tian Yuan Law Firm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335" w:right="339" w:bottom="1440" w:gutter="0" w:footer="0" w:header="0"/>
        </w:sectPr>
      </w:pPr>
    </w:p>
    <w:bookmarkStart w:id="582" w:name="page583"/>
    <w:bookmarkEnd w:id="582"/>
    <w:p>
      <w:pPr>
        <w:jc w:val="right"/>
        <w:spacing w:after="0"/>
        <w:rPr>
          <w:sz w:val="20"/>
          <w:szCs w:val="20"/>
          <w:color w:val="auto"/>
        </w:rPr>
      </w:pPr>
      <w:r>
        <w:rPr>
          <w:rFonts w:ascii="Arial" w:cs="Arial" w:eastAsia="Arial" w:hAnsi="Arial"/>
          <w:sz w:val="17"/>
          <w:szCs w:val="17"/>
          <w:b w:val="1"/>
          <w:bCs w:val="1"/>
          <w:color w:val="auto"/>
        </w:rPr>
        <w:t>Exhibit 15.2</w:t>
      </w:r>
    </w:p>
    <w:p>
      <w:pPr>
        <w:spacing w:after="0" w:line="200" w:lineRule="exact"/>
        <w:rPr>
          <w:sz w:val="20"/>
          <w:szCs w:val="20"/>
          <w:color w:val="auto"/>
        </w:rPr>
      </w:pP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Our ref</w:t>
      </w:r>
      <w:r>
        <w:rPr>
          <w:sz w:val="20"/>
          <w:szCs w:val="20"/>
          <w:color w:val="auto"/>
        </w:rPr>
        <w:tab/>
      </w:r>
      <w:r>
        <w:rPr>
          <w:rFonts w:ascii="Arial" w:cs="Arial" w:eastAsia="Arial" w:hAnsi="Arial"/>
          <w:sz w:val="17"/>
          <w:szCs w:val="17"/>
          <w:color w:val="auto"/>
        </w:rPr>
        <w:t>DLK/734829-000001/19604572v1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Sunlands Technology Group</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Building 4 – 6, Chaolai Science Park, No. 36</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Chuangyuan Road, Chaoyang District</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Beijing, 1000012</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The People’s Republic of China</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16 April 2021</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Sunlands Technology Group</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acted as legal advisers as to the laws of the Cayman Islands to Sunlands Technology Group, an exempted company with limited liability incorporated in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filing by the Company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of an annual report on Form 20-F for the year ended 31 December 2020 (the “</w:t>
      </w:r>
      <w:r>
        <w:rPr>
          <w:rFonts w:ascii="Arial" w:cs="Arial" w:eastAsia="Arial" w:hAnsi="Arial"/>
          <w:sz w:val="17"/>
          <w:szCs w:val="17"/>
          <w:b w:val="1"/>
          <w:bCs w:val="1"/>
          <w:color w:val="auto"/>
        </w:rPr>
        <w:t>Annual Report</w:t>
      </w:r>
      <w:r>
        <w:rPr>
          <w:rFonts w:ascii="Arial" w:cs="Arial" w:eastAsia="Arial" w:hAnsi="Arial"/>
          <w:sz w:val="17"/>
          <w:szCs w:val="17"/>
          <w:color w:val="auto"/>
        </w:rPr>
        <w:t>”).</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hereby consent to the reference to our firm under the heading “Item 10. Additional Information—E. Taxation—Cayman Islands Taxation” in the Annual Report, and we further consent to the incorporation by reference of the summary of our opinions under these headings into the Company’s registration statement on Form S-8 (File No. 333-224890) that was filed on 11 May 2018, pertaining to the Company’s 2017 Share Incentive Plan.</w:t>
      </w:r>
    </w:p>
    <w:p>
      <w:pPr>
        <w:spacing w:after="0" w:line="3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Maples and Calder (Hong Kong) LLP</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Maples and Calder (Hong Kong) LLP</w:t>
      </w:r>
    </w:p>
    <w:p>
      <w:pPr>
        <w:sectPr>
          <w:pgSz w:w="11900" w:h="16838" w:orient="portrait"/>
          <w:cols w:equalWidth="0" w:num="1">
            <w:col w:w="11240"/>
          </w:cols>
          <w:pgMar w:left="320" w:top="122" w:right="339" w:bottom="1440" w:gutter="0" w:footer="0" w:header="0"/>
        </w:sectPr>
      </w:pPr>
    </w:p>
    <w:bookmarkStart w:id="583" w:name="page584"/>
    <w:bookmarkEnd w:id="583"/>
    <w:p>
      <w:pPr>
        <w:jc w:val="right"/>
        <w:spacing w:after="0"/>
        <w:rPr>
          <w:sz w:val="20"/>
          <w:szCs w:val="20"/>
          <w:color w:val="auto"/>
        </w:rPr>
      </w:pPr>
      <w:r>
        <w:rPr>
          <w:rFonts w:ascii="Arial" w:cs="Arial" w:eastAsia="Arial" w:hAnsi="Arial"/>
          <w:sz w:val="17"/>
          <w:szCs w:val="17"/>
          <w:b w:val="1"/>
          <w:bCs w:val="1"/>
          <w:color w:val="auto"/>
        </w:rPr>
        <w:t>Exhibit 15.3</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We consent to the incorporation by reference in Registration Statement No. 333-224890 on Form S-8 of our report dated April 16, 2021, relating to the financial statements of Sunlands Technology Group appearing in this Annual Report on Form 20-F for the year ended December 31, 2020.</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Deloitte Touche Tohmatsu Certified Public Accountants LLP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Deloitte Touche Tohmatsu Certified Public Accountants LLP</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Beijing, the People’s Republic of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April 16, 2021</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21DFCF"/>
    <w:multiLevelType w:val="hybridMultilevel"/>
    <w:lvl w:ilvl="0">
      <w:lvlJc w:val="left"/>
      <w:lvlText w:val="☐"/>
      <w:numFmt w:val="bullet"/>
      <w:start w:val="1"/>
    </w:lvl>
  </w:abstractNum>
  <w:abstractNum w:abstractNumId="1">
    <w:nsid w:val="1565AC99"/>
    <w:multiLevelType w:val="hybridMultilevel"/>
    <w:lvl w:ilvl="0">
      <w:lvlJc w:val="left"/>
      <w:lvlText w:val="☒"/>
      <w:numFmt w:val="bullet"/>
      <w:start w:val="1"/>
    </w:lvl>
  </w:abstractNum>
  <w:abstractNum w:abstractNumId="2">
    <w:nsid w:val="19FB2650"/>
    <w:multiLevelType w:val="hybridMultilevel"/>
    <w:lvl w:ilvl="0">
      <w:lvlJc w:val="left"/>
      <w:lvlText w:val="☐"/>
      <w:numFmt w:val="bullet"/>
      <w:start w:val="1"/>
    </w:lvl>
  </w:abstractNum>
  <w:abstractNum w:abstractNumId="3">
    <w:nsid w:val="5024DE5B"/>
    <w:multiLevelType w:val="hybridMultilevel"/>
    <w:lvl w:ilvl="0">
      <w:lvlJc w:val="left"/>
      <w:lvlText w:val="☐"/>
      <w:numFmt w:val="bullet"/>
      <w:start w:val="1"/>
    </w:lvl>
  </w:abstractNum>
  <w:abstractNum w:abstractNumId="4">
    <w:nsid w:val="168EFE17"/>
    <w:multiLevelType w:val="hybridMultilevel"/>
    <w:lvl w:ilvl="0">
      <w:lvlJc w:val="left"/>
      <w:lvlText w:val="•"/>
      <w:numFmt w:val="bullet"/>
      <w:start w:val="1"/>
    </w:lvl>
  </w:abstractNum>
  <w:abstractNum w:abstractNumId="5">
    <w:nsid w:val="1036B29F"/>
    <w:multiLevelType w:val="hybridMultilevel"/>
    <w:lvl w:ilvl="0">
      <w:lvlJc w:val="left"/>
      <w:lvlText w:val="•"/>
      <w:numFmt w:val="bullet"/>
      <w:start w:val="1"/>
    </w:lvl>
  </w:abstractNum>
  <w:abstractNum w:abstractNumId="6">
    <w:nsid w:val="1D206B8E"/>
    <w:multiLevelType w:val="hybridMultilevel"/>
    <w:lvl w:ilvl="0">
      <w:lvlJc w:val="left"/>
      <w:lvlText w:val="•"/>
      <w:numFmt w:val="bullet"/>
      <w:start w:val="1"/>
    </w:lvl>
  </w:abstractNum>
  <w:abstractNum w:abstractNumId="7">
    <w:nsid w:val="7934D3D4"/>
    <w:multiLevelType w:val="hybridMultilevel"/>
    <w:lvl w:ilvl="0">
      <w:lvlJc w:val="left"/>
      <w:lvlText w:val="•"/>
      <w:numFmt w:val="bullet"/>
      <w:start w:val="1"/>
    </w:lvl>
  </w:abstractNum>
  <w:abstractNum w:abstractNumId="8">
    <w:nsid w:val="1C65E98"/>
    <w:multiLevelType w:val="hybridMultilevel"/>
    <w:lvl w:ilvl="0">
      <w:lvlJc w:val="left"/>
      <w:lvlText w:val="•"/>
      <w:numFmt w:val="bullet"/>
      <w:start w:val="1"/>
    </w:lvl>
  </w:abstractNum>
  <w:abstractNum w:abstractNumId="9">
    <w:nsid w:val="1495E50A"/>
    <w:multiLevelType w:val="hybridMultilevel"/>
    <w:lvl w:ilvl="0">
      <w:lvlJc w:val="left"/>
      <w:lvlText w:val="•"/>
      <w:numFmt w:val="bullet"/>
      <w:start w:val="1"/>
    </w:lvl>
  </w:abstractNum>
  <w:abstractNum w:abstractNumId="10">
    <w:nsid w:val="F5BCF61"/>
    <w:multiLevelType w:val="hybridMultilevel"/>
    <w:lvl w:ilvl="0">
      <w:lvlJc w:val="left"/>
      <w:lvlText w:val="•"/>
      <w:numFmt w:val="bullet"/>
      <w:start w:val="1"/>
    </w:lvl>
  </w:abstractNum>
  <w:abstractNum w:abstractNumId="11">
    <w:nsid w:val="3B1DD403"/>
    <w:multiLevelType w:val="hybridMultilevel"/>
    <w:lvl w:ilvl="0">
      <w:lvlJc w:val="left"/>
      <w:lvlText w:val="•"/>
      <w:numFmt w:val="bullet"/>
      <w:start w:val="1"/>
    </w:lvl>
  </w:abstractNum>
  <w:abstractNum w:abstractNumId="12">
    <w:nsid w:val="530386D1"/>
    <w:multiLevelType w:val="hybridMultilevel"/>
    <w:lvl w:ilvl="0">
      <w:lvlJc w:val="left"/>
      <w:lvlText w:val="•"/>
      <w:numFmt w:val="bullet"/>
      <w:start w:val="1"/>
    </w:lvl>
  </w:abstractNum>
  <w:abstractNum w:abstractNumId="13">
    <w:nsid w:val="7525F2BC"/>
    <w:multiLevelType w:val="hybridMultilevel"/>
    <w:lvl w:ilvl="0">
      <w:lvlJc w:val="left"/>
      <w:lvlText w:val="•"/>
      <w:numFmt w:val="bullet"/>
      <w:start w:val="1"/>
    </w:lvl>
  </w:abstractNum>
  <w:abstractNum w:abstractNumId="14">
    <w:nsid w:val="CE8E1A7"/>
    <w:multiLevelType w:val="hybridMultilevel"/>
    <w:lvl w:ilvl="0">
      <w:lvlJc w:val="left"/>
      <w:lvlText w:val="•"/>
      <w:numFmt w:val="bullet"/>
      <w:start w:val="1"/>
    </w:lvl>
  </w:abstractNum>
  <w:abstractNum w:abstractNumId="15">
    <w:nsid w:val="4E9EFB0D"/>
    <w:multiLevelType w:val="hybridMultilevel"/>
    <w:lvl w:ilvl="0">
      <w:lvlJc w:val="left"/>
      <w:lvlText w:val="•"/>
      <w:numFmt w:val="bullet"/>
      <w:start w:val="1"/>
    </w:lvl>
  </w:abstractNum>
  <w:abstractNum w:abstractNumId="16">
    <w:nsid w:val="90802BE"/>
    <w:multiLevelType w:val="hybridMultilevel"/>
    <w:lvl w:ilvl="0">
      <w:lvlJc w:val="left"/>
      <w:lvlText w:val="•"/>
      <w:numFmt w:val="bullet"/>
      <w:start w:val="1"/>
    </w:lvl>
  </w:abstractNum>
  <w:abstractNum w:abstractNumId="17">
    <w:nsid w:val="3266459B"/>
    <w:multiLevelType w:val="hybridMultilevel"/>
    <w:lvl w:ilvl="0">
      <w:lvlJc w:val="left"/>
      <w:lvlText w:val="•"/>
      <w:numFmt w:val="bullet"/>
      <w:start w:val="1"/>
    </w:lvl>
  </w:abstractNum>
  <w:abstractNum w:abstractNumId="18">
    <w:nsid w:val="3F8B0CBF"/>
    <w:multiLevelType w:val="hybridMultilevel"/>
    <w:lvl w:ilvl="0">
      <w:lvlJc w:val="left"/>
      <w:lvlText w:val="•"/>
      <w:numFmt w:val="bullet"/>
      <w:start w:val="1"/>
    </w:lvl>
  </w:abstractNum>
  <w:abstractNum w:abstractNumId="19">
    <w:nsid w:val="37E203AB"/>
    <w:multiLevelType w:val="hybridMultilevel"/>
    <w:lvl w:ilvl="0">
      <w:lvlJc w:val="left"/>
      <w:lvlText w:val="•"/>
      <w:numFmt w:val="bullet"/>
      <w:start w:val="1"/>
    </w:lvl>
  </w:abstractNum>
  <w:abstractNum w:abstractNumId="20">
    <w:nsid w:val="2586D60E"/>
    <w:multiLevelType w:val="hybridMultilevel"/>
    <w:lvl w:ilvl="0">
      <w:lvlJc w:val="left"/>
      <w:lvlText w:val="%1."/>
      <w:numFmt w:val="decimal"/>
      <w:start w:val="3"/>
    </w:lvl>
  </w:abstractNum>
  <w:abstractNum w:abstractNumId="21">
    <w:nsid w:val="1F3DA4D5"/>
    <w:multiLevelType w:val="hybridMultilevel"/>
    <w:lvl w:ilvl="0">
      <w:lvlJc w:val="left"/>
      <w:lvlText w:val="(%1)"/>
      <w:numFmt w:val="decimal"/>
      <w:start w:val="1"/>
    </w:lvl>
  </w:abstractNum>
  <w:abstractNum w:abstractNumId="22">
    <w:nsid w:val="74C93698"/>
    <w:multiLevelType w:val="hybridMultilevel"/>
    <w:lvl w:ilvl="0">
      <w:lvlJc w:val="left"/>
      <w:lvlText w:val="(%1)"/>
      <w:numFmt w:val="decimal"/>
      <w:start w:val="1"/>
    </w:lvl>
  </w:abstractNum>
  <w:abstractNum w:abstractNumId="23">
    <w:nsid w:val="48781401"/>
    <w:multiLevelType w:val="hybridMultilevel"/>
    <w:lvl w:ilvl="0">
      <w:lvlJc w:val="left"/>
      <w:lvlText w:val="(%1)"/>
      <w:numFmt w:val="lowerRoman"/>
      <w:start w:val="1"/>
    </w:lvl>
  </w:abstractNum>
  <w:abstractNum w:abstractNumId="24">
    <w:nsid w:val="186928D6"/>
    <w:multiLevelType w:val="hybridMultilevel"/>
    <w:lvl w:ilvl="0">
      <w:lvlJc w:val="left"/>
      <w:lvlText w:val="•"/>
      <w:numFmt w:val="bullet"/>
      <w:start w:val="1"/>
    </w:lvl>
  </w:abstractNum>
  <w:abstractNum w:abstractNumId="25">
    <w:nsid w:val="47195E5"/>
    <w:multiLevelType w:val="hybridMultilevel"/>
    <w:lvl w:ilvl="0">
      <w:lvlJc w:val="left"/>
      <w:lvlText w:val="•"/>
      <w:numFmt w:val="bullet"/>
      <w:start w:val="1"/>
    </w:lvl>
  </w:abstractNum>
  <w:abstractNum w:abstractNumId="26">
    <w:nsid w:val="3746A5F2"/>
    <w:multiLevelType w:val="hybridMultilevel"/>
    <w:lvl w:ilvl="0">
      <w:lvlJc w:val="left"/>
      <w:lvlText w:val="•"/>
      <w:numFmt w:val="bullet"/>
      <w:start w:val="1"/>
    </w:lvl>
  </w:abstractNum>
  <w:abstractNum w:abstractNumId="27">
    <w:nsid w:val="682DFED6"/>
    <w:multiLevelType w:val="hybridMultilevel"/>
    <w:lvl w:ilvl="0">
      <w:lvlJc w:val="left"/>
      <w:lvlText w:val="(%1)"/>
      <w:numFmt w:val="lowerRoman"/>
      <w:start w:val="3"/>
    </w:lvl>
  </w:abstractNum>
  <w:abstractNum w:abstractNumId="28">
    <w:nsid w:val="606ED7F6"/>
    <w:multiLevelType w:val="hybridMultilevel"/>
    <w:lvl w:ilvl="0">
      <w:lvlJc w:val="left"/>
      <w:lvlText w:val="•"/>
      <w:numFmt w:val="bullet"/>
      <w:start w:val="1"/>
    </w:lvl>
  </w:abstractNum>
  <w:abstractNum w:abstractNumId="29">
    <w:nsid w:val="2D9DF57D"/>
    <w:multiLevelType w:val="hybridMultilevel"/>
    <w:lvl w:ilvl="0">
      <w:lvlJc w:val="left"/>
      <w:lvlText w:val="*"/>
      <w:numFmt w:val="bullet"/>
      <w:start w:val="1"/>
    </w:lvl>
  </w:abstractNum>
  <w:abstractNum w:abstractNumId="30">
    <w:nsid w:val="7FBD7A3E"/>
    <w:multiLevelType w:val="hybridMultilevel"/>
    <w:lvl w:ilvl="0">
      <w:lvlJc w:val="left"/>
      <w:lvlText w:val="**"/>
      <w:numFmt w:val="bullet"/>
      <w:start w:val="1"/>
    </w:lvl>
  </w:abstractNum>
  <w:abstractNum w:abstractNumId="31">
    <w:nsid w:val="490B7C5"/>
    <w:multiLevelType w:val="hybridMultilevel"/>
    <w:lvl w:ilvl="0">
      <w:lvlJc w:val="left"/>
      <w:lvlText w:val="***"/>
      <w:numFmt w:val="bullet"/>
      <w:start w:val="1"/>
    </w:lvl>
  </w:abstractNum>
  <w:abstractNum w:abstractNumId="32">
    <w:nsid w:val="4303A216"/>
    <w:multiLevelType w:val="hybridMultilevel"/>
    <w:lvl w:ilvl="0">
      <w:lvlJc w:val="left"/>
      <w:lvlText w:val="†"/>
      <w:numFmt w:val="bullet"/>
      <w:start w:val="1"/>
    </w:lvl>
  </w:abstractNum>
  <w:abstractNum w:abstractNumId="33">
    <w:nsid w:val="19B8A08E"/>
    <w:multiLevelType w:val="hybridMultilevel"/>
    <w:lvl w:ilvl="0">
      <w:lvlJc w:val="left"/>
      <w:lvlText w:val="(%1)"/>
      <w:numFmt w:val="decimal"/>
      <w:start w:val="1"/>
    </w:lvl>
  </w:abstractNum>
  <w:abstractNum w:abstractNumId="34">
    <w:nsid w:val="54B59621"/>
    <w:multiLevelType w:val="hybridMultilevel"/>
    <w:lvl w:ilvl="0">
      <w:lvlJc w:val="left"/>
      <w:lvlText w:val="(%1)"/>
      <w:numFmt w:val="decimal"/>
      <w:start w:val="4"/>
    </w:lvl>
  </w:abstractNum>
  <w:abstractNum w:abstractNumId="35">
    <w:nsid w:val="5992A02E"/>
    <w:multiLevelType w:val="hybridMultilevel"/>
    <w:lvl w:ilvl="0">
      <w:lvlJc w:val="left"/>
      <w:lvlText w:val="•"/>
      <w:numFmt w:val="bullet"/>
      <w:start w:val="1"/>
    </w:lvl>
  </w:abstractNum>
  <w:abstractNum w:abstractNumId="36">
    <w:nsid w:val="29EF532D"/>
    <w:multiLevelType w:val="hybridMultilevel"/>
    <w:lvl w:ilvl="0">
      <w:lvlJc w:val="left"/>
      <w:lvlText w:val="•"/>
      <w:numFmt w:val="bullet"/>
      <w:start w:val="1"/>
    </w:lvl>
  </w:abstractNum>
  <w:abstractNum w:abstractNumId="37">
    <w:nsid w:val="71D601AF"/>
    <w:multiLevelType w:val="hybridMultilevel"/>
    <w:lvl w:ilvl="0">
      <w:lvlJc w:val="left"/>
      <w:lvlText w:val="•"/>
      <w:numFmt w:val="bullet"/>
      <w:start w:val="1"/>
    </w:lvl>
  </w:abstractNum>
  <w:abstractNum w:abstractNumId="38">
    <w:nsid w:val="52C77402"/>
    <w:multiLevelType w:val="hybridMultilevel"/>
    <w:lvl w:ilvl="0">
      <w:lvlJc w:val="left"/>
      <w:lvlText w:val="•"/>
      <w:numFmt w:val="bullet"/>
      <w:start w:val="1"/>
    </w:lvl>
  </w:abstractNum>
  <w:abstractNum w:abstractNumId="39">
    <w:nsid w:val="2BB5B1C6"/>
    <w:multiLevelType w:val="hybridMultilevel"/>
    <w:lvl w:ilvl="0">
      <w:lvlJc w:val="left"/>
      <w:lvlText w:val="•"/>
      <w:numFmt w:val="bullet"/>
      <w:start w:val="1"/>
    </w:lvl>
  </w:abstractNum>
  <w:abstractNum w:abstractNumId="40">
    <w:nsid w:val="66BE6B9"/>
    <w:multiLevelType w:val="hybridMultilevel"/>
    <w:lvl w:ilvl="0">
      <w:lvlJc w:val="left"/>
      <w:lvlText w:val="•"/>
      <w:numFmt w:val="bullet"/>
      <w:start w:val="1"/>
    </w:lvl>
  </w:abstractNum>
  <w:abstractNum w:abstractNumId="41">
    <w:nsid w:val="62234363"/>
    <w:multiLevelType w:val="hybridMultilevel"/>
    <w:lvl w:ilvl="0">
      <w:lvlJc w:val="left"/>
      <w:lvlText w:val="•"/>
      <w:numFmt w:val="bullet"/>
      <w:start w:val="1"/>
    </w:lvl>
  </w:abstractNum>
  <w:abstractNum w:abstractNumId="42">
    <w:nsid w:val="66D385C9"/>
    <w:multiLevelType w:val="hybridMultilevel"/>
    <w:lvl w:ilvl="0">
      <w:lvlJc w:val="left"/>
      <w:lvlText w:val="•"/>
      <w:numFmt w:val="bullet"/>
      <w:start w:val="1"/>
    </w:lvl>
  </w:abstractNum>
  <w:abstractNum w:abstractNumId="43">
    <w:nsid w:val="596F6D8A"/>
    <w:multiLevelType w:val="hybridMultilevel"/>
    <w:lvl w:ilvl="0">
      <w:lvlJc w:val="left"/>
      <w:lvlText w:val="(%1)"/>
      <w:numFmt w:val="decimal"/>
      <w:start w:val="1"/>
    </w:lvl>
  </w:abstractNum>
  <w:abstractNum w:abstractNumId="44">
    <w:nsid w:val="5749361F"/>
    <w:multiLevelType w:val="hybridMultilevel"/>
    <w:lvl w:ilvl="0">
      <w:lvlJc w:val="left"/>
      <w:lvlText w:val="(%1)"/>
      <w:numFmt w:val="decimal"/>
      <w:start w:val="1"/>
    </w:lvl>
  </w:abstractNum>
  <w:abstractNum w:abstractNumId="45">
    <w:nsid w:val="73BC6770"/>
    <w:multiLevelType w:val="hybridMultilevel"/>
    <w:lvl w:ilvl="0">
      <w:lvlJc w:val="left"/>
      <w:lvlText w:val="(%1)"/>
      <w:numFmt w:val="decimal"/>
      <w:start w:val="1"/>
    </w:lvl>
  </w:abstractNum>
  <w:abstractNum w:abstractNumId="46">
    <w:nsid w:val="280E6897"/>
    <w:multiLevelType w:val="hybridMultilevel"/>
    <w:lvl w:ilvl="0">
      <w:lvlJc w:val="left"/>
      <w:lvlText w:val="*"/>
      <w:numFmt w:val="bullet"/>
      <w:start w:val="1"/>
    </w:lvl>
  </w:abstractNum>
  <w:abstractNum w:abstractNumId="47">
    <w:nsid w:val="605138DE"/>
    <w:multiLevelType w:val="hybridMultilevel"/>
    <w:lvl w:ilvl="0">
      <w:lvlJc w:val="left"/>
      <w:lvlText w:val="**"/>
      <w:numFmt w:val="bullet"/>
      <w:start w:val="1"/>
    </w:lvl>
  </w:abstractNum>
  <w:abstractNum w:abstractNumId="48">
    <w:nsid w:val="2622AD0C"/>
    <w:multiLevelType w:val="hybridMultilevel"/>
    <w:lvl w:ilvl="0">
      <w:lvlJc w:val="left"/>
      <w:lvlText w:val="(%1)"/>
      <w:numFmt w:val="decimal"/>
      <w:start w:val="1"/>
    </w:lvl>
  </w:abstractNum>
  <w:abstractNum w:abstractNumId="49">
    <w:nsid w:val="67997556"/>
    <w:multiLevelType w:val="hybridMultilevel"/>
    <w:lvl w:ilvl="0">
      <w:lvlJc w:val="left"/>
      <w:lvlText w:val="%1."/>
      <w:numFmt w:val="decimal"/>
      <w:start w:val="1"/>
    </w:lvl>
  </w:abstractNum>
  <w:abstractNum w:abstractNumId="50">
    <w:nsid w:val="18333C89"/>
    <w:multiLevelType w:val="hybridMultilevel"/>
    <w:lvl w:ilvl="0">
      <w:lvlJc w:val="left"/>
      <w:lvlText w:val="(%1)"/>
      <w:numFmt w:val="decimal"/>
      <w:start w:val="1"/>
    </w:lvl>
  </w:abstractNum>
  <w:abstractNum w:abstractNumId="51">
    <w:nsid w:val="4BA9831A"/>
    <w:multiLevelType w:val="hybridMultilevel"/>
    <w:lvl w:ilvl="0">
      <w:lvlJc w:val="left"/>
      <w:lvlText w:val="%1."/>
      <w:numFmt w:val="decimal"/>
      <w:start w:val="2"/>
    </w:lvl>
    <w:lvl w:ilvl="1">
      <w:lvlJc w:val="left"/>
      <w:lvlText w:val="•"/>
      <w:numFmt w:val="bullet"/>
      <w:start w:val="1"/>
    </w:lvl>
  </w:abstractNum>
  <w:abstractNum w:abstractNumId="52">
    <w:nsid w:val="6D71A2B"/>
    <w:multiLevelType w:val="hybridMultilevel"/>
    <w:lvl w:ilvl="0">
      <w:lvlJc w:val="left"/>
      <w:lvlText w:val="%1."/>
      <w:numFmt w:val="decimal"/>
      <w:start w:val="2"/>
    </w:lvl>
    <w:lvl w:ilvl="1">
      <w:lvlJc w:val="left"/>
      <w:lvlText w:val="•"/>
      <w:numFmt w:val="bullet"/>
      <w:start w:val="1"/>
    </w:lvl>
  </w:abstractNum>
  <w:abstractNum w:abstractNumId="53">
    <w:nsid w:val="CFC7321"/>
    <w:multiLevelType w:val="hybridMultilevel"/>
    <w:lvl w:ilvl="0">
      <w:lvlJc w:val="left"/>
      <w:lvlText w:val="•"/>
      <w:numFmt w:val="bullet"/>
      <w:start w:val="1"/>
    </w:lvl>
  </w:abstractNum>
  <w:abstractNum w:abstractNumId="54">
    <w:nsid w:val="1421971B"/>
    <w:multiLevelType w:val="hybridMultilevel"/>
    <w:lvl w:ilvl="0">
      <w:lvlJc w:val="left"/>
      <w:lvlText w:val="%1."/>
      <w:numFmt w:val="decimal"/>
      <w:start w:val="2"/>
    </w:lvl>
    <w:lvl w:ilvl="1">
      <w:lvlJc w:val="left"/>
      <w:lvlText w:val="•"/>
      <w:numFmt w:val="bullet"/>
      <w:start w:val="1"/>
    </w:lvl>
  </w:abstractNum>
  <w:abstractNum w:abstractNumId="55">
    <w:nsid w:val="1F404301"/>
    <w:multiLevelType w:val="hybridMultilevel"/>
    <w:lvl w:ilvl="0">
      <w:lvlJc w:val="left"/>
      <w:lvlText w:val="•"/>
      <w:numFmt w:val="bullet"/>
      <w:start w:val="1"/>
    </w:lvl>
  </w:abstractNum>
  <w:abstractNum w:abstractNumId="56">
    <w:nsid w:val="116E0907"/>
    <w:multiLevelType w:val="hybridMultilevel"/>
    <w:lvl w:ilvl="0">
      <w:lvlJc w:val="left"/>
      <w:lvlText w:val="%1."/>
      <w:numFmt w:val="decimal"/>
      <w:start w:val="2"/>
    </w:lvl>
  </w:abstractNum>
  <w:abstractNum w:abstractNumId="57">
    <w:nsid w:val="4B683D0D"/>
    <w:multiLevelType w:val="hybridMultilevel"/>
    <w:lvl w:ilvl="0">
      <w:lvlJc w:val="left"/>
      <w:lvlText w:val="%1."/>
      <w:numFmt w:val="decimal"/>
      <w:start w:val="2"/>
    </w:lvl>
  </w:abstractNum>
  <w:abstractNum w:abstractNumId="58">
    <w:nsid w:val="76E41D8"/>
    <w:multiLevelType w:val="hybridMultilevel"/>
    <w:lvl w:ilvl="0">
      <w:lvlJc w:val="left"/>
      <w:lvlText w:val="%1."/>
      <w:numFmt w:val="decimal"/>
      <w:start w:val="2"/>
    </w:lvl>
  </w:abstractNum>
  <w:abstractNum w:abstractNumId="59">
    <w:nsid w:val="71DCE0FD"/>
    <w:multiLevelType w:val="hybridMultilevel"/>
    <w:lvl w:ilvl="0">
      <w:lvlJc w:val="left"/>
      <w:lvlText w:val="%1."/>
      <w:numFmt w:val="decimal"/>
      <w:start w:val="2"/>
    </w:lvl>
  </w:abstractNum>
  <w:abstractNum w:abstractNumId="60">
    <w:nsid w:val="7906328B"/>
    <w:multiLevelType w:val="hybridMultilevel"/>
    <w:lvl w:ilvl="0">
      <w:lvlJc w:val="left"/>
      <w:lvlText w:val="%1."/>
      <w:numFmt w:val="decimal"/>
      <w:start w:val="2"/>
    </w:lvl>
  </w:abstractNum>
  <w:abstractNum w:abstractNumId="61">
    <w:nsid w:val="72BBC16"/>
    <w:multiLevelType w:val="hybridMultilevel"/>
    <w:lvl w:ilvl="0">
      <w:lvlJc w:val="left"/>
      <w:lvlText w:val="%1."/>
      <w:numFmt w:val="decimal"/>
      <w:start w:val="2"/>
    </w:lvl>
  </w:abstractNum>
  <w:abstractNum w:abstractNumId="62">
    <w:nsid w:val="766D98C2"/>
    <w:multiLevelType w:val="hybridMultilevel"/>
    <w:lvl w:ilvl="0">
      <w:lvlJc w:val="left"/>
      <w:lvlText w:val="%1."/>
      <w:numFmt w:val="decimal"/>
      <w:start w:val="2"/>
    </w:lvl>
  </w:abstractNum>
  <w:abstractNum w:abstractNumId="63">
    <w:nsid w:val="3C09D4A1"/>
    <w:multiLevelType w:val="hybridMultilevel"/>
    <w:lvl w:ilvl="0">
      <w:lvlJc w:val="left"/>
      <w:lvlText w:val="%1."/>
      <w:numFmt w:val="decimal"/>
      <w:start w:val="2"/>
    </w:lvl>
  </w:abstractNum>
  <w:abstractNum w:abstractNumId="64">
    <w:nsid w:val="20E45CA4"/>
    <w:multiLevelType w:val="hybridMultilevel"/>
    <w:lvl w:ilvl="0">
      <w:lvlJc w:val="left"/>
      <w:lvlText w:val="%1."/>
      <w:numFmt w:val="decimal"/>
      <w:start w:val="3"/>
    </w:lvl>
  </w:abstractNum>
  <w:abstractNum w:abstractNumId="65">
    <w:nsid w:val="4B232EE3"/>
    <w:multiLevelType w:val="hybridMultilevel"/>
    <w:lvl w:ilvl="0">
      <w:lvlJc w:val="left"/>
      <w:lvlText w:val="(%1)"/>
      <w:numFmt w:val="decimal"/>
      <w:start w:val="1"/>
    </w:lvl>
  </w:abstractNum>
  <w:abstractNum w:abstractNumId="66">
    <w:nsid w:val="159C74CF"/>
    <w:multiLevelType w:val="hybridMultilevel"/>
    <w:lvl w:ilvl="0">
      <w:lvlJc w:val="left"/>
      <w:lvlText w:val="%1."/>
      <w:numFmt w:val="decimal"/>
      <w:start w:val="4"/>
    </w:lvl>
  </w:abstractNum>
  <w:abstractNum w:abstractNumId="67">
    <w:nsid w:val="4AD3AFD2"/>
    <w:multiLevelType w:val="hybridMultilevel"/>
    <w:lvl w:ilvl="0">
      <w:lvlJc w:val="left"/>
      <w:lvlText w:val="(%1)"/>
      <w:numFmt w:val="decimal"/>
      <w:start w:val="1"/>
    </w:lvl>
  </w:abstractNum>
  <w:abstractNum w:abstractNumId="68">
    <w:nsid w:val="3CF93092"/>
    <w:multiLevelType w:val="hybridMultilevel"/>
    <w:lvl w:ilvl="0">
      <w:lvlJc w:val="left"/>
      <w:lvlText w:val="%1."/>
      <w:numFmt w:val="decimal"/>
      <w:start w:val="5"/>
    </w:lvl>
  </w:abstractNum>
  <w:abstractNum w:abstractNumId="69">
    <w:nsid w:val="6863E8D2"/>
    <w:multiLevelType w:val="hybridMultilevel"/>
    <w:lvl w:ilvl="0">
      <w:lvlJc w:val="left"/>
      <w:lvlText w:val="%1."/>
      <w:numFmt w:val="decimal"/>
      <w:start w:val="6"/>
    </w:lvl>
  </w:abstractNum>
  <w:abstractNum w:abstractNumId="70">
    <w:nsid w:val="76896198"/>
    <w:multiLevelType w:val="hybridMultilevel"/>
    <w:lvl w:ilvl="0">
      <w:lvlJc w:val="left"/>
      <w:lvlText w:val="(%1)"/>
      <w:numFmt w:val="decimal"/>
      <w:start w:val="1"/>
    </w:lvl>
  </w:abstractNum>
  <w:abstractNum w:abstractNumId="71">
    <w:nsid w:val="4365174B"/>
    <w:multiLevelType w:val="hybridMultilevel"/>
    <w:lvl w:ilvl="0">
      <w:lvlJc w:val="left"/>
      <w:lvlText w:val="%1."/>
      <w:numFmt w:val="decimal"/>
      <w:start w:val="7"/>
    </w:lvl>
  </w:abstractNum>
  <w:abstractNum w:abstractNumId="72">
    <w:nsid w:val="4A872C35"/>
    <w:multiLevelType w:val="hybridMultilevel"/>
    <w:lvl w:ilvl="0">
      <w:lvlJc w:val="left"/>
      <w:lvlText w:val="%1."/>
      <w:numFmt w:val="decimal"/>
      <w:start w:val="8"/>
    </w:lvl>
  </w:abstractNum>
  <w:abstractNum w:abstractNumId="73">
    <w:nsid w:val="5D5CE761"/>
    <w:multiLevelType w:val="hybridMultilevel"/>
    <w:lvl w:ilvl="0">
      <w:lvlJc w:val="left"/>
      <w:lvlText w:val="%1."/>
      <w:numFmt w:val="decimal"/>
      <w:start w:val="9"/>
    </w:lvl>
  </w:abstractNum>
  <w:abstractNum w:abstractNumId="74">
    <w:nsid w:val="1CD484D5"/>
    <w:multiLevelType w:val="hybridMultilevel"/>
    <w:lvl w:ilvl="0">
      <w:lvlJc w:val="left"/>
      <w:lvlText w:val="%1"/>
      <w:numFmt w:val="decimal"/>
      <w:start w:val="1"/>
    </w:lvl>
    <w:lvl w:ilvl="1">
      <w:lvlJc w:val="left"/>
      <w:lvlText w:val="(%2)"/>
      <w:numFmt w:val="decimal"/>
      <w:start w:val="1"/>
    </w:lvl>
  </w:abstractNum>
  <w:abstractNum w:abstractNumId="75">
    <w:nsid w:val="21D06255"/>
    <w:multiLevelType w:val="hybridMultilevel"/>
    <w:lvl w:ilvl="0">
      <w:lvlJc w:val="left"/>
      <w:lvlText w:val="%1."/>
      <w:numFmt w:val="decimal"/>
      <w:start w:val="11"/>
    </w:lvl>
    <w:lvl w:ilvl="1">
      <w:lvlJc w:val="left"/>
      <w:lvlText w:val="%2"/>
      <w:numFmt w:val="decimal"/>
      <w:start w:val="1"/>
    </w:lvl>
  </w:abstractNum>
  <w:abstractNum w:abstractNumId="76">
    <w:nsid w:val="51194ED1"/>
    <w:multiLevelType w:val="hybridMultilevel"/>
    <w:lvl w:ilvl="0">
      <w:lvlJc w:val="left"/>
      <w:lvlText w:val="(%1)"/>
      <w:numFmt w:val="decimal"/>
      <w:start w:val="1"/>
    </w:lvl>
  </w:abstractNum>
  <w:abstractNum w:abstractNumId="77">
    <w:nsid w:val="44E2ED6C"/>
    <w:multiLevelType w:val="hybridMultilevel"/>
    <w:lvl w:ilvl="0">
      <w:lvlJc w:val="left"/>
      <w:lvlText w:val="%1."/>
      <w:numFmt w:val="decimal"/>
      <w:start w:val="12"/>
    </w:lvl>
  </w:abstractNum>
  <w:abstractNum w:abstractNumId="78">
    <w:nsid w:val="2219B33"/>
    <w:multiLevelType w:val="hybridMultilevel"/>
    <w:lvl w:ilvl="0">
      <w:lvlJc w:val="left"/>
      <w:lvlText w:val="(%1)"/>
      <w:numFmt w:val="decimal"/>
      <w:start w:val="1"/>
    </w:lvl>
  </w:abstractNum>
  <w:abstractNum w:abstractNumId="79">
    <w:nsid w:val="773BFBDD"/>
    <w:multiLevelType w:val="hybridMultilevel"/>
    <w:lvl w:ilvl="0">
      <w:lvlJc w:val="left"/>
      <w:lvlText w:val="%1."/>
      <w:numFmt w:val="decimal"/>
      <w:start w:val="13"/>
    </w:lvl>
  </w:abstractNum>
  <w:abstractNum w:abstractNumId="80">
    <w:nsid w:val="2C7C62C2"/>
    <w:multiLevelType w:val="hybridMultilevel"/>
    <w:lvl w:ilvl="0">
      <w:lvlJc w:val="left"/>
      <w:lvlText w:val="%1."/>
      <w:numFmt w:val="decimal"/>
      <w:start w:val="14"/>
    </w:lvl>
  </w:abstractNum>
  <w:abstractNum w:abstractNumId="81">
    <w:nsid w:val="1A54D7BC"/>
    <w:multiLevelType w:val="hybridMultilevel"/>
    <w:lvl w:ilvl="0">
      <w:lvlJc w:val="left"/>
      <w:lvlText w:val="%1."/>
      <w:numFmt w:val="decimal"/>
      <w:start w:val="15"/>
    </w:lvl>
  </w:abstractNum>
  <w:abstractNum w:abstractNumId="82">
    <w:nsid w:val="42E57EF7"/>
    <w:multiLevelType w:val="hybridMultilevel"/>
    <w:lvl w:ilvl="0">
      <w:lvlJc w:val="left"/>
      <w:lvlText w:val="%1."/>
      <w:numFmt w:val="decimal"/>
      <w:start w:val="16"/>
    </w:lvl>
  </w:abstractNum>
  <w:abstractNum w:abstractNumId="83">
    <w:nsid w:val="33537CED"/>
    <w:multiLevelType w:val="hybridMultilevel"/>
    <w:lvl w:ilvl="0">
      <w:lvlJc w:val="left"/>
      <w:lvlText w:val="%1."/>
      <w:numFmt w:val="decimal"/>
      <w:start w:val="16"/>
    </w:lvl>
  </w:abstractNum>
  <w:abstractNum w:abstractNumId="84">
    <w:nsid w:val="27514ADE"/>
    <w:multiLevelType w:val="hybridMultilevel"/>
    <w:lvl w:ilvl="0">
      <w:lvlJc w:val="left"/>
      <w:lvlText w:val="%1."/>
      <w:numFmt w:val="decimal"/>
      <w:start w:val="17"/>
    </w:lvl>
  </w:abstractNum>
  <w:abstractNum w:abstractNumId="85">
    <w:nsid w:val="57071613"/>
    <w:multiLevelType w:val="hybridMultilevel"/>
    <w:lvl w:ilvl="0">
      <w:lvlJc w:val="left"/>
      <w:lvlText w:val="%1."/>
      <w:numFmt w:val="decimal"/>
      <w:start w:val="17"/>
    </w:lvl>
  </w:abstractNum>
  <w:abstractNum w:abstractNumId="86">
    <w:nsid w:val="5293BFEF"/>
    <w:multiLevelType w:val="hybridMultilevel"/>
    <w:lvl w:ilvl="0">
      <w:lvlJc w:val="left"/>
      <w:lvlText w:val="%1."/>
      <w:numFmt w:val="decimal"/>
      <w:start w:val="18"/>
    </w:lvl>
  </w:abstractNum>
  <w:abstractNum w:abstractNumId="87">
    <w:nsid w:val="38BF53E5"/>
    <w:multiLevelType w:val="hybridMultilevel"/>
    <w:lvl w:ilvl="0">
      <w:lvlJc w:val="left"/>
      <w:lvlText w:val="(%1)"/>
      <w:numFmt w:val="decimal"/>
      <w:start w:val="1"/>
    </w:lvl>
  </w:abstractNum>
  <w:abstractNum w:abstractNumId="88">
    <w:nsid w:val="226F5320"/>
    <w:multiLevelType w:val="hybridMultilevel"/>
    <w:lvl w:ilvl="0">
      <w:lvlJc w:val="left"/>
      <w:lvlText w:val="%1."/>
      <w:numFmt w:val="decimal"/>
      <w:start w:val="20"/>
    </w:lvl>
  </w:abstractNum>
  <w:abstractNum w:abstractNumId="89">
    <w:nsid w:val="5A0201C7"/>
    <w:multiLevelType w:val="hybridMultilevel"/>
    <w:lvl w:ilvl="0">
      <w:lvlJc w:val="left"/>
      <w:lvlText w:val="%1."/>
      <w:numFmt w:val="decimal"/>
      <w:start w:val="23"/>
    </w:lvl>
  </w:abstractNum>
  <w:abstractNum w:abstractNumId="90">
    <w:nsid w:val="2A9C34E2"/>
    <w:multiLevelType w:val="hybridMultilevel"/>
    <w:lvl w:ilvl="0">
      <w:lvlJc w:val="left"/>
      <w:lvlText w:val="%1."/>
      <w:numFmt w:val="decimal"/>
      <w:start w:val="1"/>
    </w:lvl>
  </w:abstractNum>
  <w:abstractNum w:abstractNumId="91">
    <w:nsid w:val="1B7585AB"/>
    <w:multiLevelType w:val="hybridMultilevel"/>
    <w:lvl w:ilvl="0">
      <w:lvlJc w:val="left"/>
      <w:lvlText w:val="%1."/>
      <w:numFmt w:val="decimal"/>
      <w:start w:val="2"/>
    </w:lvl>
  </w:abstractNum>
  <w:abstractNum w:abstractNumId="92">
    <w:nsid w:val="612DBDDD"/>
    <w:multiLevelType w:val="hybridMultilevel"/>
    <w:lvl w:ilvl="0">
      <w:lvlJc w:val="left"/>
      <w:lvlText w:val="%1."/>
      <w:numFmt w:val="decimal"/>
      <w:start w:val="1"/>
    </w:lvl>
  </w:abstractNum>
  <w:abstractNum w:abstractNumId="93">
    <w:nsid w:val="2109CDA4"/>
    <w:multiLevelType w:val="hybridMultilevel"/>
    <w:lvl w:ilvl="0">
      <w:lvlJc w:val="left"/>
      <w:lvlText w:val="%1."/>
      <w:numFmt w:val="decimal"/>
      <w:start w:val="1"/>
    </w:lvl>
  </w:abstractNum>
  <w:abstractNum w:abstractNumId="94">
    <w:nsid w:val="577F5A4D"/>
    <w:multiLevelType w:val="hybridMultilevel"/>
    <w:lvl w:ilvl="0">
      <w:lvlJc w:val="left"/>
      <w:lvlText w:val="%1."/>
      <w:numFmt w:val="decimal"/>
      <w:start w:val="2"/>
    </w:lvl>
  </w:abstractNum>
  <w:abstractNum w:abstractNumId="95">
    <w:nsid w:val="2121A81"/>
    <w:multiLevelType w:val="hybridMultilevel"/>
    <w:lvl w:ilvl="0">
      <w:lvlJc w:val="left"/>
      <w:lvlText w:val="%1."/>
      <w:numFmt w:val="decimal"/>
      <w:start w:val="3"/>
    </w:lvl>
  </w:abstractNum>
  <w:abstractNum w:abstractNumId="96">
    <w:nsid w:val="6C2CFC88"/>
    <w:multiLevelType w:val="hybridMultilevel"/>
    <w:lvl w:ilvl="0">
      <w:lvlJc w:val="left"/>
      <w:lvlText w:val="%1."/>
      <w:numFmt w:val="decimal"/>
      <w:start w:val="4"/>
    </w:lvl>
  </w:abstractNum>
  <w:abstractNum w:abstractNumId="97">
    <w:nsid w:val="6D1BCF1C"/>
    <w:multiLevelType w:val="hybridMultilevel"/>
    <w:lvl w:ilvl="0">
      <w:lvlJc w:val="left"/>
      <w:lvlText w:val="%1."/>
      <w:numFmt w:val="decimal"/>
      <w:start w:val="5"/>
    </w:lvl>
  </w:abstractNum>
  <w:abstractNum w:abstractNumId="98">
    <w:nsid w:val="4CE5CA53"/>
    <w:multiLevelType w:val="hybridMultilevel"/>
    <w:lvl w:ilvl="0">
      <w:lvlJc w:val="left"/>
      <w:lvlText w:val="%1."/>
      <w:numFmt w:val="decimal"/>
      <w:start w:val="6"/>
    </w:lvl>
  </w:abstractNum>
  <w:abstractNum w:abstractNumId="99">
    <w:nsid w:val="29262D1A"/>
    <w:multiLevelType w:val="hybridMultilevel"/>
    <w:lvl w:ilvl="0">
      <w:lvlJc w:val="left"/>
      <w:lvlText w:val="%1."/>
      <w:numFmt w:val="decimal"/>
      <w:start w:val="7"/>
    </w:lvl>
  </w:abstractNum>
  <w:abstractNum w:abstractNumId="100">
    <w:nsid w:val="557FB7EE"/>
    <w:multiLevelType w:val="hybridMultilevel"/>
    <w:lvl w:ilvl="0">
      <w:lvlJc w:val="left"/>
      <w:lvlText w:val="%1."/>
      <w:numFmt w:val="decimal"/>
      <w:start w:val="8"/>
    </w:lvl>
  </w:abstractNum>
  <w:abstractNum w:abstractNumId="101">
    <w:nsid w:val="436F2BEB"/>
    <w:multiLevelType w:val="hybridMultilevel"/>
    <w:lvl w:ilvl="0">
      <w:lvlJc w:val="left"/>
      <w:lvlText w:val="%1."/>
      <w:numFmt w:val="decimal"/>
      <w:start w:val="9"/>
    </w:lvl>
  </w:abstractNum>
  <w:abstractNum w:abstractNumId="102">
    <w:nsid w:val="6C8B4466"/>
    <w:multiLevelType w:val="hybridMultilevel"/>
    <w:lvl w:ilvl="0">
      <w:lvlJc w:val="left"/>
      <w:lvlText w:val="%1."/>
      <w:numFmt w:val="decimal"/>
      <w:start w:val="10"/>
    </w:lvl>
  </w:abstractNum>
  <w:abstractNum w:abstractNumId="103">
    <w:nsid w:val="2006E424"/>
    <w:multiLevelType w:val="hybridMultilevel"/>
    <w:lvl w:ilvl="0">
      <w:lvlJc w:val="left"/>
      <w:lvlText w:val="%1."/>
      <w:numFmt w:val="decimal"/>
      <w:start w:val="11"/>
    </w:lvl>
  </w:abstractNum>
  <w:abstractNum w:abstractNumId="104">
    <w:nsid w:val="20CC134C"/>
    <w:multiLevelType w:val="hybridMultilevel"/>
    <w:lvl w:ilvl="0">
      <w:lvlJc w:val="left"/>
      <w:lvlText w:val="%1."/>
      <w:numFmt w:val="decimal"/>
      <w:start w:val="12"/>
    </w:lvl>
  </w:abstractNum>
  <w:abstractNum w:abstractNumId="105">
    <w:nsid w:val="95FC93B"/>
    <w:multiLevelType w:val="hybridMultilevel"/>
    <w:lvl w:ilvl="0">
      <w:lvlJc w:val="left"/>
      <w:lvlText w:val="%1."/>
      <w:numFmt w:val="decimal"/>
      <w:start w:val="13"/>
    </w:lvl>
  </w:abstractNum>
  <w:abstractNum w:abstractNumId="106">
    <w:nsid w:val="41D74679"/>
    <w:multiLevelType w:val="hybridMultilevel"/>
    <w:lvl w:ilvl="0">
      <w:lvlJc w:val="left"/>
      <w:lvlText w:val="%1."/>
      <w:numFmt w:val="decimal"/>
      <w:start w:val="14"/>
    </w:lvl>
  </w:abstractNum>
  <w:abstractNum w:abstractNumId="107">
    <w:nsid w:val="71E5621E"/>
    <w:multiLevelType w:val="hybridMultilevel"/>
    <w:lvl w:ilvl="0">
      <w:lvlJc w:val="left"/>
      <w:lvlText w:val="%1."/>
      <w:numFmt w:val="decimal"/>
      <w:start w:val="15"/>
    </w:lvl>
  </w:abstractNum>
  <w:abstractNum w:abstractNumId="108">
    <w:nsid w:val="4E42B6A8"/>
    <w:multiLevelType w:val="hybridMultilevel"/>
    <w:lvl w:ilvl="0">
      <w:lvlJc w:val="left"/>
      <w:lvlText w:val="%1."/>
      <w:numFmt w:val="decimal"/>
      <w:start w:val="16"/>
    </w:lvl>
  </w:abstractNum>
  <w:abstractNum w:abstractNumId="109">
    <w:nsid w:val="43F8E1AC"/>
    <w:multiLevelType w:val="hybridMultilevel"/>
    <w:lvl w:ilvl="0">
      <w:lvlJc w:val="left"/>
      <w:lvlText w:val="%1"/>
      <w:numFmt w:val="decimal"/>
      <w:start w:val="1"/>
    </w:lvl>
    <w:lvl w:ilvl="1">
      <w:lvlJc w:val="left"/>
      <w:lvlText w:val="%2."/>
      <w:numFmt w:val="decimal"/>
      <w:start w:val="1"/>
    </w:lvl>
  </w:abstractNum>
  <w:abstractNum w:abstractNumId="110">
    <w:nsid w:val="69215DFB"/>
    <w:multiLevelType w:val="hybridMultilevel"/>
    <w:lvl w:ilvl="0">
      <w:lvlJc w:val="left"/>
      <w:lvlText w:val="%1."/>
      <w:numFmt w:val="decimal"/>
      <w:start w:val="2"/>
    </w:lvl>
    <w:lvl w:ilvl="1">
      <w:lvlJc w:val="left"/>
      <w:lvlText w:val="%2"/>
      <w:numFmt w:val="decimal"/>
      <w:start w:val="1"/>
    </w:lvl>
  </w:abstractNum>
  <w:abstractNum w:abstractNumId="111">
    <w:nsid w:val="7ABF196A"/>
    <w:multiLevelType w:val="hybridMultilevel"/>
    <w:lvl w:ilvl="0">
      <w:lvlJc w:val="left"/>
      <w:lvlText w:val="%1."/>
      <w:numFmt w:val="upperLetter"/>
      <w:start w:val="9"/>
    </w:lvl>
  </w:abstractNum>
  <w:abstractNum w:abstractNumId="112">
    <w:nsid w:val="5E4DB968"/>
    <w:multiLevelType w:val="hybridMultilevel"/>
    <w:lvl w:ilvl="0">
      <w:lvlJc w:val="left"/>
      <w:lvlText w:val="%1."/>
      <w:numFmt w:val="upperLetter"/>
      <w:start w:val="35"/>
    </w:lvl>
    <w:lvl w:ilvl="1">
      <w:lvlJc w:val="left"/>
      <w:lvlText w:val="%2."/>
      <w:numFmt w:val="decimal"/>
      <w:start w:val="1"/>
    </w:lvl>
  </w:abstractNum>
  <w:abstractNum w:abstractNumId="113">
    <w:nsid w:val="2C06DCF3"/>
    <w:multiLevelType w:val="hybridMultilevel"/>
    <w:lvl w:ilvl="0">
      <w:lvlJc w:val="left"/>
      <w:lvlText w:val="%1."/>
      <w:numFmt w:val="upperLetter"/>
      <w:start w:val="61"/>
    </w:lvl>
  </w:abstractNum>
  <w:abstractNum w:abstractNumId="114">
    <w:nsid w:val="2E129658"/>
    <w:multiLevelType w:val="hybridMultilevel"/>
    <w:lvl w:ilvl="0">
      <w:lvlJc w:val="left"/>
      <w:lvlText w:val="%1."/>
      <w:numFmt w:val="decimal"/>
      <w:start w:val="1"/>
    </w:lvl>
  </w:abstractNum>
  <w:abstractNum w:abstractNumId="115">
    <w:nsid w:val="59F0446"/>
    <w:multiLevelType w:val="hybridMultilevel"/>
    <w:lvl w:ilvl="0">
      <w:lvlJc w:val="left"/>
      <w:lvlText w:val="%1."/>
      <w:numFmt w:val="decimal"/>
      <w:start w:val="1"/>
    </w:lvl>
  </w:abstractNum>
  <w:abstractNum w:abstractNumId="116">
    <w:nsid w:val="30DF306"/>
    <w:multiLevelType w:val="hybridMultilevel"/>
    <w:lvl w:ilvl="0">
      <w:lvlJc w:val="left"/>
      <w:lvlText w:val="%1."/>
      <w:numFmt w:val="decimal"/>
      <w:start w:val="2"/>
    </w:lvl>
  </w:abstractNum>
  <w:abstractNum w:abstractNumId="117">
    <w:nsid w:val="A65647"/>
    <w:multiLevelType w:val="hybridMultilevel"/>
    <w:lvl w:ilvl="0">
      <w:lvlJc w:val="left"/>
      <w:lvlText w:val="%1."/>
      <w:numFmt w:val="decimal"/>
      <w:start w:val="3"/>
    </w:lvl>
  </w:abstractNum>
  <w:abstractNum w:abstractNumId="118">
    <w:nsid w:val="3E5E582B"/>
    <w:multiLevelType w:val="hybridMultilevel"/>
    <w:lvl w:ilvl="0">
      <w:lvlJc w:val="left"/>
      <w:lvlText w:val="%1."/>
      <w:numFmt w:val="decimal"/>
      <w:start w:val="4"/>
    </w:lvl>
  </w:abstractNum>
  <w:abstractNum w:abstractNumId="119">
    <w:nsid w:val="257D4626"/>
    <w:multiLevelType w:val="hybridMultilevel"/>
    <w:lvl w:ilvl="0">
      <w:lvlJc w:val="left"/>
      <w:lvlText w:val="%1."/>
      <w:numFmt w:val="decimal"/>
      <w:start w:val="5"/>
    </w:lvl>
  </w:abstractNum>
  <w:abstractNum w:abstractNumId="120">
    <w:nsid w:val="5AA8580E"/>
    <w:multiLevelType w:val="hybridMultilevel"/>
    <w:lvl w:ilvl="0">
      <w:lvlJc w:val="left"/>
      <w:lvlText w:val="%1."/>
      <w:numFmt w:val="decimal"/>
      <w:start w:val="7"/>
    </w:lvl>
  </w:abstractNum>
  <w:abstractNum w:abstractNumId="121">
    <w:nsid w:val="68FA8D0D"/>
    <w:multiLevelType w:val="hybridMultilevel"/>
    <w:lvl w:ilvl="0">
      <w:lvlJc w:val="left"/>
      <w:lvlText w:val="%1."/>
      <w:numFmt w:val="decimal"/>
      <w:start w:val="1"/>
    </w:lvl>
  </w:abstractNum>
  <w:abstractNum w:abstractNumId="122">
    <w:nsid w:val="40F2CBD2"/>
    <w:multiLevelType w:val="hybridMultilevel"/>
    <w:lvl w:ilvl="0">
      <w:lvlJc w:val="left"/>
      <w:lvlText w:val="%1."/>
      <w:numFmt w:val="decimal"/>
      <w:start w:val="1"/>
    </w:lvl>
  </w:abstractNum>
  <w:abstractNum w:abstractNumId="123">
    <w:nsid w:val="3BD615EB"/>
    <w:multiLevelType w:val="hybridMultilevel"/>
    <w:lvl w:ilvl="0">
      <w:lvlJc w:val="left"/>
      <w:lvlText w:val="%1."/>
      <w:numFmt w:val="decimal"/>
      <w:start w:val="2"/>
    </w:lvl>
  </w:abstractNum>
  <w:abstractNum w:abstractNumId="124">
    <w:nsid w:val="A045AB2"/>
    <w:multiLevelType w:val="hybridMultilevel"/>
    <w:lvl w:ilvl="0">
      <w:lvlJc w:val="left"/>
      <w:lvlText w:val="%1."/>
      <w:numFmt w:val="decimal"/>
      <w:start w:val="3"/>
    </w:lvl>
  </w:abstractNum>
  <w:abstractNum w:abstractNumId="125">
    <w:nsid w:val="1872261F"/>
    <w:multiLevelType w:val="hybridMultilevel"/>
    <w:lvl w:ilvl="0">
      <w:lvlJc w:val="left"/>
      <w:lvlText w:val="%1."/>
      <w:numFmt w:val="decimal"/>
      <w:start w:val="4"/>
    </w:lvl>
  </w:abstractNum>
  <w:abstractNum w:abstractNumId="126">
    <w:nsid w:val="3DE8306C"/>
    <w:multiLevelType w:val="hybridMultilevel"/>
    <w:lvl w:ilvl="0">
      <w:lvlJc w:val="left"/>
      <w:lvlText w:val="%1."/>
      <w:numFmt w:val="decimal"/>
      <w:start w:val="5"/>
    </w:lvl>
  </w:abstractNum>
  <w:abstractNum w:abstractNumId="127">
    <w:nsid w:val="7631573A"/>
    <w:multiLevelType w:val="hybridMultilevel"/>
    <w:lvl w:ilvl="0">
      <w:lvlJc w:val="left"/>
      <w:lvlText w:val="%1."/>
      <w:numFmt w:val="decimal"/>
      <w:start w:val="6"/>
    </w:lvl>
  </w:abstractNum>
  <w:abstractNum w:abstractNumId="128">
    <w:nsid w:val="58DF53B"/>
    <w:multiLevelType w:val="hybridMultilevel"/>
    <w:lvl w:ilvl="0">
      <w:lvlJc w:val="left"/>
      <w:lvlText w:val="%1."/>
      <w:numFmt w:val="decimal"/>
      <w:start w:val="7"/>
    </w:lvl>
  </w:abstractNum>
  <w:abstractNum w:abstractNumId="129">
    <w:nsid w:val="ACDFAC0"/>
    <w:multiLevelType w:val="hybridMultilevel"/>
    <w:lvl w:ilvl="0">
      <w:lvlJc w:val="left"/>
      <w:lvlText w:val="%1."/>
      <w:numFmt w:val="decimal"/>
      <w:start w:val="8"/>
    </w:lvl>
  </w:abstractNum>
  <w:abstractNum w:abstractNumId="130">
    <w:nsid w:val="1F578454"/>
    <w:multiLevelType w:val="hybridMultilevel"/>
    <w:lvl w:ilvl="0">
      <w:lvlJc w:val="left"/>
      <w:lvlText w:val="%1."/>
      <w:numFmt w:val="decimal"/>
      <w:start w:val="9"/>
    </w:lvl>
  </w:abstractNum>
  <w:abstractNum w:abstractNumId="131">
    <w:nsid w:val="5B0DAD2A"/>
    <w:multiLevelType w:val="hybridMultilevel"/>
    <w:lvl w:ilvl="0">
      <w:lvlJc w:val="left"/>
      <w:lvlText w:val="%1."/>
      <w:numFmt w:val="decimal"/>
      <w:start w:val="10"/>
    </w:lvl>
  </w:abstractNum>
  <w:abstractNum w:abstractNumId="132">
    <w:nsid w:val="4E3D26AB"/>
    <w:multiLevelType w:val="hybridMultilevel"/>
    <w:lvl w:ilvl="0">
      <w:lvlJc w:val="left"/>
      <w:lvlText w:val="%1."/>
      <w:numFmt w:val="decimal"/>
      <w:start w:val="11"/>
    </w:lvl>
  </w:abstractNum>
  <w:abstractNum w:abstractNumId="133">
    <w:nsid w:val="BE2C8BA"/>
    <w:multiLevelType w:val="hybridMultilevel"/>
    <w:lvl w:ilvl="0">
      <w:lvlJc w:val="left"/>
      <w:lvlText w:val="%1."/>
      <w:numFmt w:val="decimal"/>
      <w:start w:val="12"/>
    </w:lvl>
  </w:abstractNum>
  <w:abstractNum w:abstractNumId="134">
    <w:nsid w:val="7B14914E"/>
    <w:multiLevelType w:val="hybridMultilevel"/>
    <w:lvl w:ilvl="0">
      <w:lvlJc w:val="left"/>
      <w:lvlText w:val="%1."/>
      <w:numFmt w:val="decimal"/>
      <w:start w:val="13"/>
    </w:lvl>
  </w:abstractNum>
  <w:abstractNum w:abstractNumId="135">
    <w:nsid w:val="6F0939F8"/>
    <w:multiLevelType w:val="hybridMultilevel"/>
    <w:lvl w:ilvl="0">
      <w:lvlJc w:val="left"/>
      <w:lvlText w:val="%1."/>
      <w:numFmt w:val="decimal"/>
      <w:start w:val="14"/>
    </w:lvl>
  </w:abstractNum>
  <w:abstractNum w:abstractNumId="136">
    <w:nsid w:val="154291F6"/>
    <w:multiLevelType w:val="hybridMultilevel"/>
    <w:lvl w:ilvl="0">
      <w:lvlJc w:val="left"/>
      <w:lvlText w:val="%1."/>
      <w:numFmt w:val="decimal"/>
      <w:start w:val="15"/>
    </w:lvl>
  </w:abstractNum>
  <w:abstractNum w:abstractNumId="137">
    <w:nsid w:val="3CEBD7C7"/>
    <w:multiLevelType w:val="hybridMultilevel"/>
    <w:lvl w:ilvl="0">
      <w:lvlJc w:val="left"/>
      <w:lvlText w:val="%1."/>
      <w:numFmt w:val="decimal"/>
      <w:start w:val="16"/>
    </w:lvl>
  </w:abstractNum>
  <w:abstractNum w:abstractNumId="138">
    <w:nsid w:val="60EE9C16"/>
    <w:multiLevelType w:val="hybridMultilevel"/>
    <w:lvl w:ilvl="0">
      <w:lvlJc w:val="left"/>
      <w:lvlText w:val="%1."/>
      <w:numFmt w:val="decimal"/>
      <w:start w:val="1"/>
    </w:lvl>
  </w:abstractNum>
  <w:abstractNum w:abstractNumId="139">
    <w:nsid w:val="6385489E"/>
    <w:multiLevelType w:val="hybridMultilevel"/>
    <w:lvl w:ilvl="0">
      <w:lvlJc w:val="left"/>
      <w:lvlText w:val="%1."/>
      <w:numFmt w:val="decimal"/>
      <w:start w:val="1"/>
    </w:lvl>
  </w:abstractNum>
  <w:abstractNum w:abstractNumId="140">
    <w:nsid w:val="E4B973"/>
    <w:multiLevelType w:val="hybridMultilevel"/>
    <w:lvl w:ilvl="0">
      <w:lvlJc w:val="left"/>
      <w:lvlText w:val="%1."/>
      <w:numFmt w:val="decimal"/>
      <w:start w:val="1"/>
    </w:lvl>
  </w:abstractNum>
  <w:abstractNum w:abstractNumId="141">
    <w:nsid w:val="4A0FFA11"/>
    <w:multiLevelType w:val="hybridMultilevel"/>
    <w:lvl w:ilvl="0">
      <w:lvlJc w:val="left"/>
      <w:lvlText w:val="%1."/>
      <w:numFmt w:val="decimal"/>
      <w:start w:val="2"/>
    </w:lvl>
  </w:abstractNum>
  <w:abstractNum w:abstractNumId="142">
    <w:nsid w:val="5E446208"/>
    <w:multiLevelType w:val="hybridMultilevel"/>
    <w:lvl w:ilvl="0">
      <w:lvlJc w:val="left"/>
      <w:lvlText w:val="(%1)"/>
      <w:numFmt w:val="lowerLetter"/>
      <w:start w:val="1"/>
    </w:lvl>
  </w:abstractNum>
  <w:abstractNum w:abstractNumId="143">
    <w:nsid w:val="5F3272DB"/>
    <w:multiLevelType w:val="hybridMultilevel"/>
    <w:lvl w:ilvl="0">
      <w:lvlJc w:val="left"/>
      <w:lvlText w:val="(%1)"/>
      <w:numFmt w:val="lowerLetter"/>
      <w:start w:val="4"/>
    </w:lvl>
  </w:abstractNum>
  <w:abstractNum w:abstractNumId="144">
    <w:nsid w:val="7616D704"/>
    <w:multiLevelType w:val="hybridMultilevel"/>
    <w:lvl w:ilvl="0">
      <w:lvlJc w:val="left"/>
      <w:lvlText w:val="%1"/>
      <w:numFmt w:val="decimal"/>
      <w:start w:val="1"/>
    </w:lvl>
    <w:lvl w:ilvl="1">
      <w:lvlJc w:val="left"/>
      <w:lvlText w:val="(%2)"/>
      <w:numFmt w:val="lowerLetter"/>
      <w:start w:val="1"/>
    </w:lvl>
  </w:abstractNum>
  <w:abstractNum w:abstractNumId="145">
    <w:nsid w:val="C56F860"/>
    <w:multiLevelType w:val="hybridMultilevel"/>
    <w:lvl w:ilvl="0">
      <w:lvlJc w:val="left"/>
      <w:lvlText w:val="%1."/>
      <w:numFmt w:val="decimal"/>
      <w:start w:val="3"/>
    </w:lvl>
    <w:lvl w:ilvl="1">
      <w:lvlJc w:val="left"/>
      <w:lvlText w:val="%2"/>
      <w:numFmt w:val="lowerLetter"/>
      <w:start w:val="1"/>
    </w:lvl>
  </w:abstractNum>
  <w:abstractNum w:abstractNumId="146">
    <w:nsid w:val="64D17722"/>
    <w:multiLevelType w:val="hybridMultilevel"/>
    <w:lvl w:ilvl="0">
      <w:lvlJc w:val="left"/>
      <w:lvlText w:val="(%1)"/>
      <w:numFmt w:val="lowerLetter"/>
      <w:start w:val="1"/>
    </w:lvl>
  </w:abstractNum>
  <w:abstractNum w:abstractNumId="147">
    <w:nsid w:val="7924CA0A"/>
    <w:multiLevelType w:val="hybridMultilevel"/>
    <w:lvl w:ilvl="0">
      <w:lvlJc w:val="left"/>
      <w:lvlText w:val="(%1)"/>
      <w:numFmt w:val="lowerLetter"/>
      <w:start w:val="1"/>
    </w:lvl>
  </w:abstractNum>
  <w:abstractNum w:abstractNumId="148">
    <w:nsid w:val="CFD4EA7"/>
    <w:multiLevelType w:val="hybridMultilevel"/>
    <w:lvl w:ilvl="0">
      <w:lvlJc w:val="left"/>
      <w:lvlText w:val="(%1)"/>
      <w:numFmt w:val="lowerLetter"/>
      <w:start w:val="2"/>
    </w:lvl>
  </w:abstractNum>
  <w:abstractNum w:abstractNumId="149">
    <w:nsid w:val="232FCF4D"/>
    <w:multiLevelType w:val="hybridMultilevel"/>
    <w:lvl w:ilvl="0">
      <w:lvlJc w:val="left"/>
      <w:lvlText w:val="(%1)"/>
      <w:numFmt w:val="lowerLetter"/>
      <w:start w:val="1"/>
    </w:lvl>
  </w:abstractNum>
  <w:abstractNum w:abstractNumId="150">
    <w:nsid w:val="1EA21031"/>
    <w:multiLevelType w:val="hybridMultilevel"/>
    <w:lvl w:ilvl="0">
      <w:lvlJc w:val="left"/>
      <w:lvlText w:val="(%1)"/>
      <w:numFmt w:val="lowerLetter"/>
      <w:start w:val="7"/>
    </w:lvl>
  </w:abstractNum>
  <w:abstractNum w:abstractNumId="151">
    <w:nsid w:val="67A5A6B5"/>
    <w:multiLevelType w:val="hybridMultilevel"/>
    <w:lvl w:ilvl="0">
      <w:lvlJc w:val="left"/>
      <w:lvlText w:val="%1."/>
      <w:numFmt w:val="decimal"/>
      <w:start w:val="4"/>
    </w:lvl>
  </w:abstractNum>
  <w:abstractNum w:abstractNumId="152">
    <w:nsid w:val="C2A5C5B"/>
    <w:multiLevelType w:val="hybridMultilevel"/>
    <w:lvl w:ilvl="0">
      <w:lvlJc w:val="left"/>
      <w:lvlText w:val="%1."/>
      <w:numFmt w:val="decimal"/>
      <w:start w:val="5"/>
    </w:lvl>
  </w:abstractNum>
  <w:abstractNum w:abstractNumId="153">
    <w:nsid w:val="5F94DC03"/>
    <w:multiLevelType w:val="hybridMultilevel"/>
    <w:lvl w:ilvl="0">
      <w:lvlJc w:val="left"/>
      <w:lvlText w:val="%1."/>
      <w:numFmt w:val="decimal"/>
      <w:start w:val="6"/>
    </w:lvl>
  </w:abstractNum>
  <w:abstractNum w:abstractNumId="154">
    <w:nsid w:val="237BBCA0"/>
    <w:multiLevelType w:val="hybridMultilevel"/>
    <w:lvl w:ilvl="0">
      <w:lvlJc w:val="left"/>
      <w:lvlText w:val="%1."/>
      <w:numFmt w:val="decimal"/>
      <w:start w:val="7"/>
    </w:lvl>
  </w:abstractNum>
  <w:abstractNum w:abstractNumId="155">
    <w:nsid w:val="162EB70D"/>
    <w:multiLevelType w:val="hybridMultilevel"/>
    <w:lvl w:ilvl="0">
      <w:lvlJc w:val="left"/>
      <w:lvlText w:val="%1."/>
      <w:numFmt w:val="decimal"/>
      <w:start w:val="8"/>
    </w:lvl>
  </w:abstractNum>
  <w:abstractNum w:abstractNumId="156">
    <w:nsid w:val="78070222"/>
    <w:multiLevelType w:val="hybridMultilevel"/>
    <w:lvl w:ilvl="0">
      <w:lvlJc w:val="left"/>
      <w:lvlText w:val="(%1)"/>
      <w:numFmt w:val="lowerLetter"/>
      <w:start w:val="1"/>
    </w:lvl>
  </w:abstractNum>
  <w:abstractNum w:abstractNumId="157">
    <w:nsid w:val="6163ED0D"/>
    <w:multiLevelType w:val="hybridMultilevel"/>
    <w:lvl w:ilvl="0">
      <w:lvlJc w:val="left"/>
      <w:lvlText w:val="%1."/>
      <w:numFmt w:val="decimal"/>
      <w:start w:val="1"/>
    </w:lvl>
  </w:abstractNum>
  <w:abstractNum w:abstractNumId="158">
    <w:nsid w:val="C600E47"/>
    <w:multiLevelType w:val="hybridMultilevel"/>
    <w:lvl w:ilvl="0">
      <w:lvlJc w:val="left"/>
      <w:lvlText w:val="%1."/>
      <w:numFmt w:val="decimal"/>
      <w:start w:val="1"/>
    </w:lvl>
  </w:abstractNum>
  <w:abstractNum w:abstractNumId="159">
    <w:nsid w:val="7D94F75D"/>
    <w:multiLevelType w:val="hybridMultilevel"/>
    <w:lvl w:ilvl="0">
      <w:lvlJc w:val="left"/>
      <w:lvlText w:val="%1."/>
      <w:numFmt w:val="decimal"/>
      <w:start w:val="2"/>
    </w:lvl>
  </w:abstractNum>
  <w:abstractNum w:abstractNumId="160">
    <w:nsid w:val="6C31E7CD"/>
    <w:multiLevelType w:val="hybridMultilevel"/>
    <w:lvl w:ilvl="0">
      <w:lvlJc w:val="left"/>
      <w:lvlText w:val="%1."/>
      <w:numFmt w:val="decimal"/>
      <w:start w:val="3"/>
    </w:lvl>
  </w:abstractNum>
  <w:abstractNum w:abstractNumId="161">
    <w:nsid w:val="2BB7929B"/>
    <w:multiLevelType w:val="hybridMultilevel"/>
    <w:lvl w:ilvl="0">
      <w:lvlJc w:val="left"/>
      <w:lvlText w:val="%1."/>
      <w:numFmt w:val="decimal"/>
      <w:start w:val="4"/>
    </w:lvl>
  </w:abstractNum>
  <w:abstractNum w:abstractNumId="162">
    <w:nsid w:val="58A2A487"/>
    <w:multiLevelType w:val="hybridMultilevel"/>
    <w:lvl w:ilvl="0">
      <w:lvlJc w:val="left"/>
      <w:lvlText w:val="%1."/>
      <w:numFmt w:val="decimal"/>
      <w:start w:val="5"/>
    </w:lvl>
  </w:abstractNum>
  <w:abstractNum w:abstractNumId="163">
    <w:nsid w:val="3A6F0E78"/>
    <w:multiLevelType w:val="hybridMultilevel"/>
    <w:lvl w:ilvl="0">
      <w:lvlJc w:val="left"/>
      <w:lvlText w:val="%1."/>
      <w:numFmt w:val="decimal"/>
      <w:start w:val="6"/>
    </w:lvl>
  </w:abstractNum>
  <w:abstractNum w:abstractNumId="164">
    <w:nsid w:val="379A5B56"/>
    <w:multiLevelType w:val="hybridMultilevel"/>
    <w:lvl w:ilvl="0">
      <w:lvlJc w:val="left"/>
      <w:lvlText w:val="%1."/>
      <w:numFmt w:val="decimal"/>
      <w:start w:val="7"/>
    </w:lvl>
  </w:abstractNum>
  <w:abstractNum w:abstractNumId="165">
    <w:nsid w:val="53B735D5"/>
    <w:multiLevelType w:val="hybridMultilevel"/>
    <w:lvl w:ilvl="0">
      <w:lvlJc w:val="left"/>
      <w:lvlText w:val="%1."/>
      <w:numFmt w:val="decimal"/>
      <w:start w:val="8"/>
    </w:lvl>
  </w:abstractNum>
  <w:abstractNum w:abstractNumId="166">
    <w:nsid w:val="29784870"/>
    <w:multiLevelType w:val="hybridMultilevel"/>
    <w:lvl w:ilvl="0">
      <w:lvlJc w:val="left"/>
      <w:lvlText w:val="%1."/>
      <w:numFmt w:val="decimal"/>
      <w:start w:val="9"/>
    </w:lvl>
  </w:abstractNum>
  <w:abstractNum w:abstractNumId="167">
    <w:nsid w:val="4CDCED4C"/>
    <w:multiLevelType w:val="hybridMultilevel"/>
    <w:lvl w:ilvl="0">
      <w:lvlJc w:val="left"/>
      <w:lvlText w:val="%1."/>
      <w:numFmt w:val="decimal"/>
      <w:start w:val="10"/>
    </w:lvl>
  </w:abstractNum>
  <w:abstractNum w:abstractNumId="168">
    <w:nsid w:val="10A30D9C"/>
    <w:multiLevelType w:val="hybridMultilevel"/>
    <w:lvl w:ilvl="0">
      <w:lvlJc w:val="left"/>
      <w:lvlText w:val="%1."/>
      <w:numFmt w:val="decimal"/>
      <w:start w:val="11"/>
    </w:lvl>
  </w:abstractNum>
  <w:abstractNum w:abstractNumId="169">
    <w:nsid w:val="A66E486"/>
    <w:multiLevelType w:val="hybridMultilevel"/>
    <w:lvl w:ilvl="0">
      <w:lvlJc w:val="left"/>
      <w:lvlText w:val="%1."/>
      <w:numFmt w:val="decimal"/>
      <w:start w:val="12"/>
    </w:lvl>
  </w:abstractNum>
  <w:abstractNum w:abstractNumId="170">
    <w:nsid w:val="306235EA"/>
    <w:multiLevelType w:val="hybridMultilevel"/>
    <w:lvl w:ilvl="0">
      <w:lvlJc w:val="left"/>
      <w:lvlText w:val="%1."/>
      <w:numFmt w:val="decimal"/>
      <w:start w:val="13"/>
    </w:lvl>
  </w:abstractNum>
  <w:abstractNum w:abstractNumId="171">
    <w:nsid w:val="1187C70F"/>
    <w:multiLevelType w:val="hybridMultilevel"/>
    <w:lvl w:ilvl="0">
      <w:lvlJc w:val="left"/>
      <w:lvlText w:val="%1."/>
      <w:numFmt w:val="decimal"/>
      <w:start w:val="14"/>
    </w:lvl>
  </w:abstractNum>
  <w:abstractNum w:abstractNumId="172">
    <w:nsid w:val="5476DE98"/>
    <w:multiLevelType w:val="hybridMultilevel"/>
    <w:lvl w:ilvl="0">
      <w:lvlJc w:val="left"/>
      <w:lvlText w:val="%1."/>
      <w:numFmt w:val="decimal"/>
      <w:start w:val="15"/>
    </w:lvl>
  </w:abstractNum>
  <w:abstractNum w:abstractNumId="173">
    <w:nsid w:val="EA697F2"/>
    <w:multiLevelType w:val="hybridMultilevel"/>
    <w:lvl w:ilvl="0">
      <w:lvlJc w:val="left"/>
      <w:lvlText w:val="%1."/>
      <w:numFmt w:val="decimal"/>
      <w:start w:val="16"/>
    </w:lvl>
  </w:abstractNum>
  <w:abstractNum w:abstractNumId="174">
    <w:nsid w:val="70BA39EB"/>
    <w:multiLevelType w:val="hybridMultilevel"/>
    <w:lvl w:ilvl="0">
      <w:lvlJc w:val="left"/>
      <w:lvlText w:val="%1."/>
      <w:numFmt w:val="decimal"/>
      <w:start w:val="1"/>
    </w:lvl>
  </w:abstractNum>
  <w:abstractNum w:abstractNumId="175">
    <w:nsid w:val="4A8DB59C"/>
    <w:multiLevelType w:val="hybridMultilevel"/>
    <w:lvl w:ilvl="0">
      <w:lvlJc w:val="left"/>
      <w:lvlText w:val="%1."/>
      <w:numFmt w:val="upperLetter"/>
      <w:start w:val="9"/>
    </w:lvl>
  </w:abstractNum>
  <w:abstractNum w:abstractNumId="176">
    <w:nsid w:val="1AFD9053"/>
    <w:multiLevelType w:val="hybridMultilevel"/>
    <w:lvl w:ilvl="0">
      <w:lvlJc w:val="left"/>
      <w:lvlText w:val="%1."/>
      <w:numFmt w:val="upperLetter"/>
      <w:start w:val="35"/>
    </w:lvl>
    <w:lvl w:ilvl="1">
      <w:lvlJc w:val="left"/>
      <w:lvlText w:val="%2."/>
      <w:numFmt w:val="decimal"/>
      <w:start w:val="1"/>
    </w:lvl>
  </w:abstractNum>
  <w:abstractNum w:abstractNumId="177">
    <w:nsid w:val="558BB10D"/>
    <w:multiLevelType w:val="hybridMultilevel"/>
    <w:lvl w:ilvl="0">
      <w:lvlJc w:val="left"/>
      <w:lvlText w:val="%1."/>
      <w:numFmt w:val="upperLetter"/>
      <w:start w:val="61"/>
    </w:lvl>
  </w:abstractNum>
  <w:abstractNum w:abstractNumId="178">
    <w:nsid w:val="43B27FA7"/>
    <w:multiLevelType w:val="hybridMultilevel"/>
    <w:lvl w:ilvl="0">
      <w:lvlJc w:val="left"/>
      <w:lvlText w:val="%1."/>
      <w:numFmt w:val="decimal"/>
      <w:start w:val="1"/>
    </w:lvl>
  </w:abstractNum>
  <w:abstractNum w:abstractNumId="179">
    <w:nsid w:val="27FADEFA"/>
    <w:multiLevelType w:val="hybridMultilevel"/>
    <w:lvl w:ilvl="0">
      <w:lvlJc w:val="left"/>
      <w:lvlText w:val="%1."/>
      <w:numFmt w:val="decimal"/>
      <w:start w:val="4"/>
    </w:lvl>
  </w:abstractNum>
  <w:abstractNum w:abstractNumId="180">
    <w:nsid w:val="78BB805A"/>
    <w:multiLevelType w:val="hybridMultilevel"/>
    <w:lvl w:ilvl="0">
      <w:lvlJc w:val="left"/>
      <w:lvlText w:val="%1."/>
      <w:numFmt w:val="decimal"/>
      <w:start w:val="1"/>
    </w:lvl>
  </w:abstractNum>
  <w:abstractNum w:abstractNumId="181">
    <w:nsid w:val="62548FD8"/>
    <w:multiLevelType w:val="hybridMultilevel"/>
    <w:lvl w:ilvl="0">
      <w:lvlJc w:val="left"/>
      <w:lvlText w:val="%1."/>
      <w:numFmt w:val="decimal"/>
      <w:start w:val="2"/>
    </w:lvl>
  </w:abstractNum>
  <w:abstractNum w:abstractNumId="182">
    <w:nsid w:val="FA085B0"/>
    <w:multiLevelType w:val="hybridMultilevel"/>
    <w:lvl w:ilvl="0">
      <w:lvlJc w:val="left"/>
      <w:lvlText w:val="%1."/>
      <w:numFmt w:val="decimal"/>
      <w:start w:val="3"/>
    </w:lvl>
  </w:abstractNum>
  <w:abstractNum w:abstractNumId="183">
    <w:nsid w:val="4E5DCB5"/>
    <w:multiLevelType w:val="hybridMultilevel"/>
    <w:lvl w:ilvl="0">
      <w:lvlJc w:val="left"/>
      <w:lvlText w:val="%1."/>
      <w:numFmt w:val="decimal"/>
      <w:start w:val="4"/>
    </w:lvl>
  </w:abstractNum>
  <w:abstractNum w:abstractNumId="184">
    <w:nsid w:val="41E96BDB"/>
    <w:multiLevelType w:val="hybridMultilevel"/>
    <w:lvl w:ilvl="0">
      <w:lvlJc w:val="left"/>
      <w:lvlText w:val="%1."/>
      <w:numFmt w:val="decimal"/>
      <w:start w:val="5"/>
    </w:lvl>
  </w:abstractNum>
  <w:abstractNum w:abstractNumId="185">
    <w:nsid w:val="331C4250"/>
    <w:multiLevelType w:val="hybridMultilevel"/>
    <w:lvl w:ilvl="0">
      <w:lvlJc w:val="left"/>
      <w:lvlText w:val="%1."/>
      <w:numFmt w:val="decimal"/>
      <w:start w:val="6"/>
    </w:lvl>
  </w:abstractNum>
  <w:abstractNum w:abstractNumId="186">
    <w:nsid w:val="1B1493C2"/>
    <w:multiLevelType w:val="hybridMultilevel"/>
    <w:lvl w:ilvl="0">
      <w:lvlJc w:val="left"/>
      <w:lvlText w:val="%1."/>
      <w:numFmt w:val="decimal"/>
      <w:start w:val="7"/>
    </w:lvl>
  </w:abstractNum>
  <w:abstractNum w:abstractNumId="187">
    <w:nsid w:val="39F06DFD"/>
    <w:multiLevelType w:val="hybridMultilevel"/>
    <w:lvl w:ilvl="0">
      <w:lvlJc w:val="left"/>
      <w:lvlText w:val="%1."/>
      <w:numFmt w:val="decimal"/>
      <w:start w:val="8"/>
    </w:lvl>
  </w:abstractNum>
  <w:abstractNum w:abstractNumId="188">
    <w:nsid w:val="14802F5D"/>
    <w:multiLevelType w:val="hybridMultilevel"/>
    <w:lvl w:ilvl="0">
      <w:lvlJc w:val="left"/>
      <w:lvlText w:val="(%1)"/>
      <w:numFmt w:val="decimal"/>
      <w:start w:val="3"/>
    </w:lvl>
  </w:abstractNum>
  <w:abstractNum w:abstractNumId="189">
    <w:nsid w:val="2774A209"/>
    <w:multiLevelType w:val="hybridMultilevel"/>
    <w:lvl w:ilvl="0">
      <w:lvlJc w:val="left"/>
      <w:lvlText w:val="%1."/>
      <w:numFmt w:val="decimal"/>
      <w:start w:val="1"/>
    </w:lvl>
  </w:abstractNum>
  <w:abstractNum w:abstractNumId="190">
    <w:nsid w:val="3785655A"/>
    <w:multiLevelType w:val="hybridMultilevel"/>
    <w:lvl w:ilvl="0">
      <w:lvlJc w:val="left"/>
      <w:lvlText w:val="%1."/>
      <w:numFmt w:val="decimal"/>
      <w:start w:val="1"/>
    </w:lvl>
  </w:abstractNum>
  <w:abstractNum w:abstractNumId="191">
    <w:nsid w:val="B2172A"/>
    <w:multiLevelType w:val="hybridMultilevel"/>
    <w:lvl w:ilvl="0">
      <w:lvlJc w:val="left"/>
      <w:lvlText w:val="%1."/>
      <w:numFmt w:val="decimal"/>
      <w:start w:val="2"/>
    </w:lvl>
  </w:abstractNum>
  <w:abstractNum w:abstractNumId="192">
    <w:nsid w:val="532C34A5"/>
    <w:multiLevelType w:val="hybridMultilevel"/>
    <w:lvl w:ilvl="0">
      <w:lvlJc w:val="left"/>
      <w:lvlText w:val="%1."/>
      <w:numFmt w:val="decimal"/>
      <w:start w:val="3"/>
    </w:lvl>
  </w:abstractNum>
  <w:abstractNum w:abstractNumId="193">
    <w:nsid w:val="102809E2"/>
    <w:multiLevelType w:val="hybridMultilevel"/>
    <w:lvl w:ilvl="0">
      <w:lvlJc w:val="left"/>
      <w:lvlText w:val="%1."/>
      <w:numFmt w:val="decimal"/>
      <w:start w:val="4"/>
    </w:lvl>
  </w:abstractNum>
  <w:abstractNum w:abstractNumId="194">
    <w:nsid w:val="3B2125A3"/>
    <w:multiLevelType w:val="hybridMultilevel"/>
    <w:lvl w:ilvl="0">
      <w:lvlJc w:val="left"/>
      <w:lvlText w:val="%1."/>
      <w:numFmt w:val="decimal"/>
      <w:start w:val="5"/>
    </w:lvl>
  </w:abstractNum>
  <w:abstractNum w:abstractNumId="195">
    <w:nsid w:val="AC68FFB"/>
    <w:multiLevelType w:val="hybridMultilevel"/>
    <w:lvl w:ilvl="0">
      <w:lvlJc w:val="left"/>
      <w:lvlText w:val="%1."/>
      <w:numFmt w:val="decimal"/>
      <w:start w:val="6"/>
    </w:lvl>
  </w:abstractNum>
  <w:abstractNum w:abstractNumId="196">
    <w:nsid w:val="63DF3FB7"/>
    <w:multiLevelType w:val="hybridMultilevel"/>
    <w:lvl w:ilvl="0">
      <w:lvlJc w:val="left"/>
      <w:lvlText w:val="%1."/>
      <w:numFmt w:val="decimal"/>
      <w:start w:val="7"/>
    </w:lvl>
  </w:abstractNum>
  <w:abstractNum w:abstractNumId="197">
    <w:nsid w:val="64996E13"/>
    <w:multiLevelType w:val="hybridMultilevel"/>
    <w:lvl w:ilvl="0">
      <w:lvlJc w:val="left"/>
      <w:lvlText w:val="%1."/>
      <w:numFmt w:val="decimal"/>
      <w:start w:val="8"/>
    </w:lvl>
  </w:abstractNum>
  <w:abstractNum w:abstractNumId="198">
    <w:nsid w:val="57A37D47"/>
    <w:multiLevelType w:val="hybridMultilevel"/>
    <w:lvl w:ilvl="0">
      <w:lvlJc w:val="left"/>
      <w:lvlText w:val="%1."/>
      <w:numFmt w:val="decimal"/>
      <w:start w:val="9"/>
    </w:lvl>
  </w:abstractNum>
  <w:abstractNum w:abstractNumId="199">
    <w:nsid w:val="74824D54"/>
    <w:multiLevelType w:val="hybridMultilevel"/>
    <w:lvl w:ilvl="0">
      <w:lvlJc w:val="left"/>
      <w:lvlText w:val="%1."/>
      <w:numFmt w:val="decimal"/>
      <w:start w:val="10"/>
    </w:lvl>
  </w:abstractNum>
  <w:abstractNum w:abstractNumId="200">
    <w:nsid w:val="6F00529A"/>
    <w:multiLevelType w:val="hybridMultilevel"/>
    <w:lvl w:ilvl="0">
      <w:lvlJc w:val="left"/>
      <w:lvlText w:val="%1."/>
      <w:numFmt w:val="decimal"/>
      <w:start w:val="12"/>
    </w:lvl>
  </w:abstractNum>
  <w:abstractNum w:abstractNumId="201">
    <w:nsid w:val="805B331"/>
    <w:multiLevelType w:val="hybridMultilevel"/>
    <w:lvl w:ilvl="0">
      <w:lvlJc w:val="left"/>
      <w:lvlText w:val="%1."/>
      <w:numFmt w:val="decimal"/>
      <w:start w:val="13"/>
    </w:lvl>
  </w:abstractNum>
  <w:abstractNum w:abstractNumId="202">
    <w:nsid w:val="60A1463"/>
    <w:multiLevelType w:val="hybridMultilevel"/>
    <w:lvl w:ilvl="0">
      <w:lvlJc w:val="left"/>
      <w:lvlText w:val="%1."/>
      <w:numFmt w:val="decimal"/>
      <w:start w:val="15"/>
    </w:lvl>
  </w:abstractNum>
  <w:abstractNum w:abstractNumId="203">
    <w:nsid w:val="43773132"/>
    <w:multiLevelType w:val="hybridMultilevel"/>
    <w:lvl w:ilvl="0">
      <w:lvlJc w:val="left"/>
      <w:lvlText w:val="%1."/>
      <w:numFmt w:val="decimal"/>
      <w:start w:val="1"/>
    </w:lvl>
  </w:abstractNum>
  <w:abstractNum w:abstractNumId="204">
    <w:nsid w:val="16AC4B23"/>
    <w:multiLevelType w:val="hybridMultilevel"/>
    <w:lvl w:ilvl="0">
      <w:lvlJc w:val="left"/>
      <w:lvlText w:val="%1."/>
      <w:numFmt w:val="decimal"/>
      <w:start w:val="1"/>
    </w:lvl>
  </w:abstractNum>
  <w:abstractNum w:abstractNumId="205">
    <w:nsid w:val="76C44E4E"/>
    <w:multiLevelType w:val="hybridMultilevel"/>
    <w:lvl w:ilvl="0">
      <w:lvlJc w:val="left"/>
      <w:lvlText w:val="%1."/>
      <w:numFmt w:val="decimal"/>
      <w:start w:val="1"/>
    </w:lvl>
  </w:abstractNum>
  <w:abstractNum w:abstractNumId="206">
    <w:nsid w:val="E04E6CE"/>
    <w:multiLevelType w:val="hybridMultilevel"/>
    <w:lvl w:ilvl="0">
      <w:lvlJc w:val="left"/>
      <w:lvlText w:val="%1."/>
      <w:numFmt w:val="decimal"/>
      <w:start w:val="2"/>
    </w:lvl>
  </w:abstractNum>
  <w:abstractNum w:abstractNumId="207">
    <w:nsid w:val="31A9DB76"/>
    <w:multiLevelType w:val="hybridMultilevel"/>
    <w:lvl w:ilvl="0">
      <w:lvlJc w:val="left"/>
      <w:lvlText w:val="(%1)"/>
      <w:numFmt w:val="lowerLetter"/>
      <w:start w:val="1"/>
    </w:lvl>
  </w:abstractNum>
  <w:abstractNum w:abstractNumId="208">
    <w:nsid w:val="4C4FFF5B"/>
    <w:multiLevelType w:val="hybridMultilevel"/>
    <w:lvl w:ilvl="0">
      <w:lvlJc w:val="left"/>
      <w:lvlText w:val="%1"/>
      <w:numFmt w:val="decimal"/>
      <w:start w:val="1"/>
    </w:lvl>
    <w:lvl w:ilvl="1">
      <w:lvlJc w:val="left"/>
      <w:lvlText w:val="(%2)"/>
      <w:numFmt w:val="lowerLetter"/>
      <w:start w:val="1"/>
    </w:lvl>
  </w:abstractNum>
  <w:abstractNum w:abstractNumId="209">
    <w:nsid w:val="51B76675"/>
    <w:multiLevelType w:val="hybridMultilevel"/>
    <w:lvl w:ilvl="0">
      <w:lvlJc w:val="left"/>
      <w:lvlText w:val="%1."/>
      <w:numFmt w:val="decimal"/>
      <w:start w:val="3"/>
    </w:lvl>
    <w:lvl w:ilvl="1">
      <w:lvlJc w:val="left"/>
      <w:lvlText w:val="%2"/>
      <w:numFmt w:val="lowerLetter"/>
      <w:start w:val="1"/>
    </w:lvl>
  </w:abstractNum>
  <w:abstractNum w:abstractNumId="210">
    <w:nsid w:val="59A4BA71"/>
    <w:multiLevelType w:val="hybridMultilevel"/>
    <w:lvl w:ilvl="0">
      <w:lvlJc w:val="left"/>
      <w:lvlText w:val="(%1)"/>
      <w:numFmt w:val="lowerLetter"/>
      <w:start w:val="1"/>
    </w:lvl>
  </w:abstractNum>
  <w:abstractNum w:abstractNumId="211">
    <w:nsid w:val="450B7FB6"/>
    <w:multiLevelType w:val="hybridMultilevel"/>
    <w:lvl w:ilvl="0">
      <w:lvlJc w:val="left"/>
      <w:lvlText w:val="(%1)"/>
      <w:numFmt w:val="lowerLetter"/>
      <w:start w:val="2"/>
    </w:lvl>
  </w:abstractNum>
  <w:abstractNum w:abstractNumId="212">
    <w:nsid w:val="340BF64D"/>
    <w:multiLevelType w:val="hybridMultilevel"/>
    <w:lvl w:ilvl="0">
      <w:lvlJc w:val="left"/>
      <w:lvlText w:val="(%1)"/>
      <w:numFmt w:val="lowerLetter"/>
      <w:start w:val="1"/>
    </w:lvl>
  </w:abstractNum>
  <w:abstractNum w:abstractNumId="213">
    <w:nsid w:val="69454021"/>
    <w:multiLevelType w:val="hybridMultilevel"/>
    <w:lvl w:ilvl="0">
      <w:lvlJc w:val="left"/>
      <w:lvlText w:val="(%1)"/>
      <w:numFmt w:val="lowerLetter"/>
      <w:start w:val="5"/>
    </w:lvl>
  </w:abstractNum>
  <w:abstractNum w:abstractNumId="214">
    <w:nsid w:val="49F15C6B"/>
    <w:multiLevelType w:val="hybridMultilevel"/>
    <w:lvl w:ilvl="0">
      <w:lvlJc w:val="left"/>
      <w:lvlText w:val="(%1)"/>
      <w:numFmt w:val="lowerLetter"/>
      <w:start w:val="1"/>
    </w:lvl>
  </w:abstractNum>
  <w:abstractNum w:abstractNumId="215">
    <w:nsid w:val="75F56228"/>
    <w:multiLevelType w:val="hybridMultilevel"/>
    <w:lvl w:ilvl="0">
      <w:lvlJc w:val="left"/>
      <w:lvlText w:val="%1."/>
      <w:numFmt w:val="decimal"/>
      <w:start w:val="4"/>
    </w:lvl>
  </w:abstractNum>
  <w:abstractNum w:abstractNumId="216">
    <w:nsid w:val="1C618271"/>
    <w:multiLevelType w:val="hybridMultilevel"/>
    <w:lvl w:ilvl="0">
      <w:lvlJc w:val="left"/>
      <w:lvlText w:val="%1."/>
      <w:numFmt w:val="decimal"/>
      <w:start w:val="5"/>
    </w:lvl>
  </w:abstractNum>
  <w:abstractNum w:abstractNumId="217">
    <w:nsid w:val="6505F02E"/>
    <w:multiLevelType w:val="hybridMultilevel"/>
    <w:lvl w:ilvl="0">
      <w:lvlJc w:val="left"/>
      <w:lvlText w:val="%1."/>
      <w:numFmt w:val="decimal"/>
      <w:start w:val="6"/>
    </w:lvl>
  </w:abstractNum>
  <w:abstractNum w:abstractNumId="218">
    <w:nsid w:val="2FE5D025"/>
    <w:multiLevelType w:val="hybridMultilevel"/>
    <w:lvl w:ilvl="0">
      <w:lvlJc w:val="left"/>
      <w:lvlText w:val="%1."/>
      <w:numFmt w:val="decimal"/>
      <w:start w:val="7"/>
    </w:lvl>
  </w:abstractNum>
  <w:abstractNum w:abstractNumId="219">
    <w:nsid w:val="30E1B1CF"/>
    <w:multiLevelType w:val="hybridMultilevel"/>
    <w:lvl w:ilvl="0">
      <w:lvlJc w:val="left"/>
      <w:lvlText w:val="%1."/>
      <w:numFmt w:val="decimal"/>
      <w:start w:val="8"/>
    </w:lvl>
  </w:abstractNum>
  <w:abstractNum w:abstractNumId="220">
    <w:nsid w:val="C7A9237"/>
    <w:multiLevelType w:val="hybridMultilevel"/>
    <w:lvl w:ilvl="0">
      <w:lvlJc w:val="left"/>
      <w:lvlText w:val="(%1)"/>
      <w:numFmt w:val="lowerLetter"/>
      <w:start w:val="1"/>
    </w:lvl>
  </w:abstractNum>
  <w:abstractNum w:abstractNumId="221">
    <w:nsid w:val="676B3580"/>
    <w:multiLevelType w:val="hybridMultilevel"/>
    <w:lvl w:ilvl="0">
      <w:lvlJc w:val="left"/>
      <w:lvlText w:val="(%1)"/>
      <w:numFmt w:val="decimal"/>
      <w:start w:val="3"/>
    </w:lvl>
  </w:abstractNum>
  <w:abstractNum w:abstractNumId="222">
    <w:nsid w:val="3193C8F9"/>
    <w:multiLevelType w:val="hybridMultilevel"/>
    <w:lvl w:ilvl="0">
      <w:lvlJc w:val="left"/>
      <w:lvlText w:val="%1."/>
      <w:numFmt w:val="decimal"/>
      <w:start w:val="1"/>
    </w:lvl>
  </w:abstractNum>
  <w:abstractNum w:abstractNumId="223">
    <w:nsid w:val="5FA6C6DC"/>
    <w:multiLevelType w:val="hybridMultilevel"/>
    <w:lvl w:ilvl="0">
      <w:lvlJc w:val="left"/>
      <w:lvlText w:val="%1."/>
      <w:numFmt w:val="decimal"/>
      <w:start w:val="1"/>
    </w:lvl>
  </w:abstractNum>
  <w:abstractNum w:abstractNumId="224">
    <w:nsid w:val="77933F62"/>
    <w:multiLevelType w:val="hybridMultilevel"/>
    <w:lvl w:ilvl="0">
      <w:lvlJc w:val="left"/>
      <w:lvlText w:val="%1."/>
      <w:numFmt w:val="decimal"/>
      <w:start w:val="2"/>
    </w:lvl>
  </w:abstractNum>
  <w:abstractNum w:abstractNumId="225">
    <w:nsid w:val="6CB4EE9C"/>
    <w:multiLevelType w:val="hybridMultilevel"/>
    <w:lvl w:ilvl="0">
      <w:lvlJc w:val="left"/>
      <w:lvlText w:val="%1."/>
      <w:numFmt w:val="decimal"/>
      <w:start w:val="3"/>
    </w:lvl>
  </w:abstractNum>
  <w:abstractNum w:abstractNumId="226">
    <w:nsid w:val="6A6D56D7"/>
    <w:multiLevelType w:val="hybridMultilevel"/>
    <w:lvl w:ilvl="0">
      <w:lvlJc w:val="left"/>
      <w:lvlText w:val="%1."/>
      <w:numFmt w:val="decimal"/>
      <w:start w:val="4"/>
    </w:lvl>
  </w:abstractNum>
  <w:abstractNum w:abstractNumId="227">
    <w:nsid w:val="5B727F19"/>
    <w:multiLevelType w:val="hybridMultilevel"/>
    <w:lvl w:ilvl="0">
      <w:lvlJc w:val="left"/>
      <w:lvlText w:val="%1."/>
      <w:numFmt w:val="decimal"/>
      <w:start w:val="5"/>
    </w:lvl>
  </w:abstractNum>
  <w:abstractNum w:abstractNumId="228">
    <w:nsid w:val="514E5CB0"/>
    <w:multiLevelType w:val="hybridMultilevel"/>
    <w:lvl w:ilvl="0">
      <w:lvlJc w:val="left"/>
      <w:lvlText w:val="%1."/>
      <w:numFmt w:val="decimal"/>
      <w:start w:val="6"/>
    </w:lvl>
  </w:abstractNum>
  <w:abstractNum w:abstractNumId="229">
    <w:nsid w:val="4210D41E"/>
    <w:multiLevelType w:val="hybridMultilevel"/>
    <w:lvl w:ilvl="0">
      <w:lvlJc w:val="left"/>
      <w:lvlText w:val="%1."/>
      <w:numFmt w:val="decimal"/>
      <w:start w:val="7"/>
    </w:lvl>
  </w:abstractNum>
  <w:abstractNum w:abstractNumId="230">
    <w:nsid w:val="4FF4CC6D"/>
    <w:multiLevelType w:val="hybridMultilevel"/>
    <w:lvl w:ilvl="0">
      <w:lvlJc w:val="left"/>
      <w:lvlText w:val="%1."/>
      <w:numFmt w:val="decimal"/>
      <w:start w:val="8"/>
    </w:lvl>
  </w:abstractNum>
  <w:abstractNum w:abstractNumId="231">
    <w:nsid w:val="404EAF4A"/>
    <w:multiLevelType w:val="hybridMultilevel"/>
    <w:lvl w:ilvl="0">
      <w:lvlJc w:val="left"/>
      <w:lvlText w:val="%1."/>
      <w:numFmt w:val="decimal"/>
      <w:start w:val="9"/>
    </w:lvl>
  </w:abstractNum>
  <w:abstractNum w:abstractNumId="232">
    <w:nsid w:val="4A16874F"/>
    <w:multiLevelType w:val="hybridMultilevel"/>
    <w:lvl w:ilvl="0">
      <w:lvlJc w:val="left"/>
      <w:lvlText w:val="%1."/>
      <w:numFmt w:val="decimal"/>
      <w:start w:val="10"/>
    </w:lvl>
  </w:abstractNum>
  <w:abstractNum w:abstractNumId="233">
    <w:nsid w:val="55FEE0D1"/>
    <w:multiLevelType w:val="hybridMultilevel"/>
    <w:lvl w:ilvl="0">
      <w:lvlJc w:val="left"/>
      <w:lvlText w:val="%1."/>
      <w:numFmt w:val="decimal"/>
      <w:start w:val="11"/>
    </w:lvl>
  </w:abstractNum>
  <w:abstractNum w:abstractNumId="234">
    <w:nsid w:val="3C5E07C"/>
    <w:multiLevelType w:val="hybridMultilevel"/>
    <w:lvl w:ilvl="0">
      <w:lvlJc w:val="left"/>
      <w:lvlText w:val="%1."/>
      <w:numFmt w:val="decimal"/>
      <w:start w:val="12"/>
    </w:lvl>
  </w:abstractNum>
  <w:abstractNum w:abstractNumId="235">
    <w:nsid w:val="60C2D273"/>
    <w:multiLevelType w:val="hybridMultilevel"/>
    <w:lvl w:ilvl="0">
      <w:lvlJc w:val="left"/>
      <w:lvlText w:val="%1."/>
      <w:numFmt w:val="decimal"/>
      <w:start w:val="13"/>
    </w:lvl>
  </w:abstractNum>
  <w:abstractNum w:abstractNumId="236">
    <w:nsid w:val="4CC32F1F"/>
    <w:multiLevelType w:val="hybridMultilevel"/>
    <w:lvl w:ilvl="0">
      <w:lvlJc w:val="left"/>
      <w:lvlText w:val="%1."/>
      <w:numFmt w:val="decimal"/>
      <w:start w:val="14"/>
    </w:lvl>
  </w:abstractNum>
  <w:abstractNum w:abstractNumId="237">
    <w:nsid w:val="11CAC74A"/>
    <w:multiLevelType w:val="hybridMultilevel"/>
    <w:lvl w:ilvl="0">
      <w:lvlJc w:val="left"/>
      <w:lvlText w:val="%1."/>
      <w:numFmt w:val="decimal"/>
      <w:start w:val="15"/>
    </w:lvl>
  </w:abstractNum>
  <w:abstractNum w:abstractNumId="238">
    <w:nsid w:val="126CADE9"/>
    <w:multiLevelType w:val="hybridMultilevel"/>
    <w:lvl w:ilvl="0">
      <w:lvlJc w:val="left"/>
      <w:lvlText w:val="%1."/>
      <w:numFmt w:val="decimal"/>
      <w:start w:val="16"/>
    </w:lvl>
  </w:abstractNum>
  <w:abstractNum w:abstractNumId="239">
    <w:nsid w:val="19132E7B"/>
    <w:multiLevelType w:val="hybridMultilevel"/>
    <w:lvl w:ilvl="0">
      <w:lvlJc w:val="left"/>
      <w:lvlText w:val="%1."/>
      <w:numFmt w:val="decimal"/>
      <w:start w:val="1"/>
    </w:lvl>
  </w:abstractNum>
  <w:abstractNum w:abstractNumId="240">
    <w:nsid w:val="63822DC0"/>
    <w:multiLevelType w:val="hybridMultilevel"/>
    <w:lvl w:ilvl="0">
      <w:lvlJc w:val="left"/>
      <w:lvlText w:val="%1."/>
      <w:numFmt w:val="upperLetter"/>
      <w:start w:val="9"/>
    </w:lvl>
  </w:abstractNum>
  <w:abstractNum w:abstractNumId="241">
    <w:nsid w:val="6C11685A"/>
    <w:multiLevelType w:val="hybridMultilevel"/>
    <w:lvl w:ilvl="0">
      <w:lvlJc w:val="left"/>
      <w:lvlText w:val="%1."/>
      <w:numFmt w:val="upperLetter"/>
      <w:start w:val="35"/>
    </w:lvl>
    <w:lvl w:ilvl="1">
      <w:lvlJc w:val="left"/>
      <w:lvlText w:val="%2."/>
      <w:numFmt w:val="decimal"/>
      <w:start w:val="1"/>
    </w:lvl>
  </w:abstractNum>
  <w:abstractNum w:abstractNumId="242">
    <w:nsid w:val="5E1EAE31"/>
    <w:multiLevelType w:val="hybridMultilevel"/>
    <w:lvl w:ilvl="0">
      <w:lvlJc w:val="left"/>
      <w:lvlText w:val="%1."/>
      <w:numFmt w:val="upperLetter"/>
      <w:start w:val="61"/>
    </w:lvl>
  </w:abstractNum>
  <w:abstractNum w:abstractNumId="243">
    <w:nsid w:val="178E240D"/>
    <w:multiLevelType w:val="hybridMultilevel"/>
    <w:lvl w:ilvl="0">
      <w:lvlJc w:val="left"/>
      <w:lvlText w:val="%1."/>
      <w:numFmt w:val="decimal"/>
      <w:start w:val="1"/>
    </w:lvl>
  </w:abstractNum>
  <w:abstractNum w:abstractNumId="244">
    <w:nsid w:val="5556A87B"/>
    <w:multiLevelType w:val="hybridMultilevel"/>
    <w:lvl w:ilvl="0">
      <w:lvlJc w:val="left"/>
      <w:lvlText w:val="%1."/>
      <w:numFmt w:val="decimal"/>
      <w:start w:val="4"/>
    </w:lvl>
  </w:abstractNum>
  <w:abstractNum w:abstractNumId="245">
    <w:nsid w:val="28100A9C"/>
    <w:multiLevelType w:val="hybridMultilevel"/>
    <w:lvl w:ilvl="0">
      <w:lvlJc w:val="left"/>
      <w:lvlText w:val="%1."/>
      <w:numFmt w:val="decimal"/>
      <w:start w:val="1"/>
    </w:lvl>
  </w:abstractNum>
  <w:abstractNum w:abstractNumId="246">
    <w:nsid w:val="D838636"/>
    <w:multiLevelType w:val="hybridMultilevel"/>
    <w:lvl w:ilvl="0">
      <w:lvlJc w:val="left"/>
      <w:lvlText w:val="%1."/>
      <w:numFmt w:val="decimal"/>
      <w:start w:val="2"/>
    </w:lvl>
  </w:abstractNum>
  <w:abstractNum w:abstractNumId="247">
    <w:nsid w:val="71B82AED"/>
    <w:multiLevelType w:val="hybridMultilevel"/>
    <w:lvl w:ilvl="0">
      <w:lvlJc w:val="left"/>
      <w:lvlText w:val="%1."/>
      <w:numFmt w:val="decimal"/>
      <w:start w:val="3"/>
    </w:lvl>
  </w:abstractNum>
  <w:abstractNum w:abstractNumId="248">
    <w:nsid w:val="D15FACA"/>
    <w:multiLevelType w:val="hybridMultilevel"/>
    <w:lvl w:ilvl="0">
      <w:lvlJc w:val="left"/>
      <w:lvlText w:val="%1."/>
      <w:numFmt w:val="decimal"/>
      <w:start w:val="4"/>
    </w:lvl>
  </w:abstractNum>
  <w:abstractNum w:abstractNumId="249">
    <w:nsid w:val="3D69565B"/>
    <w:multiLevelType w:val="hybridMultilevel"/>
    <w:lvl w:ilvl="0">
      <w:lvlJc w:val="left"/>
      <w:lvlText w:val="%1."/>
      <w:numFmt w:val="decimal"/>
      <w:start w:val="5"/>
    </w:lvl>
  </w:abstractNum>
  <w:abstractNum w:abstractNumId="250">
    <w:nsid w:val="2299DCBC"/>
    <w:multiLevelType w:val="hybridMultilevel"/>
    <w:lvl w:ilvl="0">
      <w:lvlJc w:val="left"/>
      <w:lvlText w:val="%1."/>
      <w:numFmt w:val="decimal"/>
      <w:start w:val="6"/>
    </w:lvl>
  </w:abstractNum>
  <w:abstractNum w:abstractNumId="251">
    <w:nsid w:val="19908D02"/>
    <w:multiLevelType w:val="hybridMultilevel"/>
    <w:lvl w:ilvl="0">
      <w:lvlJc w:val="left"/>
      <w:lvlText w:val="%1."/>
      <w:numFmt w:val="decimal"/>
      <w:start w:val="7"/>
    </w:lvl>
  </w:abstractNum>
  <w:abstractNum w:abstractNumId="252">
    <w:nsid w:val="24D48BDB"/>
    <w:multiLevelType w:val="hybridMultilevel"/>
    <w:lvl w:ilvl="0">
      <w:lvlJc w:val="left"/>
      <w:lvlText w:val="%1."/>
      <w:numFmt w:val="decimal"/>
      <w:start w:val="8"/>
    </w:lvl>
  </w:abstractNum>
  <w:abstractNum w:abstractNumId="253">
    <w:nsid w:val="542DA5B5"/>
    <w:multiLevelType w:val="hybridMultilevel"/>
    <w:lvl w:ilvl="0">
      <w:lvlJc w:val="left"/>
      <w:lvlText w:val="%1."/>
      <w:numFmt w:val="decimal"/>
      <w:start w:val="1"/>
    </w:lvl>
  </w:abstractNum>
  <w:abstractNum w:abstractNumId="254">
    <w:nsid w:val="793753DE"/>
    <w:multiLevelType w:val="hybridMultilevel"/>
    <w:lvl w:ilvl="0">
      <w:lvlJc w:val="left"/>
      <w:lvlText w:val="%1."/>
      <w:numFmt w:val="decimal"/>
      <w:start w:val="1"/>
    </w:lvl>
  </w:abstractNum>
  <w:abstractNum w:abstractNumId="255">
    <w:nsid w:val="1C67CB3D"/>
    <w:multiLevelType w:val="hybridMultilevel"/>
    <w:lvl w:ilvl="0">
      <w:lvlJc w:val="left"/>
      <w:lvlText w:val="%1."/>
      <w:numFmt w:val="decimal"/>
      <w:start w:val="2"/>
    </w:lvl>
  </w:abstractNum>
  <w:abstractNum w:abstractNumId="256">
    <w:nsid w:val="40E29452"/>
    <w:multiLevelType w:val="hybridMultilevel"/>
    <w:lvl w:ilvl="0">
      <w:lvlJc w:val="left"/>
      <w:lvlText w:val="%1."/>
      <w:numFmt w:val="decimal"/>
      <w:start w:val="3"/>
    </w:lvl>
  </w:abstractNum>
  <w:abstractNum w:abstractNumId="257">
    <w:nsid w:val="63A4AAB6"/>
    <w:multiLevelType w:val="hybridMultilevel"/>
    <w:lvl w:ilvl="0">
      <w:lvlJc w:val="left"/>
      <w:lvlText w:val="%1."/>
      <w:numFmt w:val="decimal"/>
      <w:start w:val="4"/>
    </w:lvl>
  </w:abstractNum>
  <w:abstractNum w:abstractNumId="258">
    <w:nsid w:val="77DA4A57"/>
    <w:multiLevelType w:val="hybridMultilevel"/>
    <w:lvl w:ilvl="0">
      <w:lvlJc w:val="left"/>
      <w:lvlText w:val="%1."/>
      <w:numFmt w:val="decimal"/>
      <w:start w:val="5"/>
    </w:lvl>
  </w:abstractNum>
  <w:abstractNum w:abstractNumId="259">
    <w:nsid w:val="1230F102"/>
    <w:multiLevelType w:val="hybridMultilevel"/>
    <w:lvl w:ilvl="0">
      <w:lvlJc w:val="left"/>
      <w:lvlText w:val="%1."/>
      <w:numFmt w:val="decimal"/>
      <w:start w:val="6"/>
    </w:lvl>
  </w:abstractNum>
  <w:abstractNum w:abstractNumId="260">
    <w:nsid w:val="25B57ED4"/>
    <w:multiLevelType w:val="hybridMultilevel"/>
    <w:lvl w:ilvl="0">
      <w:lvlJc w:val="left"/>
      <w:lvlText w:val="%1."/>
      <w:numFmt w:val="decimal"/>
      <w:start w:val="7"/>
    </w:lvl>
  </w:abstractNum>
  <w:abstractNum w:abstractNumId="261">
    <w:nsid w:val="47CF16C4"/>
    <w:multiLevelType w:val="hybridMultilevel"/>
    <w:lvl w:ilvl="0">
      <w:lvlJc w:val="left"/>
      <w:lvlText w:val="%1."/>
      <w:numFmt w:val="decimal"/>
      <w:start w:val="8"/>
    </w:lvl>
  </w:abstractNum>
  <w:abstractNum w:abstractNumId="262">
    <w:nsid w:val="527FA04C"/>
    <w:multiLevelType w:val="hybridMultilevel"/>
    <w:lvl w:ilvl="0">
      <w:lvlJc w:val="left"/>
      <w:lvlText w:val="%1."/>
      <w:numFmt w:val="decimal"/>
      <w:start w:val="9"/>
    </w:lvl>
  </w:abstractNum>
  <w:abstractNum w:abstractNumId="263">
    <w:nsid w:val="6FCC0624"/>
    <w:multiLevelType w:val="hybridMultilevel"/>
    <w:lvl w:ilvl="0">
      <w:lvlJc w:val="left"/>
      <w:lvlText w:val="%1."/>
      <w:numFmt w:val="decimal"/>
      <w:start w:val="10"/>
    </w:lvl>
  </w:abstractNum>
  <w:abstractNum w:abstractNumId="264">
    <w:nsid w:val="1DCDF795"/>
    <w:multiLevelType w:val="hybridMultilevel"/>
    <w:lvl w:ilvl="0">
      <w:lvlJc w:val="left"/>
      <w:lvlText w:val="%1."/>
      <w:numFmt w:val="decimal"/>
      <w:start w:val="12"/>
    </w:lvl>
  </w:abstractNum>
  <w:abstractNum w:abstractNumId="265">
    <w:nsid w:val="564580C8"/>
    <w:multiLevelType w:val="hybridMultilevel"/>
    <w:lvl w:ilvl="0">
      <w:lvlJc w:val="left"/>
      <w:lvlText w:val="%1."/>
      <w:numFmt w:val="decimal"/>
      <w:start w:val="13"/>
    </w:lvl>
  </w:abstractNum>
  <w:abstractNum w:abstractNumId="266">
    <w:nsid w:val="508ED897"/>
    <w:multiLevelType w:val="hybridMultilevel"/>
    <w:lvl w:ilvl="0">
      <w:lvlJc w:val="left"/>
      <w:lvlText w:val="%1."/>
      <w:numFmt w:val="decimal"/>
      <w:start w:val="14"/>
    </w:lvl>
  </w:abstractNum>
  <w:abstractNum w:abstractNumId="267">
    <w:nsid w:val="6A9126B5"/>
    <w:multiLevelType w:val="hybridMultilevel"/>
    <w:lvl w:ilvl="0">
      <w:lvlJc w:val="left"/>
      <w:lvlText w:val="%1."/>
      <w:numFmt w:val="decimal"/>
      <w:start w:val="1"/>
    </w:lvl>
  </w:abstractNum>
  <w:abstractNum w:abstractNumId="268">
    <w:nsid w:val="68104812"/>
    <w:multiLevelType w:val="hybridMultilevel"/>
    <w:lvl w:ilvl="0">
      <w:lvlJc w:val="left"/>
      <w:lvlText w:val="%1."/>
      <w:numFmt w:val="decimal"/>
      <w:start w:val="1"/>
    </w:lvl>
  </w:abstractNum>
  <w:abstractNum w:abstractNumId="269">
    <w:nsid w:val="62FB8680"/>
    <w:multiLevelType w:val="hybridMultilevel"/>
    <w:lvl w:ilvl="0">
      <w:lvlJc w:val="left"/>
      <w:lvlText w:val="%1."/>
      <w:numFmt w:val="decimal"/>
      <w:start w:val="1"/>
    </w:lvl>
  </w:abstractNum>
  <w:abstractNum w:abstractNumId="270">
    <w:nsid w:val="3A45530"/>
    <w:multiLevelType w:val="hybridMultilevel"/>
    <w:lvl w:ilvl="0">
      <w:lvlJc w:val="left"/>
      <w:lvlText w:val="%1."/>
      <w:numFmt w:val="decimal"/>
      <w:start w:val="2"/>
    </w:lvl>
  </w:abstractNum>
  <w:abstractNum w:abstractNumId="271">
    <w:nsid w:val="4B9275D2"/>
    <w:multiLevelType w:val="hybridMultilevel"/>
    <w:lvl w:ilvl="0">
      <w:lvlJc w:val="left"/>
      <w:lvlText w:val="(%1)"/>
      <w:numFmt w:val="lowerLetter"/>
      <w:start w:val="1"/>
    </w:lvl>
  </w:abstractNum>
  <w:abstractNum w:abstractNumId="272">
    <w:nsid w:val="4F0CEEDB"/>
    <w:multiLevelType w:val="hybridMultilevel"/>
    <w:lvl w:ilvl="0">
      <w:lvlJc w:val="left"/>
      <w:lvlText w:val="%1"/>
      <w:numFmt w:val="decimal"/>
      <w:start w:val="1"/>
    </w:lvl>
    <w:lvl w:ilvl="1">
      <w:lvlJc w:val="left"/>
      <w:lvlText w:val="(%2)"/>
      <w:numFmt w:val="lowerLetter"/>
      <w:start w:val="1"/>
    </w:lvl>
  </w:abstractNum>
  <w:abstractNum w:abstractNumId="273">
    <w:nsid w:val="61C30361"/>
    <w:multiLevelType w:val="hybridMultilevel"/>
    <w:lvl w:ilvl="0">
      <w:lvlJc w:val="left"/>
      <w:lvlText w:val="%1."/>
      <w:numFmt w:val="decimal"/>
      <w:start w:val="3"/>
    </w:lvl>
    <w:lvl w:ilvl="1">
      <w:lvlJc w:val="left"/>
      <w:lvlText w:val="%2"/>
      <w:numFmt w:val="lowerLetter"/>
      <w:start w:val="1"/>
    </w:lvl>
  </w:abstractNum>
  <w:abstractNum w:abstractNumId="274">
    <w:nsid w:val="632099E0"/>
    <w:multiLevelType w:val="hybridMultilevel"/>
    <w:lvl w:ilvl="0">
      <w:lvlJc w:val="left"/>
      <w:lvlText w:val="(%1)"/>
      <w:numFmt w:val="lowerLetter"/>
      <w:start w:val="1"/>
    </w:lvl>
  </w:abstractNum>
  <w:abstractNum w:abstractNumId="275">
    <w:nsid w:val="24639756"/>
    <w:multiLevelType w:val="hybridMultilevel"/>
    <w:lvl w:ilvl="0">
      <w:lvlJc w:val="left"/>
      <w:lvlText w:val="(%1)"/>
      <w:numFmt w:val="lowerLetter"/>
      <w:start w:val="2"/>
    </w:lvl>
  </w:abstractNum>
  <w:abstractNum w:abstractNumId="276">
    <w:nsid w:val="9D30DFD"/>
    <w:multiLevelType w:val="hybridMultilevel"/>
    <w:lvl w:ilvl="0">
      <w:lvlJc w:val="left"/>
      <w:lvlText w:val="(%1)"/>
      <w:numFmt w:val="lowerLetter"/>
      <w:start w:val="7"/>
    </w:lvl>
  </w:abstractNum>
  <w:abstractNum w:abstractNumId="277">
    <w:nsid w:val="70A42016"/>
    <w:multiLevelType w:val="hybridMultilevel"/>
    <w:lvl w:ilvl="0">
      <w:lvlJc w:val="left"/>
      <w:lvlText w:val="(%1)"/>
      <w:numFmt w:val="lowerLetter"/>
      <w:start w:val="1"/>
    </w:lvl>
  </w:abstractNum>
  <w:abstractNum w:abstractNumId="278">
    <w:nsid w:val="161BC243"/>
    <w:multiLevelType w:val="hybridMultilevel"/>
    <w:lvl w:ilvl="0">
      <w:lvlJc w:val="left"/>
      <w:lvlText w:val="(%1)"/>
      <w:numFmt w:val="lowerLetter"/>
      <w:start w:val="1"/>
    </w:lvl>
  </w:abstractNum>
  <w:abstractNum w:abstractNumId="279">
    <w:nsid w:val="16E908C8"/>
    <w:multiLevelType w:val="hybridMultilevel"/>
    <w:lvl w:ilvl="0">
      <w:lvlJc w:val="left"/>
      <w:lvlText w:val="(%1)"/>
      <w:numFmt w:val="lowerLetter"/>
      <w:start w:val="4"/>
    </w:lvl>
  </w:abstractNum>
  <w:abstractNum w:abstractNumId="280">
    <w:nsid w:val="2E0D7671"/>
    <w:multiLevelType w:val="hybridMultilevel"/>
    <w:lvl w:ilvl="0">
      <w:lvlJc w:val="left"/>
      <w:lvlText w:val="(%1)"/>
      <w:numFmt w:val="lowerLetter"/>
      <w:start w:val="7"/>
    </w:lvl>
  </w:abstractNum>
  <w:abstractNum w:abstractNumId="281">
    <w:nsid w:val="38B59EFF"/>
    <w:multiLevelType w:val="hybridMultilevel"/>
    <w:lvl w:ilvl="0">
      <w:lvlJc w:val="left"/>
      <w:lvlText w:val="%1."/>
      <w:numFmt w:val="decimal"/>
      <w:start w:val="4"/>
    </w:lvl>
  </w:abstractNum>
  <w:abstractNum w:abstractNumId="282">
    <w:nsid w:val="307995CA"/>
    <w:multiLevelType w:val="hybridMultilevel"/>
    <w:lvl w:ilvl="0">
      <w:lvlJc w:val="left"/>
      <w:lvlText w:val="%1."/>
      <w:numFmt w:val="decimal"/>
      <w:start w:val="6"/>
    </w:lvl>
  </w:abstractNum>
  <w:abstractNum w:abstractNumId="283">
    <w:nsid w:val="52E2024D"/>
    <w:multiLevelType w:val="hybridMultilevel"/>
    <w:lvl w:ilvl="0">
      <w:lvlJc w:val="left"/>
      <w:lvlText w:val="%1."/>
      <w:numFmt w:val="decimal"/>
      <w:start w:val="7"/>
    </w:lvl>
  </w:abstractNum>
  <w:abstractNum w:abstractNumId="284">
    <w:nsid w:val="CE344B5"/>
    <w:multiLevelType w:val="hybridMultilevel"/>
    <w:lvl w:ilvl="0">
      <w:lvlJc w:val="left"/>
      <w:lvlText w:val="%1."/>
      <w:numFmt w:val="decimal"/>
      <w:start w:val="8"/>
    </w:lvl>
  </w:abstractNum>
  <w:abstractNum w:abstractNumId="285">
    <w:nsid w:val="29B0E9A8"/>
    <w:multiLevelType w:val="hybridMultilevel"/>
    <w:lvl w:ilvl="0">
      <w:lvlJc w:val="left"/>
      <w:lvlText w:val="(%1)"/>
      <w:numFmt w:val="lowerLetter"/>
      <w:start w:val="1"/>
    </w:lvl>
  </w:abstractNum>
  <w:abstractNum w:abstractNumId="286">
    <w:nsid w:val="6F49CD8A"/>
    <w:multiLevelType w:val="hybridMultilevel"/>
    <w:lvl w:ilvl="0">
      <w:lvlJc w:val="left"/>
      <w:lvlText w:val="%1."/>
      <w:numFmt w:val="decimal"/>
      <w:start w:val="1"/>
    </w:lvl>
  </w:abstractNum>
  <w:abstractNum w:abstractNumId="287">
    <w:nsid w:val="4DC5D907"/>
    <w:multiLevelType w:val="hybridMultilevel"/>
    <w:lvl w:ilvl="0">
      <w:lvlJc w:val="left"/>
      <w:lvlText w:val="%1."/>
      <w:numFmt w:val="decimal"/>
      <w:start w:val="1"/>
    </w:lvl>
  </w:abstractNum>
  <w:abstractNum w:abstractNumId="288">
    <w:nsid w:val="D55945E"/>
    <w:multiLevelType w:val="hybridMultilevel"/>
    <w:lvl w:ilvl="0">
      <w:lvlJc w:val="left"/>
      <w:lvlText w:val="%1."/>
      <w:numFmt w:val="decimal"/>
      <w:start w:val="2"/>
    </w:lvl>
  </w:abstractNum>
  <w:abstractNum w:abstractNumId="289">
    <w:nsid w:val="672417E1"/>
    <w:multiLevelType w:val="hybridMultilevel"/>
    <w:lvl w:ilvl="0">
      <w:lvlJc w:val="left"/>
      <w:lvlText w:val="%1."/>
      <w:numFmt w:val="decimal"/>
      <w:start w:val="3"/>
    </w:lvl>
  </w:abstractNum>
  <w:abstractNum w:abstractNumId="290">
    <w:nsid w:val="5FF6CA09"/>
    <w:multiLevelType w:val="hybridMultilevel"/>
    <w:lvl w:ilvl="0">
      <w:lvlJc w:val="left"/>
      <w:lvlText w:val="%1."/>
      <w:numFmt w:val="decimal"/>
      <w:start w:val="4"/>
    </w:lvl>
  </w:abstractNum>
  <w:abstractNum w:abstractNumId="291">
    <w:nsid w:val="330B1333"/>
    <w:multiLevelType w:val="hybridMultilevel"/>
    <w:lvl w:ilvl="0">
      <w:lvlJc w:val="left"/>
      <w:lvlText w:val="%1."/>
      <w:numFmt w:val="decimal"/>
      <w:start w:val="5"/>
    </w:lvl>
  </w:abstractNum>
  <w:abstractNum w:abstractNumId="292">
    <w:nsid w:val="2EF32EA6"/>
    <w:multiLevelType w:val="hybridMultilevel"/>
    <w:lvl w:ilvl="0">
      <w:lvlJc w:val="left"/>
      <w:lvlText w:val="%1."/>
      <w:numFmt w:val="decimal"/>
      <w:start w:val="6"/>
    </w:lvl>
  </w:abstractNum>
  <w:abstractNum w:abstractNumId="293">
    <w:nsid w:val="32766A55"/>
    <w:multiLevelType w:val="hybridMultilevel"/>
    <w:lvl w:ilvl="0">
      <w:lvlJc w:val="left"/>
      <w:lvlText w:val="%1."/>
      <w:numFmt w:val="decimal"/>
      <w:start w:val="7"/>
    </w:lvl>
  </w:abstractNum>
  <w:abstractNum w:abstractNumId="294">
    <w:nsid w:val="22D71957"/>
    <w:multiLevelType w:val="hybridMultilevel"/>
    <w:lvl w:ilvl="0">
      <w:lvlJc w:val="left"/>
      <w:lvlText w:val="%1."/>
      <w:numFmt w:val="decimal"/>
      <w:start w:val="8"/>
    </w:lvl>
  </w:abstractNum>
  <w:abstractNum w:abstractNumId="295">
    <w:nsid w:val="4CC1263B"/>
    <w:multiLevelType w:val="hybridMultilevel"/>
    <w:lvl w:ilvl="0">
      <w:lvlJc w:val="left"/>
      <w:lvlText w:val="%1."/>
      <w:numFmt w:val="decimal"/>
      <w:start w:val="9"/>
    </w:lvl>
  </w:abstractNum>
  <w:abstractNum w:abstractNumId="296">
    <w:nsid w:val="8BBEB1D"/>
    <w:multiLevelType w:val="hybridMultilevel"/>
    <w:lvl w:ilvl="0">
      <w:lvlJc w:val="left"/>
      <w:lvlText w:val="%1."/>
      <w:numFmt w:val="decimal"/>
      <w:start w:val="10"/>
    </w:lvl>
  </w:abstractNum>
  <w:abstractNum w:abstractNumId="297">
    <w:nsid w:val="7365F1EE"/>
    <w:multiLevelType w:val="hybridMultilevel"/>
    <w:lvl w:ilvl="0">
      <w:lvlJc w:val="left"/>
      <w:lvlText w:val="%1."/>
      <w:numFmt w:val="decimal"/>
      <w:start w:val="11"/>
    </w:lvl>
  </w:abstractNum>
  <w:abstractNum w:abstractNumId="298">
    <w:nsid w:val="37524CF0"/>
    <w:multiLevelType w:val="hybridMultilevel"/>
    <w:lvl w:ilvl="0">
      <w:lvlJc w:val="left"/>
      <w:lvlText w:val="%1."/>
      <w:numFmt w:val="decimal"/>
      <w:start w:val="12"/>
    </w:lvl>
  </w:abstractNum>
  <w:abstractNum w:abstractNumId="299">
    <w:nsid w:val="70CC332F"/>
    <w:multiLevelType w:val="hybridMultilevel"/>
    <w:lvl w:ilvl="0">
      <w:lvlJc w:val="left"/>
      <w:lvlText w:val="%1."/>
      <w:numFmt w:val="decimal"/>
      <w:start w:val="13"/>
    </w:lvl>
  </w:abstractNum>
  <w:abstractNum w:abstractNumId="300">
    <w:nsid w:val="5661786E"/>
    <w:multiLevelType w:val="hybridMultilevel"/>
    <w:lvl w:ilvl="0">
      <w:lvlJc w:val="left"/>
      <w:lvlText w:val="%1."/>
      <w:numFmt w:val="decimal"/>
      <w:start w:val="14"/>
    </w:lvl>
  </w:abstractNum>
  <w:abstractNum w:abstractNumId="301">
    <w:nsid w:val="3AF6A220"/>
    <w:multiLevelType w:val="hybridMultilevel"/>
    <w:lvl w:ilvl="0">
      <w:lvlJc w:val="left"/>
      <w:lvlText w:val="%1."/>
      <w:numFmt w:val="decimal"/>
      <w:start w:val="15"/>
    </w:lvl>
  </w:abstractNum>
  <w:abstractNum w:abstractNumId="302">
    <w:nsid w:val="3C5EA902"/>
    <w:multiLevelType w:val="hybridMultilevel"/>
    <w:lvl w:ilvl="0">
      <w:lvlJc w:val="left"/>
      <w:lvlText w:val="%1."/>
      <w:numFmt w:val="decimal"/>
      <w:start w:val="16"/>
    </w:lvl>
  </w:abstractNum>
  <w:abstractNum w:abstractNumId="303">
    <w:nsid w:val="256E6749"/>
    <w:multiLevelType w:val="hybridMultilevel"/>
    <w:lvl w:ilvl="0">
      <w:lvlJc w:val="left"/>
      <w:lvlText w:val="%1"/>
      <w:numFmt w:val="decimal"/>
      <w:start w:val="1"/>
    </w:lvl>
    <w:lvl w:ilvl="1">
      <w:lvlJc w:val="left"/>
      <w:lvlText w:val="%2."/>
      <w:numFmt w:val="decimal"/>
      <w:start w:val="1"/>
    </w:lvl>
  </w:abstractNum>
  <w:abstractNum w:abstractNumId="304">
    <w:nsid w:val="1CB9A581"/>
    <w:multiLevelType w:val="hybridMultilevel"/>
    <w:lvl w:ilvl="0">
      <w:lvlJc w:val="left"/>
      <w:lvlText w:val="%1."/>
      <w:numFmt w:val="decimal"/>
      <w:start w:val="2"/>
    </w:lvl>
    <w:lvl w:ilvl="1">
      <w:lvlJc w:val="left"/>
      <w:lvlText w:val="%2"/>
      <w:numFmt w:val="decimal"/>
      <w:start w:val="1"/>
    </w:lvl>
  </w:abstractNum>
  <w:abstractNum w:abstractNumId="305">
    <w:nsid w:val="1F7F42E2"/>
    <w:multiLevelType w:val="hybridMultilevel"/>
    <w:lvl w:ilvl="0">
      <w:lvlJc w:val="left"/>
      <w:lvlText w:val="%1."/>
      <w:numFmt w:val="upperLetter"/>
      <w:start w:val="9"/>
    </w:lvl>
  </w:abstractNum>
  <w:abstractNum w:abstractNumId="306">
    <w:nsid w:val="49D1FEA0"/>
    <w:multiLevelType w:val="hybridMultilevel"/>
    <w:lvl w:ilvl="0">
      <w:lvlJc w:val="left"/>
      <w:lvlText w:val="%1."/>
      <w:numFmt w:val="upperLetter"/>
      <w:start w:val="35"/>
    </w:lvl>
    <w:lvl w:ilvl="1">
      <w:lvlJc w:val="left"/>
      <w:lvlText w:val="%2."/>
      <w:numFmt w:val="decimal"/>
      <w:start w:val="1"/>
    </w:lvl>
  </w:abstractNum>
  <w:abstractNum w:abstractNumId="307">
    <w:nsid w:val="268CB37F"/>
    <w:multiLevelType w:val="hybridMultilevel"/>
    <w:lvl w:ilvl="0">
      <w:lvlJc w:val="left"/>
      <w:lvlText w:val="%1."/>
      <w:numFmt w:val="upperLetter"/>
      <w:start w:val="61"/>
    </w:lvl>
  </w:abstractNum>
  <w:abstractNum w:abstractNumId="308">
    <w:nsid w:val="102362F8"/>
    <w:multiLevelType w:val="hybridMultilevel"/>
    <w:lvl w:ilvl="0">
      <w:lvlJc w:val="left"/>
      <w:lvlText w:val="%1."/>
      <w:numFmt w:val="decimal"/>
      <w:start w:val="1"/>
    </w:lvl>
  </w:abstractNum>
  <w:abstractNum w:abstractNumId="309">
    <w:nsid w:val="5FEDC0E3"/>
    <w:multiLevelType w:val="hybridMultilevel"/>
    <w:lvl w:ilvl="0">
      <w:lvlJc w:val="left"/>
      <w:lvlText w:val="%1."/>
      <w:numFmt w:val="decimal"/>
      <w:start w:val="1"/>
    </w:lvl>
  </w:abstractNum>
  <w:abstractNum w:abstractNumId="310">
    <w:nsid w:val="3D75BC47"/>
    <w:multiLevelType w:val="hybridMultilevel"/>
    <w:lvl w:ilvl="0">
      <w:lvlJc w:val="left"/>
      <w:lvlText w:val="%1."/>
      <w:numFmt w:val="decimal"/>
      <w:start w:val="2"/>
    </w:lvl>
  </w:abstractNum>
  <w:abstractNum w:abstractNumId="311">
    <w:nsid w:val="3E30D969"/>
    <w:multiLevelType w:val="hybridMultilevel"/>
    <w:lvl w:ilvl="0">
      <w:lvlJc w:val="left"/>
      <w:lvlText w:val="%1."/>
      <w:numFmt w:val="decimal"/>
      <w:start w:val="3"/>
    </w:lvl>
  </w:abstractNum>
  <w:abstractNum w:abstractNumId="312">
    <w:nsid w:val="18A35FE3"/>
    <w:multiLevelType w:val="hybridMultilevel"/>
    <w:lvl w:ilvl="0">
      <w:lvlJc w:val="left"/>
      <w:lvlText w:val="%1."/>
      <w:numFmt w:val="decimal"/>
      <w:start w:val="4"/>
    </w:lvl>
  </w:abstractNum>
  <w:abstractNum w:abstractNumId="313">
    <w:nsid w:val="6DEF5211"/>
    <w:multiLevelType w:val="hybridMultilevel"/>
    <w:lvl w:ilvl="0">
      <w:lvlJc w:val="left"/>
      <w:lvlText w:val="%1."/>
      <w:numFmt w:val="decimal"/>
      <w:start w:val="5"/>
    </w:lvl>
  </w:abstractNum>
  <w:abstractNum w:abstractNumId="314">
    <w:nsid w:val="1112DBB6"/>
    <w:multiLevelType w:val="hybridMultilevel"/>
    <w:lvl w:ilvl="0">
      <w:lvlJc w:val="left"/>
      <w:lvlText w:val="%1."/>
      <w:numFmt w:val="decimal"/>
      <w:start w:val="7"/>
    </w:lvl>
  </w:abstractNum>
  <w:abstractNum w:abstractNumId="315">
    <w:nsid w:val="2586A498"/>
    <w:multiLevelType w:val="hybridMultilevel"/>
    <w:lvl w:ilvl="0">
      <w:lvlJc w:val="left"/>
      <w:lvlText w:val="%1."/>
      <w:numFmt w:val="decimal"/>
      <w:start w:val="1"/>
    </w:lvl>
  </w:abstractNum>
  <w:abstractNum w:abstractNumId="316">
    <w:nsid w:val="17A03BB9"/>
    <w:multiLevelType w:val="hybridMultilevel"/>
    <w:lvl w:ilvl="0">
      <w:lvlJc w:val="left"/>
      <w:lvlText w:val="%1."/>
      <w:numFmt w:val="decimal"/>
      <w:start w:val="1"/>
    </w:lvl>
  </w:abstractNum>
  <w:abstractNum w:abstractNumId="317">
    <w:nsid w:val="5CA941"/>
    <w:multiLevelType w:val="hybridMultilevel"/>
    <w:lvl w:ilvl="0">
      <w:lvlJc w:val="left"/>
      <w:lvlText w:val="%1."/>
      <w:numFmt w:val="decimal"/>
      <w:start w:val="2"/>
    </w:lvl>
  </w:abstractNum>
  <w:abstractNum w:abstractNumId="318">
    <w:nsid w:val="734C7D9F"/>
    <w:multiLevelType w:val="hybridMultilevel"/>
    <w:lvl w:ilvl="0">
      <w:lvlJc w:val="left"/>
      <w:lvlText w:val="%1."/>
      <w:numFmt w:val="decimal"/>
      <w:start w:val="3"/>
    </w:lvl>
  </w:abstractNum>
  <w:abstractNum w:abstractNumId="319">
    <w:nsid w:val="24F5D018"/>
    <w:multiLevelType w:val="hybridMultilevel"/>
    <w:lvl w:ilvl="0">
      <w:lvlJc w:val="left"/>
      <w:lvlText w:val="%1."/>
      <w:numFmt w:val="decimal"/>
      <w:start w:val="4"/>
    </w:lvl>
  </w:abstractNum>
  <w:abstractNum w:abstractNumId="320">
    <w:nsid w:val="6780C122"/>
    <w:multiLevelType w:val="hybridMultilevel"/>
    <w:lvl w:ilvl="0">
      <w:lvlJc w:val="left"/>
      <w:lvlText w:val="%1."/>
      <w:numFmt w:val="decimal"/>
      <w:start w:val="5"/>
    </w:lvl>
  </w:abstractNum>
  <w:abstractNum w:abstractNumId="321">
    <w:nsid w:val="534347A8"/>
    <w:multiLevelType w:val="hybridMultilevel"/>
    <w:lvl w:ilvl="0">
      <w:lvlJc w:val="left"/>
      <w:lvlText w:val="%1."/>
      <w:numFmt w:val="decimal"/>
      <w:start w:val="6"/>
    </w:lvl>
  </w:abstractNum>
  <w:abstractNum w:abstractNumId="322">
    <w:nsid w:val="5800E34B"/>
    <w:multiLevelType w:val="hybridMultilevel"/>
    <w:lvl w:ilvl="0">
      <w:lvlJc w:val="left"/>
      <w:lvlText w:val="%1."/>
      <w:numFmt w:val="decimal"/>
      <w:start w:val="7"/>
    </w:lvl>
  </w:abstractNum>
  <w:abstractNum w:abstractNumId="323">
    <w:nsid w:val="1673EFC8"/>
    <w:multiLevelType w:val="hybridMultilevel"/>
    <w:lvl w:ilvl="0">
      <w:lvlJc w:val="left"/>
      <w:lvlText w:val="%1."/>
      <w:numFmt w:val="decimal"/>
      <w:start w:val="8"/>
    </w:lvl>
  </w:abstractNum>
  <w:abstractNum w:abstractNumId="324">
    <w:nsid w:val="5B9B1FD"/>
    <w:multiLevelType w:val="hybridMultilevel"/>
    <w:lvl w:ilvl="0">
      <w:lvlJc w:val="left"/>
      <w:lvlText w:val="%1."/>
      <w:numFmt w:val="decimal"/>
      <w:start w:val="9"/>
    </w:lvl>
  </w:abstractNum>
  <w:abstractNum w:abstractNumId="325">
    <w:nsid w:val="7AD7FCA2"/>
    <w:multiLevelType w:val="hybridMultilevel"/>
    <w:lvl w:ilvl="0">
      <w:lvlJc w:val="left"/>
      <w:lvlText w:val="%1."/>
      <w:numFmt w:val="decimal"/>
      <w:start w:val="10"/>
    </w:lvl>
  </w:abstractNum>
  <w:abstractNum w:abstractNumId="326">
    <w:nsid w:val="63351604"/>
    <w:multiLevelType w:val="hybridMultilevel"/>
    <w:lvl w:ilvl="0">
      <w:lvlJc w:val="left"/>
      <w:lvlText w:val="%1."/>
      <w:numFmt w:val="decimal"/>
      <w:start w:val="12"/>
    </w:lvl>
  </w:abstractNum>
  <w:abstractNum w:abstractNumId="327">
    <w:nsid w:val="E759D1A"/>
    <w:multiLevelType w:val="hybridMultilevel"/>
    <w:lvl w:ilvl="0">
      <w:lvlJc w:val="left"/>
      <w:lvlText w:val="%1."/>
      <w:numFmt w:val="decimal"/>
      <w:start w:val="13"/>
    </w:lvl>
  </w:abstractNum>
  <w:abstractNum w:abstractNumId="328">
    <w:nsid w:val="6E3DEE90"/>
    <w:multiLevelType w:val="hybridMultilevel"/>
    <w:lvl w:ilvl="0">
      <w:lvlJc w:val="left"/>
      <w:lvlText w:val="%1."/>
      <w:numFmt w:val="decimal"/>
      <w:start w:val="1"/>
    </w:lvl>
  </w:abstractNum>
  <w:abstractNum w:abstractNumId="329">
    <w:nsid w:val="1A8762F4"/>
    <w:multiLevelType w:val="hybridMultilevel"/>
    <w:lvl w:ilvl="0">
      <w:lvlJc w:val="left"/>
      <w:lvlText w:val="%1."/>
      <w:numFmt w:val="decimal"/>
      <w:start w:val="1"/>
    </w:lvl>
  </w:abstractNum>
  <w:abstractNum w:abstractNumId="330">
    <w:nsid w:val="7F41D049"/>
    <w:multiLevelType w:val="hybridMultilevel"/>
    <w:lvl w:ilvl="0">
      <w:lvlJc w:val="left"/>
      <w:lvlText w:val="%1."/>
      <w:numFmt w:val="decimal"/>
      <w:start w:val="1"/>
    </w:lvl>
  </w:abstractNum>
  <w:abstractNum w:abstractNumId="331">
    <w:nsid w:val="449F66FE"/>
    <w:multiLevelType w:val="hybridMultilevel"/>
    <w:lvl w:ilvl="0">
      <w:lvlJc w:val="left"/>
      <w:lvlText w:val="%1."/>
      <w:numFmt w:val="decimal"/>
      <w:start w:val="2"/>
    </w:lvl>
  </w:abstractNum>
  <w:abstractNum w:abstractNumId="332">
    <w:nsid w:val="557E0515"/>
    <w:multiLevelType w:val="hybridMultilevel"/>
    <w:lvl w:ilvl="0">
      <w:lvlJc w:val="left"/>
      <w:lvlText w:val="(%1)"/>
      <w:numFmt w:val="lowerLetter"/>
      <w:start w:val="1"/>
    </w:lvl>
  </w:abstractNum>
  <w:abstractNum w:abstractNumId="333">
    <w:nsid w:val="3BA0794B"/>
    <w:multiLevelType w:val="hybridMultilevel"/>
    <w:lvl w:ilvl="0">
      <w:lvlJc w:val="left"/>
      <w:lvlText w:val="%1"/>
      <w:numFmt w:val="decimal"/>
      <w:start w:val="1"/>
    </w:lvl>
    <w:lvl w:ilvl="1">
      <w:lvlJc w:val="left"/>
      <w:lvlText w:val="(%2)"/>
      <w:numFmt w:val="lowerLetter"/>
      <w:start w:val="1"/>
    </w:lvl>
  </w:abstractNum>
  <w:abstractNum w:abstractNumId="334">
    <w:nsid w:val="6A0DCE48"/>
    <w:multiLevelType w:val="hybridMultilevel"/>
    <w:lvl w:ilvl="0">
      <w:lvlJc w:val="left"/>
      <w:lvlText w:val="%1."/>
      <w:numFmt w:val="decimal"/>
      <w:start w:val="3"/>
    </w:lvl>
    <w:lvl w:ilvl="1">
      <w:lvlJc w:val="left"/>
      <w:lvlText w:val="%2"/>
      <w:numFmt w:val="lowerLetter"/>
      <w:start w:val="1"/>
    </w:lvl>
  </w:abstractNum>
  <w:abstractNum w:abstractNumId="335">
    <w:nsid w:val="7237AA96"/>
    <w:multiLevelType w:val="hybridMultilevel"/>
    <w:lvl w:ilvl="0">
      <w:lvlJc w:val="left"/>
      <w:lvlText w:val="(%1)"/>
      <w:numFmt w:val="lowerLetter"/>
      <w:start w:val="1"/>
    </w:lvl>
  </w:abstractNum>
  <w:abstractNum w:abstractNumId="336">
    <w:nsid w:val="5B1FBC2D"/>
    <w:multiLevelType w:val="hybridMultilevel"/>
    <w:lvl w:ilvl="0">
      <w:lvlJc w:val="left"/>
      <w:lvlText w:val="(%1)"/>
      <w:numFmt w:val="lowerLetter"/>
      <w:start w:val="4"/>
    </w:lvl>
  </w:abstractNum>
  <w:abstractNum w:abstractNumId="337">
    <w:nsid w:val="33DFCCE8"/>
    <w:multiLevelType w:val="hybridMultilevel"/>
    <w:lvl w:ilvl="0">
      <w:lvlJc w:val="left"/>
      <w:lvlText w:val="(%1)"/>
      <w:numFmt w:val="lowerLetter"/>
      <w:start w:val="1"/>
    </w:lvl>
  </w:abstractNum>
  <w:abstractNum w:abstractNumId="338">
    <w:nsid w:val="18C45E15"/>
    <w:multiLevelType w:val="hybridMultilevel"/>
    <w:lvl w:ilvl="0">
      <w:lvlJc w:val="left"/>
      <w:lvlText w:val="(%1)"/>
      <w:numFmt w:val="lowerLetter"/>
      <w:start w:val="1"/>
    </w:lvl>
  </w:abstractNum>
  <w:abstractNum w:abstractNumId="339">
    <w:nsid w:val="6B431F25"/>
    <w:multiLevelType w:val="hybridMultilevel"/>
    <w:lvl w:ilvl="0">
      <w:lvlJc w:val="left"/>
      <w:lvlText w:val="%1."/>
      <w:numFmt w:val="decimal"/>
      <w:start w:val="4"/>
    </w:lvl>
  </w:abstractNum>
  <w:abstractNum w:abstractNumId="340">
    <w:nsid w:val="13CD8DCB"/>
    <w:multiLevelType w:val="hybridMultilevel"/>
    <w:lvl w:ilvl="0">
      <w:lvlJc w:val="left"/>
      <w:lvlText w:val="%1."/>
      <w:numFmt w:val="decimal"/>
      <w:start w:val="7"/>
    </w:lvl>
  </w:abstractNum>
  <w:abstractNum w:abstractNumId="341">
    <w:nsid w:val="563A1A5C"/>
    <w:multiLevelType w:val="hybridMultilevel"/>
    <w:lvl w:ilvl="0">
      <w:lvlJc w:val="left"/>
      <w:lvlText w:val="%1."/>
      <w:numFmt w:val="decimal"/>
      <w:start w:val="8"/>
    </w:lvl>
  </w:abstractNum>
  <w:abstractNum w:abstractNumId="342">
    <w:nsid w:val="2973F88F"/>
    <w:multiLevelType w:val="hybridMultilevel"/>
    <w:lvl w:ilvl="0">
      <w:lvlJc w:val="left"/>
      <w:lvlText w:val="(%1)"/>
      <w:numFmt w:val="lowerLetter"/>
      <w:start w:val="1"/>
    </w:lvl>
  </w:abstractNum>
  <w:abstractNum w:abstractNumId="343">
    <w:nsid w:val="2C70EDAE"/>
    <w:multiLevelType w:val="hybridMultilevel"/>
    <w:lvl w:ilvl="0">
      <w:lvlJc w:val="left"/>
      <w:lvlText w:val="%1."/>
      <w:numFmt w:val="decimal"/>
      <w:start w:val="1"/>
    </w:lvl>
  </w:abstractNum>
  <w:abstractNum w:abstractNumId="344">
    <w:nsid w:val="44296C6D"/>
    <w:multiLevelType w:val="hybridMultilevel"/>
    <w:lvl w:ilvl="0">
      <w:lvlJc w:val="left"/>
      <w:lvlText w:val="%1."/>
      <w:numFmt w:val="decimal"/>
      <w:start w:val="1"/>
    </w:lvl>
  </w:abstractNum>
  <w:abstractNum w:abstractNumId="345">
    <w:nsid w:val="3A86D445"/>
    <w:multiLevelType w:val="hybridMultilevel"/>
    <w:lvl w:ilvl="0">
      <w:lvlJc w:val="left"/>
      <w:lvlText w:val="%1."/>
      <w:numFmt w:val="decimal"/>
      <w:start w:val="2"/>
    </w:lvl>
  </w:abstractNum>
  <w:abstractNum w:abstractNumId="346">
    <w:nsid w:val="51F79246"/>
    <w:multiLevelType w:val="hybridMultilevel"/>
    <w:lvl w:ilvl="0">
      <w:lvlJc w:val="left"/>
      <w:lvlText w:val="%1."/>
      <w:numFmt w:val="decimal"/>
      <w:start w:val="3"/>
    </w:lvl>
  </w:abstractNum>
  <w:abstractNum w:abstractNumId="347">
    <w:nsid w:val="5BC9A827"/>
    <w:multiLevelType w:val="hybridMultilevel"/>
    <w:lvl w:ilvl="0">
      <w:lvlJc w:val="left"/>
      <w:lvlText w:val="%1."/>
      <w:numFmt w:val="decimal"/>
      <w:start w:val="4"/>
    </w:lvl>
  </w:abstractNum>
  <w:abstractNum w:abstractNumId="348">
    <w:nsid w:val="3AE37D86"/>
    <w:multiLevelType w:val="hybridMultilevel"/>
    <w:lvl w:ilvl="0">
      <w:lvlJc w:val="left"/>
      <w:lvlText w:val="%1."/>
      <w:numFmt w:val="decimal"/>
      <w:start w:val="5"/>
    </w:lvl>
  </w:abstractNum>
  <w:abstractNum w:abstractNumId="349">
    <w:nsid w:val="45440FE5"/>
    <w:multiLevelType w:val="hybridMultilevel"/>
    <w:lvl w:ilvl="0">
      <w:lvlJc w:val="left"/>
      <w:lvlText w:val="%1."/>
      <w:numFmt w:val="decimal"/>
      <w:start w:val="6"/>
    </w:lvl>
  </w:abstractNum>
  <w:abstractNum w:abstractNumId="350">
    <w:nsid w:val="BF783F"/>
    <w:multiLevelType w:val="hybridMultilevel"/>
    <w:lvl w:ilvl="0">
      <w:lvlJc w:val="left"/>
      <w:lvlText w:val="%1."/>
      <w:numFmt w:val="decimal"/>
      <w:start w:val="7"/>
    </w:lvl>
  </w:abstractNum>
  <w:abstractNum w:abstractNumId="351">
    <w:nsid w:val="22643EA9"/>
    <w:multiLevelType w:val="hybridMultilevel"/>
    <w:lvl w:ilvl="0">
      <w:lvlJc w:val="left"/>
      <w:lvlText w:val="%1."/>
      <w:numFmt w:val="decimal"/>
      <w:start w:val="8"/>
    </w:lvl>
  </w:abstractNum>
  <w:abstractNum w:abstractNumId="352">
    <w:nsid w:val="1887578D"/>
    <w:multiLevelType w:val="hybridMultilevel"/>
    <w:lvl w:ilvl="0">
      <w:lvlJc w:val="left"/>
      <w:lvlText w:val="%1."/>
      <w:numFmt w:val="decimal"/>
      <w:start w:val="9"/>
    </w:lvl>
  </w:abstractNum>
  <w:abstractNum w:abstractNumId="353">
    <w:nsid w:val="58C05B8A"/>
    <w:multiLevelType w:val="hybridMultilevel"/>
    <w:lvl w:ilvl="0">
      <w:lvlJc w:val="left"/>
      <w:lvlText w:val="%1."/>
      <w:numFmt w:val="decimal"/>
      <w:start w:val="10"/>
    </w:lvl>
  </w:abstractNum>
  <w:abstractNum w:abstractNumId="354">
    <w:nsid w:val="38D82E71"/>
    <w:multiLevelType w:val="hybridMultilevel"/>
    <w:lvl w:ilvl="0">
      <w:lvlJc w:val="left"/>
      <w:lvlText w:val="%1."/>
      <w:numFmt w:val="decimal"/>
      <w:start w:val="11"/>
    </w:lvl>
  </w:abstractNum>
  <w:abstractNum w:abstractNumId="355">
    <w:nsid w:val="1E41098A"/>
    <w:multiLevelType w:val="hybridMultilevel"/>
    <w:lvl w:ilvl="0">
      <w:lvlJc w:val="left"/>
      <w:lvlText w:val="%1."/>
      <w:numFmt w:val="decimal"/>
      <w:start w:val="12"/>
    </w:lvl>
  </w:abstractNum>
  <w:abstractNum w:abstractNumId="356">
    <w:nsid w:val="5398582C"/>
    <w:multiLevelType w:val="hybridMultilevel"/>
    <w:lvl w:ilvl="0">
      <w:lvlJc w:val="left"/>
      <w:lvlText w:val="%1."/>
      <w:numFmt w:val="decimal"/>
      <w:start w:val="13"/>
    </w:lvl>
  </w:abstractNum>
  <w:abstractNum w:abstractNumId="357">
    <w:nsid w:val="1C0D4475"/>
    <w:multiLevelType w:val="hybridMultilevel"/>
    <w:lvl w:ilvl="0">
      <w:lvlJc w:val="left"/>
      <w:lvlText w:val="%1."/>
      <w:numFmt w:val="decimal"/>
      <w:start w:val="14"/>
    </w:lvl>
  </w:abstractNum>
  <w:abstractNum w:abstractNumId="358">
    <w:nsid w:val="2CB6A6A4"/>
    <w:multiLevelType w:val="hybridMultilevel"/>
    <w:lvl w:ilvl="0">
      <w:lvlJc w:val="left"/>
      <w:lvlText w:val="%1."/>
      <w:numFmt w:val="decimal"/>
      <w:start w:val="15"/>
    </w:lvl>
  </w:abstractNum>
  <w:abstractNum w:abstractNumId="359">
    <w:nsid w:val="41D646BC"/>
    <w:multiLevelType w:val="hybridMultilevel"/>
    <w:lvl w:ilvl="0">
      <w:lvlJc w:val="left"/>
      <w:lvlText w:val="%1."/>
      <w:numFmt w:val="decimal"/>
      <w:start w:val="16"/>
    </w:lvl>
  </w:abstractNum>
  <w:abstractNum w:abstractNumId="360">
    <w:nsid w:val="3694A76A"/>
    <w:multiLevelType w:val="hybridMultilevel"/>
    <w:lvl w:ilvl="0">
      <w:lvlJc w:val="left"/>
      <w:lvlText w:val="%1."/>
      <w:numFmt w:val="decimal"/>
      <w:start w:val="1"/>
    </w:lvl>
  </w:abstractNum>
  <w:abstractNum w:abstractNumId="361">
    <w:nsid w:val="2BF876EE"/>
    <w:multiLevelType w:val="hybridMultilevel"/>
    <w:lvl w:ilvl="0">
      <w:lvlJc w:val="left"/>
      <w:lvlText w:val="%1."/>
      <w:numFmt w:val="upperLetter"/>
      <w:start w:val="9"/>
    </w:lvl>
  </w:abstractNum>
  <w:abstractNum w:abstractNumId="362">
    <w:nsid w:val="675ADBA"/>
    <w:multiLevelType w:val="hybridMultilevel"/>
    <w:lvl w:ilvl="0">
      <w:lvlJc w:val="left"/>
      <w:lvlText w:val="%1."/>
      <w:numFmt w:val="upperLetter"/>
      <w:start w:val="35"/>
    </w:lvl>
    <w:lvl w:ilvl="1">
      <w:lvlJc w:val="left"/>
      <w:lvlText w:val="%2."/>
      <w:numFmt w:val="decimal"/>
      <w:start w:val="1"/>
    </w:lvl>
  </w:abstractNum>
  <w:abstractNum w:abstractNumId="363">
    <w:nsid w:val="C12AC7F"/>
    <w:multiLevelType w:val="hybridMultilevel"/>
    <w:lvl w:ilvl="0">
      <w:lvlJc w:val="left"/>
      <w:lvlText w:val="%1."/>
      <w:numFmt w:val="upperLetter"/>
      <w:start w:val="61"/>
    </w:lvl>
  </w:abstractNum>
  <w:abstractNum w:abstractNumId="364">
    <w:nsid w:val="6798F039"/>
    <w:multiLevelType w:val="hybridMultilevel"/>
    <w:lvl w:ilvl="0">
      <w:lvlJc w:val="left"/>
      <w:lvlText w:val="%1."/>
      <w:numFmt w:val="decimal"/>
      <w:start w:val="1"/>
    </w:lvl>
  </w:abstractNum>
  <w:abstractNum w:abstractNumId="365">
    <w:nsid w:val="70837C02"/>
    <w:multiLevelType w:val="hybridMultilevel"/>
    <w:lvl w:ilvl="0">
      <w:lvlJc w:val="left"/>
      <w:lvlText w:val="%1."/>
      <w:numFmt w:val="decimal"/>
      <w:start w:val="1"/>
    </w:lvl>
  </w:abstractNum>
  <w:abstractNum w:abstractNumId="366">
    <w:nsid w:val="7E4A5715"/>
    <w:multiLevelType w:val="hybridMultilevel"/>
    <w:lvl w:ilvl="0">
      <w:lvlJc w:val="left"/>
      <w:lvlText w:val="%1."/>
      <w:numFmt w:val="decimal"/>
      <w:start w:val="2"/>
    </w:lvl>
  </w:abstractNum>
  <w:abstractNum w:abstractNumId="367">
    <w:nsid w:val="42B8AC67"/>
    <w:multiLevelType w:val="hybridMultilevel"/>
    <w:lvl w:ilvl="0">
      <w:lvlJc w:val="left"/>
      <w:lvlText w:val="%1."/>
      <w:numFmt w:val="decimal"/>
      <w:start w:val="3"/>
    </w:lvl>
  </w:abstractNum>
  <w:abstractNum w:abstractNumId="368">
    <w:nsid w:val="246348EA"/>
    <w:multiLevelType w:val="hybridMultilevel"/>
    <w:lvl w:ilvl="0">
      <w:lvlJc w:val="left"/>
      <w:lvlText w:val="%1."/>
      <w:numFmt w:val="decimal"/>
      <w:start w:val="4"/>
    </w:lvl>
  </w:abstractNum>
  <w:abstractNum w:abstractNumId="369">
    <w:nsid w:val="170EB52B"/>
    <w:multiLevelType w:val="hybridMultilevel"/>
    <w:lvl w:ilvl="0">
      <w:lvlJc w:val="left"/>
      <w:lvlText w:val="%1."/>
      <w:numFmt w:val="decimal"/>
      <w:start w:val="5"/>
    </w:lvl>
  </w:abstractNum>
  <w:abstractNum w:abstractNumId="370">
    <w:nsid w:val="2DFBCB8C"/>
    <w:multiLevelType w:val="hybridMultilevel"/>
    <w:lvl w:ilvl="0">
      <w:lvlJc w:val="left"/>
      <w:lvlText w:val="%1."/>
      <w:numFmt w:val="decimal"/>
      <w:start w:val="6"/>
    </w:lvl>
  </w:abstractNum>
  <w:abstractNum w:abstractNumId="371">
    <w:nsid w:val="3830D6B6"/>
    <w:multiLevelType w:val="hybridMultilevel"/>
    <w:lvl w:ilvl="0">
      <w:lvlJc w:val="left"/>
      <w:lvlText w:val="%1."/>
      <w:numFmt w:val="decimal"/>
      <w:start w:val="7"/>
    </w:lvl>
  </w:abstractNum>
  <w:abstractNum w:abstractNumId="372">
    <w:nsid w:val="6D48CF87"/>
    <w:multiLevelType w:val="hybridMultilevel"/>
    <w:lvl w:ilvl="0">
      <w:lvlJc w:val="left"/>
      <w:lvlText w:val="%1."/>
      <w:numFmt w:val="decimal"/>
      <w:start w:val="1"/>
    </w:lvl>
  </w:abstractNum>
  <w:abstractNum w:abstractNumId="373">
    <w:nsid w:val="576FC41B"/>
    <w:multiLevelType w:val="hybridMultilevel"/>
    <w:lvl w:ilvl="0">
      <w:lvlJc w:val="left"/>
      <w:lvlText w:val="%1."/>
      <w:numFmt w:val="decimal"/>
      <w:start w:val="1"/>
    </w:lvl>
  </w:abstractNum>
  <w:abstractNum w:abstractNumId="374">
    <w:nsid w:val="64A1C464"/>
    <w:multiLevelType w:val="hybridMultilevel"/>
    <w:lvl w:ilvl="0">
      <w:lvlJc w:val="left"/>
      <w:lvlText w:val="%1."/>
      <w:numFmt w:val="decimal"/>
      <w:start w:val="2"/>
    </w:lvl>
  </w:abstractNum>
  <w:abstractNum w:abstractNumId="375">
    <w:nsid w:val="31723BF5"/>
    <w:multiLevelType w:val="hybridMultilevel"/>
    <w:lvl w:ilvl="0">
      <w:lvlJc w:val="left"/>
      <w:lvlText w:val="%1."/>
      <w:numFmt w:val="decimal"/>
      <w:start w:val="5"/>
    </w:lvl>
  </w:abstractNum>
  <w:abstractNum w:abstractNumId="376">
    <w:nsid w:val="11F69861"/>
    <w:multiLevelType w:val="hybridMultilevel"/>
    <w:lvl w:ilvl="0">
      <w:lvlJc w:val="left"/>
      <w:lvlText w:val="%1."/>
      <w:numFmt w:val="decimal"/>
      <w:start w:val="6"/>
    </w:lvl>
  </w:abstractNum>
  <w:abstractNum w:abstractNumId="377">
    <w:nsid w:val="369956AB"/>
    <w:multiLevelType w:val="hybridMultilevel"/>
    <w:lvl w:ilvl="0">
      <w:lvlJc w:val="left"/>
      <w:lvlText w:val="%1."/>
      <w:numFmt w:val="decimal"/>
      <w:start w:val="7"/>
    </w:lvl>
  </w:abstractNum>
  <w:abstractNum w:abstractNumId="378">
    <w:nsid w:val="D3BE41C"/>
    <w:multiLevelType w:val="hybridMultilevel"/>
    <w:lvl w:ilvl="0">
      <w:lvlJc w:val="left"/>
      <w:lvlText w:val="%1."/>
      <w:numFmt w:val="decimal"/>
      <w:start w:val="8"/>
    </w:lvl>
  </w:abstractNum>
  <w:abstractNum w:abstractNumId="379">
    <w:nsid w:val="4CDA15E7"/>
    <w:multiLevelType w:val="hybridMultilevel"/>
    <w:lvl w:ilvl="0">
      <w:lvlJc w:val="left"/>
      <w:lvlText w:val="%1."/>
      <w:numFmt w:val="decimal"/>
      <w:start w:val="12"/>
    </w:lvl>
  </w:abstractNum>
  <w:abstractNum w:abstractNumId="380">
    <w:nsid w:val="7BDD6690"/>
    <w:multiLevelType w:val="hybridMultilevel"/>
    <w:lvl w:ilvl="0">
      <w:lvlJc w:val="left"/>
      <w:lvlText w:val="%1."/>
      <w:numFmt w:val="decimal"/>
      <w:start w:val="16"/>
    </w:lvl>
  </w:abstractNum>
  <w:abstractNum w:abstractNumId="381">
    <w:nsid w:val="DFB5C5B"/>
    <w:multiLevelType w:val="hybridMultilevel"/>
    <w:lvl w:ilvl="0">
      <w:lvlJc w:val="left"/>
      <w:lvlText w:val="%1."/>
      <w:numFmt w:val="decimal"/>
      <w:start w:val="1"/>
    </w:lvl>
  </w:abstractNum>
  <w:abstractNum w:abstractNumId="382">
    <w:nsid w:val="6F3E5490"/>
    <w:multiLevelType w:val="hybridMultilevel"/>
    <w:lvl w:ilvl="0">
      <w:lvlJc w:val="left"/>
      <w:lvlText w:val="%1."/>
      <w:numFmt w:val="decimal"/>
      <w:start w:val="1"/>
    </w:lvl>
  </w:abstractNum>
  <w:abstractNum w:abstractNumId="383">
    <w:nsid w:val="1464BE1E"/>
    <w:multiLevelType w:val="hybridMultilevel"/>
    <w:lvl w:ilvl="0">
      <w:lvlJc w:val="left"/>
      <w:lvlText w:val="%1."/>
      <w:numFmt w:val="decimal"/>
      <w:start w:val="1"/>
    </w:lvl>
  </w:abstractNum>
  <w:abstractNum w:abstractNumId="384">
    <w:nsid w:val="66BBB7E5"/>
    <w:multiLevelType w:val="hybridMultilevel"/>
    <w:lvl w:ilvl="0">
      <w:lvlJc w:val="left"/>
      <w:lvlText w:val="%1."/>
      <w:numFmt w:val="decimal"/>
      <w:start w:val="2"/>
    </w:lvl>
  </w:abstractNum>
  <w:abstractNum w:abstractNumId="385">
    <w:nsid w:val="28168302"/>
    <w:multiLevelType w:val="hybridMultilevel"/>
    <w:lvl w:ilvl="0">
      <w:lvlJc w:val="left"/>
      <w:lvlText w:val="(%1)"/>
      <w:numFmt w:val="lowerLetter"/>
      <w:start w:val="1"/>
    </w:lvl>
  </w:abstractNum>
  <w:abstractNum w:abstractNumId="386">
    <w:nsid w:val="32A5C7A8"/>
    <w:multiLevelType w:val="hybridMultilevel"/>
    <w:lvl w:ilvl="0">
      <w:lvlJc w:val="left"/>
      <w:lvlText w:val="%1"/>
      <w:numFmt w:val="decimal"/>
      <w:start w:val="1"/>
    </w:lvl>
    <w:lvl w:ilvl="1">
      <w:lvlJc w:val="left"/>
      <w:lvlText w:val="(%2)"/>
      <w:numFmt w:val="lowerLetter"/>
      <w:start w:val="1"/>
    </w:lvl>
  </w:abstractNum>
  <w:abstractNum w:abstractNumId="387">
    <w:nsid w:val="3A541011"/>
    <w:multiLevelType w:val="hybridMultilevel"/>
    <w:lvl w:ilvl="0">
      <w:lvlJc w:val="left"/>
      <w:lvlText w:val="%1."/>
      <w:numFmt w:val="decimal"/>
      <w:start w:val="3"/>
    </w:lvl>
    <w:lvl w:ilvl="1">
      <w:lvlJc w:val="left"/>
      <w:lvlText w:val="%2"/>
      <w:numFmt w:val="lowerLetter"/>
      <w:start w:val="1"/>
    </w:lvl>
  </w:abstractNum>
  <w:abstractNum w:abstractNumId="388">
    <w:nsid w:val="4423C777"/>
    <w:multiLevelType w:val="hybridMultilevel"/>
    <w:lvl w:ilvl="0">
      <w:lvlJc w:val="left"/>
      <w:lvlText w:val="(%1)"/>
      <w:numFmt w:val="lowerLetter"/>
      <w:start w:val="1"/>
    </w:lvl>
  </w:abstractNum>
  <w:abstractNum w:abstractNumId="389">
    <w:nsid w:val="5F5C6E4D"/>
    <w:multiLevelType w:val="hybridMultilevel"/>
    <w:lvl w:ilvl="0">
      <w:lvlJc w:val="left"/>
      <w:lvlText w:val="(%1)"/>
      <w:numFmt w:val="lowerLetter"/>
      <w:start w:val="6"/>
    </w:lvl>
  </w:abstractNum>
  <w:abstractNum w:abstractNumId="390">
    <w:nsid w:val="7C2A56CD"/>
    <w:multiLevelType w:val="hybridMultilevel"/>
    <w:lvl w:ilvl="0">
      <w:lvlJc w:val="left"/>
      <w:lvlText w:val="(%1)"/>
      <w:numFmt w:val="lowerLetter"/>
      <w:start w:val="1"/>
    </w:lvl>
  </w:abstractNum>
  <w:abstractNum w:abstractNumId="391">
    <w:nsid w:val="7AB86EE1"/>
    <w:multiLevelType w:val="hybridMultilevel"/>
    <w:lvl w:ilvl="0">
      <w:lvlJc w:val="left"/>
      <w:lvlText w:val="(%1)"/>
      <w:numFmt w:val="lowerLetter"/>
      <w:start w:val="1"/>
    </w:lvl>
  </w:abstractNum>
  <w:abstractNum w:abstractNumId="392">
    <w:nsid w:val="B54E53B"/>
    <w:multiLevelType w:val="hybridMultilevel"/>
    <w:lvl w:ilvl="0">
      <w:lvlJc w:val="left"/>
      <w:lvlText w:val="(%1)"/>
      <w:numFmt w:val="lowerLetter"/>
      <w:start w:val="2"/>
    </w:lvl>
  </w:abstractNum>
  <w:abstractNum w:abstractNumId="393">
    <w:nsid w:val="2A00487"/>
    <w:multiLevelType w:val="hybridMultilevel"/>
    <w:lvl w:ilvl="0">
      <w:lvlJc w:val="left"/>
      <w:lvlText w:val="%1."/>
      <w:numFmt w:val="decimal"/>
      <w:start w:val="4"/>
    </w:lvl>
  </w:abstractNum>
  <w:abstractNum w:abstractNumId="394">
    <w:nsid w:val="6CB1B60"/>
    <w:multiLevelType w:val="hybridMultilevel"/>
    <w:lvl w:ilvl="0">
      <w:lvlJc w:val="left"/>
      <w:lvlText w:val="%1."/>
      <w:numFmt w:val="decimal"/>
      <w:start w:val="6"/>
    </w:lvl>
  </w:abstractNum>
  <w:abstractNum w:abstractNumId="395">
    <w:nsid w:val="72EDD574"/>
    <w:multiLevelType w:val="hybridMultilevel"/>
    <w:lvl w:ilvl="0">
      <w:lvlJc w:val="left"/>
      <w:lvlText w:val="%1."/>
      <w:numFmt w:val="decimal"/>
      <w:start w:val="7"/>
    </w:lvl>
  </w:abstractNum>
  <w:abstractNum w:abstractNumId="396">
    <w:nsid w:val="7323808A"/>
    <w:multiLevelType w:val="hybridMultilevel"/>
    <w:lvl w:ilvl="0">
      <w:lvlJc w:val="left"/>
      <w:lvlText w:val="%1."/>
      <w:numFmt w:val="decimal"/>
      <w:start w:val="8"/>
    </w:lvl>
  </w:abstractNum>
  <w:abstractNum w:abstractNumId="397">
    <w:nsid w:val="5157276"/>
    <w:multiLevelType w:val="hybridMultilevel"/>
    <w:lvl w:ilvl="0">
      <w:lvlJc w:val="left"/>
      <w:lvlText w:val="(%1)"/>
      <w:numFmt w:val="lowerLetter"/>
      <w:start w:val="1"/>
    </w:lvl>
  </w:abstractNum>
  <w:abstractNum w:abstractNumId="398">
    <w:nsid w:val="35A681DB"/>
    <w:multiLevelType w:val="hybridMultilevel"/>
    <w:lvl w:ilvl="0">
      <w:lvlJc w:val="left"/>
      <w:lvlText w:val="%1."/>
      <w:numFmt w:val="decimal"/>
      <w:start w:val="1"/>
    </w:lvl>
  </w:abstractNum>
  <w:abstractNum w:abstractNumId="399">
    <w:nsid w:val="1786C974"/>
    <w:multiLevelType w:val="hybridMultilevel"/>
    <w:lvl w:ilvl="0">
      <w:lvlJc w:val="left"/>
      <w:lvlText w:val="%1."/>
      <w:numFmt w:val="decimal"/>
      <w:start w:val="1"/>
    </w:lvl>
  </w:abstractNum>
  <w:abstractNum w:abstractNumId="400">
    <w:nsid w:val="1C2427A1"/>
    <w:multiLevelType w:val="hybridMultilevel"/>
    <w:lvl w:ilvl="0">
      <w:lvlJc w:val="left"/>
      <w:lvlText w:val="%1."/>
      <w:numFmt w:val="decimal"/>
      <w:start w:val="2"/>
    </w:lvl>
  </w:abstractNum>
  <w:abstractNum w:abstractNumId="401">
    <w:nsid w:val="63A24D68"/>
    <w:multiLevelType w:val="hybridMultilevel"/>
    <w:lvl w:ilvl="0">
      <w:lvlJc w:val="left"/>
      <w:lvlText w:val="%1."/>
      <w:numFmt w:val="decimal"/>
      <w:start w:val="3"/>
    </w:lvl>
  </w:abstractNum>
  <w:abstractNum w:abstractNumId="402">
    <w:nsid w:val="4FB7A02A"/>
    <w:multiLevelType w:val="hybridMultilevel"/>
    <w:lvl w:ilvl="0">
      <w:lvlJc w:val="left"/>
      <w:lvlText w:val="%1."/>
      <w:numFmt w:val="decimal"/>
      <w:start w:val="4"/>
    </w:lvl>
  </w:abstractNum>
  <w:abstractNum w:abstractNumId="403">
    <w:nsid w:val="96CF728"/>
    <w:multiLevelType w:val="hybridMultilevel"/>
    <w:lvl w:ilvl="0">
      <w:lvlJc w:val="left"/>
      <w:lvlText w:val="%1."/>
      <w:numFmt w:val="decimal"/>
      <w:start w:val="5"/>
    </w:lvl>
  </w:abstractNum>
  <w:abstractNum w:abstractNumId="404">
    <w:nsid w:val="3B121183"/>
    <w:multiLevelType w:val="hybridMultilevel"/>
    <w:lvl w:ilvl="0">
      <w:lvlJc w:val="left"/>
      <w:lvlText w:val="%1."/>
      <w:numFmt w:val="decimal"/>
      <w:start w:val="6"/>
    </w:lvl>
  </w:abstractNum>
  <w:abstractNum w:abstractNumId="405">
    <w:nsid w:val="3459648F"/>
    <w:multiLevelType w:val="hybridMultilevel"/>
    <w:lvl w:ilvl="0">
      <w:lvlJc w:val="left"/>
      <w:lvlText w:val="%1."/>
      <w:numFmt w:val="decimal"/>
      <w:start w:val="7"/>
    </w:lvl>
  </w:abstractNum>
  <w:abstractNum w:abstractNumId="406">
    <w:nsid w:val="3ADF331D"/>
    <w:multiLevelType w:val="hybridMultilevel"/>
    <w:lvl w:ilvl="0">
      <w:lvlJc w:val="left"/>
      <w:lvlText w:val="%1."/>
      <w:numFmt w:val="decimal"/>
      <w:start w:val="8"/>
    </w:lvl>
  </w:abstractNum>
  <w:abstractNum w:abstractNumId="407">
    <w:nsid w:val="4D08A9E4"/>
    <w:multiLevelType w:val="hybridMultilevel"/>
    <w:lvl w:ilvl="0">
      <w:lvlJc w:val="left"/>
      <w:lvlText w:val="%1."/>
      <w:numFmt w:val="decimal"/>
      <w:start w:val="9"/>
    </w:lvl>
  </w:abstractNum>
  <w:abstractNum w:abstractNumId="408">
    <w:nsid w:val="6AF2BB3A"/>
    <w:multiLevelType w:val="hybridMultilevel"/>
    <w:lvl w:ilvl="0">
      <w:lvlJc w:val="left"/>
      <w:lvlText w:val="%1."/>
      <w:numFmt w:val="decimal"/>
      <w:start w:val="10"/>
    </w:lvl>
  </w:abstractNum>
  <w:abstractNum w:abstractNumId="409">
    <w:nsid w:val="481B1739"/>
    <w:multiLevelType w:val="hybridMultilevel"/>
    <w:lvl w:ilvl="0">
      <w:lvlJc w:val="left"/>
      <w:lvlText w:val="%1."/>
      <w:numFmt w:val="decimal"/>
      <w:start w:val="11"/>
    </w:lvl>
  </w:abstractNum>
  <w:abstractNum w:abstractNumId="410">
    <w:nsid w:val="19E2BFCC"/>
    <w:multiLevelType w:val="hybridMultilevel"/>
    <w:lvl w:ilvl="0">
      <w:lvlJc w:val="left"/>
      <w:lvlText w:val="%1."/>
      <w:numFmt w:val="decimal"/>
      <w:start w:val="12"/>
    </w:lvl>
  </w:abstractNum>
  <w:abstractNum w:abstractNumId="411">
    <w:nsid w:val="66D021CA"/>
    <w:multiLevelType w:val="hybridMultilevel"/>
    <w:lvl w:ilvl="0">
      <w:lvlJc w:val="left"/>
      <w:lvlText w:val="%1."/>
      <w:numFmt w:val="decimal"/>
      <w:start w:val="13"/>
    </w:lvl>
  </w:abstractNum>
  <w:abstractNum w:abstractNumId="412">
    <w:nsid w:val="56167394"/>
    <w:multiLevelType w:val="hybridMultilevel"/>
    <w:lvl w:ilvl="0">
      <w:lvlJc w:val="left"/>
      <w:lvlText w:val="%1."/>
      <w:numFmt w:val="decimal"/>
      <w:start w:val="14"/>
    </w:lvl>
  </w:abstractNum>
  <w:abstractNum w:abstractNumId="413">
    <w:nsid w:val="921145C"/>
    <w:multiLevelType w:val="hybridMultilevel"/>
    <w:lvl w:ilvl="0">
      <w:lvlJc w:val="left"/>
      <w:lvlText w:val="%1."/>
      <w:numFmt w:val="decimal"/>
      <w:start w:val="15"/>
    </w:lvl>
  </w:abstractNum>
  <w:abstractNum w:abstractNumId="414">
    <w:nsid w:val="7B34DFE8"/>
    <w:multiLevelType w:val="hybridMultilevel"/>
    <w:lvl w:ilvl="0">
      <w:lvlJc w:val="left"/>
      <w:lvlText w:val="%1."/>
      <w:numFmt w:val="decimal"/>
      <w:start w:val="16"/>
    </w:lvl>
  </w:abstractNum>
  <w:abstractNum w:abstractNumId="415">
    <w:nsid w:val="3CD22B79"/>
    <w:multiLevelType w:val="hybridMultilevel"/>
    <w:lvl w:ilvl="0">
      <w:lvlJc w:val="left"/>
      <w:lvlText w:val="%1."/>
      <w:numFmt w:val="decimal"/>
      <w:start w:val="1"/>
    </w:lvl>
  </w:abstractNum>
  <w:abstractNum w:abstractNumId="416">
    <w:nsid w:val="3137975E"/>
    <w:multiLevelType w:val="hybridMultilevel"/>
    <w:lvl w:ilvl="0">
      <w:lvlJc w:val="left"/>
      <w:lvlText w:val="%1."/>
      <w:numFmt w:val="upperLetter"/>
      <w:start w:val="9"/>
    </w:lvl>
  </w:abstractNum>
  <w:abstractNum w:abstractNumId="417">
    <w:nsid w:val="2DDAA791"/>
    <w:multiLevelType w:val="hybridMultilevel"/>
    <w:lvl w:ilvl="0">
      <w:lvlJc w:val="left"/>
      <w:lvlText w:val="%1."/>
      <w:numFmt w:val="upperLetter"/>
      <w:start w:val="35"/>
    </w:lvl>
    <w:lvl w:ilvl="1">
      <w:lvlJc w:val="left"/>
      <w:lvlText w:val="%2."/>
      <w:numFmt w:val="decimal"/>
      <w:start w:val="1"/>
    </w:lvl>
  </w:abstractNum>
  <w:abstractNum w:abstractNumId="418">
    <w:nsid w:val="77263B8A"/>
    <w:multiLevelType w:val="hybridMultilevel"/>
    <w:lvl w:ilvl="0">
      <w:lvlJc w:val="left"/>
      <w:lvlText w:val="%1."/>
      <w:numFmt w:val="upperLetter"/>
      <w:start w:val="61"/>
    </w:lvl>
  </w:abstractNum>
  <w:abstractNum w:abstractNumId="419">
    <w:nsid w:val="755B5ED6"/>
    <w:multiLevelType w:val="hybridMultilevel"/>
    <w:lvl w:ilvl="0">
      <w:lvlJc w:val="left"/>
      <w:lvlText w:val="%1."/>
      <w:numFmt w:val="decimal"/>
      <w:start w:val="1"/>
    </w:lvl>
  </w:abstractNum>
  <w:abstractNum w:abstractNumId="420">
    <w:nsid w:val="D3715DE"/>
    <w:multiLevelType w:val="hybridMultilevel"/>
    <w:lvl w:ilvl="0">
      <w:lvlJc w:val="left"/>
      <w:lvlText w:val="%1."/>
      <w:numFmt w:val="decimal"/>
      <w:start w:val="1"/>
    </w:lvl>
  </w:abstractNum>
  <w:abstractNum w:abstractNumId="421">
    <w:nsid w:val="73509257"/>
    <w:multiLevelType w:val="hybridMultilevel"/>
    <w:lvl w:ilvl="0">
      <w:lvlJc w:val="left"/>
      <w:lvlText w:val="%1."/>
      <w:numFmt w:val="decimal"/>
      <w:start w:val="2"/>
    </w:lvl>
  </w:abstractNum>
  <w:abstractNum w:abstractNumId="422">
    <w:nsid w:val="7013CDB7"/>
    <w:multiLevelType w:val="hybridMultilevel"/>
    <w:lvl w:ilvl="0">
      <w:lvlJc w:val="left"/>
      <w:lvlText w:val="%1."/>
      <w:numFmt w:val="decimal"/>
      <w:start w:val="3"/>
    </w:lvl>
  </w:abstractNum>
  <w:abstractNum w:abstractNumId="423">
    <w:nsid w:val="188BFB19"/>
    <w:multiLevelType w:val="hybridMultilevel"/>
    <w:lvl w:ilvl="0">
      <w:lvlJc w:val="left"/>
      <w:lvlText w:val="%1."/>
      <w:numFmt w:val="decimal"/>
      <w:start w:val="4"/>
    </w:lvl>
  </w:abstractNum>
  <w:abstractNum w:abstractNumId="424">
    <w:nsid w:val="75F096DF"/>
    <w:multiLevelType w:val="hybridMultilevel"/>
    <w:lvl w:ilvl="0">
      <w:lvlJc w:val="left"/>
      <w:lvlText w:val="%1."/>
      <w:numFmt w:val="decimal"/>
      <w:start w:val="5"/>
    </w:lvl>
  </w:abstractNum>
  <w:abstractNum w:abstractNumId="425">
    <w:nsid w:val="76DEE918"/>
    <w:multiLevelType w:val="hybridMultilevel"/>
    <w:lvl w:ilvl="0">
      <w:lvlJc w:val="left"/>
      <w:lvlText w:val="%1."/>
      <w:numFmt w:val="decimal"/>
      <w:start w:val="7"/>
    </w:lvl>
  </w:abstractNum>
  <w:abstractNum w:abstractNumId="426">
    <w:nsid w:val="B79D08D"/>
    <w:multiLevelType w:val="hybridMultilevel"/>
    <w:lvl w:ilvl="0">
      <w:lvlJc w:val="left"/>
      <w:lvlText w:val="(%1)"/>
      <w:numFmt w:val="decimal"/>
      <w:start w:val="3"/>
    </w:lvl>
  </w:abstractNum>
  <w:abstractNum w:abstractNumId="427">
    <w:nsid w:val="69141769"/>
    <w:multiLevelType w:val="hybridMultilevel"/>
    <w:lvl w:ilvl="0">
      <w:lvlJc w:val="left"/>
      <w:lvlText w:val="%1."/>
      <w:numFmt w:val="decimal"/>
      <w:start w:val="1"/>
    </w:lvl>
  </w:abstractNum>
  <w:abstractNum w:abstractNumId="428">
    <w:nsid w:val="7BF45B8E"/>
    <w:multiLevelType w:val="hybridMultilevel"/>
    <w:lvl w:ilvl="0">
      <w:lvlJc w:val="left"/>
      <w:lvlText w:val="%1."/>
      <w:numFmt w:val="decimal"/>
      <w:start w:val="1"/>
    </w:lvl>
  </w:abstractNum>
  <w:abstractNum w:abstractNumId="429">
    <w:nsid w:val="41205269"/>
    <w:multiLevelType w:val="hybridMultilevel"/>
    <w:lvl w:ilvl="0">
      <w:lvlJc w:val="left"/>
      <w:lvlText w:val="%1."/>
      <w:numFmt w:val="decimal"/>
      <w:start w:val="2"/>
    </w:lvl>
  </w:abstractNum>
  <w:abstractNum w:abstractNumId="430">
    <w:nsid w:val="9AE0DD"/>
    <w:multiLevelType w:val="hybridMultilevel"/>
    <w:lvl w:ilvl="0">
      <w:lvlJc w:val="left"/>
      <w:lvlText w:val="%1."/>
      <w:numFmt w:val="decimal"/>
      <w:start w:val="3"/>
    </w:lvl>
  </w:abstractNum>
  <w:abstractNum w:abstractNumId="431">
    <w:nsid w:val="1818832F"/>
    <w:multiLevelType w:val="hybridMultilevel"/>
    <w:lvl w:ilvl="0">
      <w:lvlJc w:val="left"/>
      <w:lvlText w:val="%1."/>
      <w:numFmt w:val="decimal"/>
      <w:start w:val="4"/>
    </w:lvl>
  </w:abstractNum>
  <w:abstractNum w:abstractNumId="432">
    <w:nsid w:val="24C29FD1"/>
    <w:multiLevelType w:val="hybridMultilevel"/>
    <w:lvl w:ilvl="0">
      <w:lvlJc w:val="left"/>
      <w:lvlText w:val="%1."/>
      <w:numFmt w:val="decimal"/>
      <w:start w:val="5"/>
    </w:lvl>
  </w:abstractNum>
  <w:abstractNum w:abstractNumId="433">
    <w:nsid w:val="50528108"/>
    <w:multiLevelType w:val="hybridMultilevel"/>
    <w:lvl w:ilvl="0">
      <w:lvlJc w:val="left"/>
      <w:lvlText w:val="%1."/>
      <w:numFmt w:val="decimal"/>
      <w:start w:val="6"/>
    </w:lvl>
  </w:abstractNum>
  <w:abstractNum w:abstractNumId="434">
    <w:nsid w:val="21857A57"/>
    <w:multiLevelType w:val="hybridMultilevel"/>
    <w:lvl w:ilvl="0">
      <w:lvlJc w:val="left"/>
      <w:lvlText w:val="%1."/>
      <w:numFmt w:val="decimal"/>
      <w:start w:val="7"/>
    </w:lvl>
  </w:abstractNum>
  <w:abstractNum w:abstractNumId="435">
    <w:nsid w:val="5FD4B154"/>
    <w:multiLevelType w:val="hybridMultilevel"/>
    <w:lvl w:ilvl="0">
      <w:lvlJc w:val="left"/>
      <w:lvlText w:val="%1."/>
      <w:numFmt w:val="decimal"/>
      <w:start w:val="8"/>
    </w:lvl>
  </w:abstractNum>
  <w:abstractNum w:abstractNumId="436">
    <w:nsid w:val="4ABE597"/>
    <w:multiLevelType w:val="hybridMultilevel"/>
    <w:lvl w:ilvl="0">
      <w:lvlJc w:val="left"/>
      <w:lvlText w:val="%1."/>
      <w:numFmt w:val="decimal"/>
      <w:start w:val="9"/>
    </w:lvl>
  </w:abstractNum>
  <w:abstractNum w:abstractNumId="437">
    <w:nsid w:val="5C64AD75"/>
    <w:multiLevelType w:val="hybridMultilevel"/>
    <w:lvl w:ilvl="0">
      <w:lvlJc w:val="left"/>
      <w:lvlText w:val="%1."/>
      <w:numFmt w:val="decimal"/>
      <w:start w:val="10"/>
    </w:lvl>
  </w:abstractNum>
  <w:abstractNum w:abstractNumId="438">
    <w:nsid w:val="2CDD5B39"/>
    <w:multiLevelType w:val="hybridMultilevel"/>
    <w:lvl w:ilvl="0">
      <w:lvlJc w:val="left"/>
      <w:lvlText w:val="%1."/>
      <w:numFmt w:val="decimal"/>
      <w:start w:val="12"/>
    </w:lvl>
  </w:abstractNum>
  <w:abstractNum w:abstractNumId="439">
    <w:nsid w:val="6F9EA0D1"/>
    <w:multiLevelType w:val="hybridMultilevel"/>
    <w:lvl w:ilvl="0">
      <w:lvlJc w:val="left"/>
      <w:lvlText w:val="%1."/>
      <w:numFmt w:val="decimal"/>
      <w:start w:val="13"/>
    </w:lvl>
  </w:abstractNum>
  <w:abstractNum w:abstractNumId="440">
    <w:nsid w:val="247FC4AE"/>
    <w:multiLevelType w:val="hybridMultilevel"/>
    <w:lvl w:ilvl="0">
      <w:lvlJc w:val="left"/>
      <w:lvlText w:val="%1."/>
      <w:numFmt w:val="decimal"/>
      <w:start w:val="1"/>
    </w:lvl>
  </w:abstractNum>
  <w:abstractNum w:abstractNumId="441">
    <w:nsid w:val="46C01B05"/>
    <w:multiLevelType w:val="hybridMultilevel"/>
    <w:lvl w:ilvl="0">
      <w:lvlJc w:val="left"/>
      <w:lvlText w:val="%1."/>
      <w:numFmt w:val="decimal"/>
      <w:start w:val="1"/>
    </w:lvl>
  </w:abstractNum>
  <w:abstractNum w:abstractNumId="442">
    <w:nsid w:val="566EC29B"/>
    <w:multiLevelType w:val="hybridMultilevel"/>
    <w:lvl w:ilvl="0">
      <w:lvlJc w:val="left"/>
      <w:lvlText w:val="%1."/>
      <w:numFmt w:val="decimal"/>
      <w:start w:val="1"/>
    </w:lvl>
  </w:abstractNum>
  <w:abstractNum w:abstractNumId="443">
    <w:nsid w:val="7A963843"/>
    <w:multiLevelType w:val="hybridMultilevel"/>
    <w:lvl w:ilvl="0">
      <w:lvlJc w:val="left"/>
      <w:lvlText w:val="%1."/>
      <w:numFmt w:val="decimal"/>
      <w:start w:val="2"/>
    </w:lvl>
  </w:abstractNum>
  <w:abstractNum w:abstractNumId="444">
    <w:nsid w:val="4FE12F61"/>
    <w:multiLevelType w:val="hybridMultilevel"/>
    <w:lvl w:ilvl="0">
      <w:lvlJc w:val="left"/>
      <w:lvlText w:val="(%1)"/>
      <w:numFmt w:val="lowerLetter"/>
      <w:start w:val="1"/>
    </w:lvl>
  </w:abstractNum>
  <w:abstractNum w:abstractNumId="445">
    <w:nsid w:val="51A3A284"/>
    <w:multiLevelType w:val="hybridMultilevel"/>
    <w:lvl w:ilvl="0">
      <w:lvlJc w:val="left"/>
      <w:lvlText w:val="%1"/>
      <w:numFmt w:val="decimal"/>
      <w:start w:val="1"/>
    </w:lvl>
    <w:lvl w:ilvl="1">
      <w:lvlJc w:val="left"/>
      <w:lvlText w:val="(%2)"/>
      <w:numFmt w:val="lowerLetter"/>
      <w:start w:val="1"/>
    </w:lvl>
  </w:abstractNum>
  <w:abstractNum w:abstractNumId="446">
    <w:nsid w:val="376863BC"/>
    <w:multiLevelType w:val="hybridMultilevel"/>
    <w:lvl w:ilvl="0">
      <w:lvlJc w:val="left"/>
      <w:lvlText w:val="%1."/>
      <w:numFmt w:val="decimal"/>
      <w:start w:val="3"/>
    </w:lvl>
    <w:lvl w:ilvl="1">
      <w:lvlJc w:val="left"/>
      <w:lvlText w:val="%2"/>
      <w:numFmt w:val="lowerLetter"/>
      <w:start w:val="1"/>
    </w:lvl>
  </w:abstractNum>
  <w:abstractNum w:abstractNumId="447">
    <w:nsid w:val="118C6C0"/>
    <w:multiLevelType w:val="hybridMultilevel"/>
    <w:lvl w:ilvl="0">
      <w:lvlJc w:val="left"/>
      <w:lvlText w:val="(%1)"/>
      <w:numFmt w:val="lowerLetter"/>
      <w:start w:val="1"/>
    </w:lvl>
  </w:abstractNum>
  <w:abstractNum w:abstractNumId="448">
    <w:nsid w:val="7F7E4A15"/>
    <w:multiLevelType w:val="hybridMultilevel"/>
    <w:lvl w:ilvl="0">
      <w:lvlJc w:val="left"/>
      <w:lvlText w:val="(%1)"/>
      <w:numFmt w:val="lowerLetter"/>
      <w:start w:val="1"/>
    </w:lvl>
  </w:abstractNum>
  <w:abstractNum w:abstractNumId="449">
    <w:nsid w:val="2E8E9F47"/>
    <w:multiLevelType w:val="hybridMultilevel"/>
    <w:lvl w:ilvl="0">
      <w:lvlJc w:val="left"/>
      <w:lvlText w:val="(%1)"/>
      <w:numFmt w:val="lowerLetter"/>
      <w:start w:val="1"/>
    </w:lvl>
  </w:abstractNum>
  <w:abstractNum w:abstractNumId="450">
    <w:nsid w:val="76742596"/>
    <w:multiLevelType w:val="hybridMultilevel"/>
    <w:lvl w:ilvl="0">
      <w:lvlJc w:val="left"/>
      <w:lvlText w:val="(%1)"/>
      <w:numFmt w:val="lowerLetter"/>
      <w:start w:val="6"/>
    </w:lvl>
  </w:abstractNum>
  <w:abstractNum w:abstractNumId="451">
    <w:nsid w:val="CB55FF3"/>
    <w:multiLevelType w:val="hybridMultilevel"/>
    <w:lvl w:ilvl="0">
      <w:lvlJc w:val="left"/>
      <w:lvlText w:val="%1."/>
      <w:numFmt w:val="decimal"/>
      <w:start w:val="4"/>
    </w:lvl>
  </w:abstractNum>
  <w:abstractNum w:abstractNumId="452">
    <w:nsid w:val="21DF319E"/>
    <w:multiLevelType w:val="hybridMultilevel"/>
    <w:lvl w:ilvl="0">
      <w:lvlJc w:val="left"/>
      <w:lvlText w:val="%1."/>
      <w:numFmt w:val="decimal"/>
      <w:start w:val="7"/>
    </w:lvl>
  </w:abstractNum>
  <w:abstractNum w:abstractNumId="453">
    <w:nsid w:val="6687F34D"/>
    <w:multiLevelType w:val="hybridMultilevel"/>
    <w:lvl w:ilvl="0">
      <w:lvlJc w:val="left"/>
      <w:lvlText w:val="%1."/>
      <w:numFmt w:val="decimal"/>
      <w:start w:val="8"/>
    </w:lvl>
  </w:abstractNum>
  <w:abstractNum w:abstractNumId="454">
    <w:nsid w:val="25415B0C"/>
    <w:multiLevelType w:val="hybridMultilevel"/>
    <w:lvl w:ilvl="0">
      <w:lvlJc w:val="left"/>
      <w:lvlText w:val="(%1)"/>
      <w:numFmt w:val="lowerLetter"/>
      <w:start w:val="1"/>
    </w:lvl>
  </w:abstractNum>
  <w:abstractNum w:abstractNumId="455">
    <w:nsid w:val="17CFC87D"/>
    <w:multiLevelType w:val="hybridMultilevel"/>
    <w:lvl w:ilvl="0">
      <w:lvlJc w:val="left"/>
      <w:lvlText w:val="(%1)"/>
      <w:numFmt w:val="decimal"/>
      <w:start w:val="3"/>
    </w:lvl>
  </w:abstractNum>
  <w:abstractNum w:abstractNumId="456">
    <w:nsid w:val="5D66DC65"/>
    <w:multiLevelType w:val="hybridMultilevel"/>
    <w:lvl w:ilvl="0">
      <w:lvlJc w:val="left"/>
      <w:lvlText w:val="%1."/>
      <w:numFmt w:val="decimal"/>
      <w:start w:val="1"/>
    </w:lvl>
  </w:abstractNum>
  <w:abstractNum w:abstractNumId="457">
    <w:nsid w:val="30BB2B99"/>
    <w:multiLevelType w:val="hybridMultilevel"/>
    <w:lvl w:ilvl="0">
      <w:lvlJc w:val="left"/>
      <w:lvlText w:val="%1."/>
      <w:numFmt w:val="decimal"/>
      <w:start w:val="1"/>
    </w:lvl>
  </w:abstractNum>
  <w:abstractNum w:abstractNumId="458">
    <w:nsid w:val="E3DFE6"/>
    <w:multiLevelType w:val="hybridMultilevel"/>
    <w:lvl w:ilvl="0">
      <w:lvlJc w:val="left"/>
      <w:lvlText w:val="%1."/>
      <w:numFmt w:val="decimal"/>
      <w:start w:val="2"/>
    </w:lvl>
  </w:abstractNum>
  <w:abstractNum w:abstractNumId="459">
    <w:nsid w:val="595B37F3"/>
    <w:multiLevelType w:val="hybridMultilevel"/>
    <w:lvl w:ilvl="0">
      <w:lvlJc w:val="left"/>
      <w:lvlText w:val="%1."/>
      <w:numFmt w:val="decimal"/>
      <w:start w:val="3"/>
    </w:lvl>
  </w:abstractNum>
  <w:abstractNum w:abstractNumId="460">
    <w:nsid w:val="71DB7E02"/>
    <w:multiLevelType w:val="hybridMultilevel"/>
    <w:lvl w:ilvl="0">
      <w:lvlJc w:val="left"/>
      <w:lvlText w:val="%1."/>
      <w:numFmt w:val="decimal"/>
      <w:start w:val="4"/>
    </w:lvl>
  </w:abstractNum>
  <w:abstractNum w:abstractNumId="461">
    <w:nsid w:val="17EC0C4"/>
    <w:multiLevelType w:val="hybridMultilevel"/>
    <w:lvl w:ilvl="0">
      <w:lvlJc w:val="left"/>
      <w:lvlText w:val="%1."/>
      <w:numFmt w:val="decimal"/>
      <w:start w:val="5"/>
    </w:lvl>
  </w:abstractNum>
  <w:abstractNum w:abstractNumId="462">
    <w:nsid w:val="7173BB22"/>
    <w:multiLevelType w:val="hybridMultilevel"/>
    <w:lvl w:ilvl="0">
      <w:lvlJc w:val="left"/>
      <w:lvlText w:val="%1."/>
      <w:numFmt w:val="decimal"/>
      <w:start w:val="6"/>
    </w:lvl>
  </w:abstractNum>
  <w:abstractNum w:abstractNumId="463">
    <w:nsid w:val="169E1DD3"/>
    <w:multiLevelType w:val="hybridMultilevel"/>
    <w:lvl w:ilvl="0">
      <w:lvlJc w:val="left"/>
      <w:lvlText w:val="%1."/>
      <w:numFmt w:val="decimal"/>
      <w:start w:val="7"/>
    </w:lvl>
  </w:abstractNum>
  <w:abstractNum w:abstractNumId="464">
    <w:nsid w:val="51D141CC"/>
    <w:multiLevelType w:val="hybridMultilevel"/>
    <w:lvl w:ilvl="0">
      <w:lvlJc w:val="left"/>
      <w:lvlText w:val="%1."/>
      <w:numFmt w:val="decimal"/>
      <w:start w:val="8"/>
    </w:lvl>
  </w:abstractNum>
  <w:abstractNum w:abstractNumId="465">
    <w:nsid w:val="12F9357A"/>
    <w:multiLevelType w:val="hybridMultilevel"/>
    <w:lvl w:ilvl="0">
      <w:lvlJc w:val="left"/>
      <w:lvlText w:val="%1."/>
      <w:numFmt w:val="decimal"/>
      <w:start w:val="9"/>
    </w:lvl>
  </w:abstractNum>
  <w:abstractNum w:abstractNumId="466">
    <w:nsid w:val="7672CF28"/>
    <w:multiLevelType w:val="hybridMultilevel"/>
    <w:lvl w:ilvl="0">
      <w:lvlJc w:val="left"/>
      <w:lvlText w:val="%1."/>
      <w:numFmt w:val="decimal"/>
      <w:start w:val="10"/>
    </w:lvl>
  </w:abstractNum>
  <w:abstractNum w:abstractNumId="467">
    <w:nsid w:val="567D2763"/>
    <w:multiLevelType w:val="hybridMultilevel"/>
    <w:lvl w:ilvl="0">
      <w:lvlJc w:val="left"/>
      <w:lvlText w:val="%1."/>
      <w:numFmt w:val="decimal"/>
      <w:start w:val="11"/>
    </w:lvl>
  </w:abstractNum>
  <w:abstractNum w:abstractNumId="468">
    <w:nsid w:val="6F5DE2EF"/>
    <w:multiLevelType w:val="hybridMultilevel"/>
    <w:lvl w:ilvl="0">
      <w:lvlJc w:val="left"/>
      <w:lvlText w:val="%1."/>
      <w:numFmt w:val="decimal"/>
      <w:start w:val="12"/>
    </w:lvl>
  </w:abstractNum>
  <w:abstractNum w:abstractNumId="469">
    <w:nsid w:val="23502A61"/>
    <w:multiLevelType w:val="hybridMultilevel"/>
    <w:lvl w:ilvl="0">
      <w:lvlJc w:val="left"/>
      <w:lvlText w:val="%1."/>
      <w:numFmt w:val="decimal"/>
      <w:start w:val="13"/>
    </w:lvl>
  </w:abstractNum>
  <w:abstractNum w:abstractNumId="470">
    <w:nsid w:val="461BC834"/>
    <w:multiLevelType w:val="hybridMultilevel"/>
    <w:lvl w:ilvl="0">
      <w:lvlJc w:val="left"/>
      <w:lvlText w:val="%1."/>
      <w:numFmt w:val="decimal"/>
      <w:start w:val="14"/>
    </w:lvl>
  </w:abstractNum>
  <w:abstractNum w:abstractNumId="471">
    <w:nsid w:val="13DDA79D"/>
    <w:multiLevelType w:val="hybridMultilevel"/>
    <w:lvl w:ilvl="0">
      <w:lvlJc w:val="left"/>
      <w:lvlText w:val="%1."/>
      <w:numFmt w:val="decimal"/>
      <w:start w:val="15"/>
    </w:lvl>
  </w:abstractNum>
  <w:abstractNum w:abstractNumId="472">
    <w:nsid w:val="6A104566"/>
    <w:multiLevelType w:val="hybridMultilevel"/>
    <w:lvl w:ilvl="0">
      <w:lvlJc w:val="left"/>
      <w:lvlText w:val="%1."/>
      <w:numFmt w:val="decimal"/>
      <w:start w:val="16"/>
    </w:lvl>
  </w:abstractNum>
  <w:abstractNum w:abstractNumId="473">
    <w:nsid w:val="1C8A8ACF"/>
    <w:multiLevelType w:val="hybridMultilevel"/>
    <w:lvl w:ilvl="0">
      <w:lvlJc w:val="left"/>
      <w:lvlText w:val="%1."/>
      <w:numFmt w:val="decimal"/>
      <w:start w:val="1"/>
    </w:lvl>
  </w:abstractNum>
  <w:abstractNum w:abstractNumId="474">
    <w:nsid w:val="E73DFE0"/>
    <w:multiLevelType w:val="hybridMultilevel"/>
    <w:lvl w:ilvl="0">
      <w:lvlJc w:val="left"/>
      <w:lvlText w:val="%1."/>
      <w:numFmt w:val="upperLetter"/>
      <w:start w:val="9"/>
    </w:lvl>
  </w:abstractNum>
  <w:abstractNum w:abstractNumId="475">
    <w:nsid w:val="39F174C7"/>
    <w:multiLevelType w:val="hybridMultilevel"/>
    <w:lvl w:ilvl="0">
      <w:lvlJc w:val="left"/>
      <w:lvlText w:val="%1."/>
      <w:numFmt w:val="upperLetter"/>
      <w:start w:val="35"/>
    </w:lvl>
    <w:lvl w:ilvl="1">
      <w:lvlJc w:val="left"/>
      <w:lvlText w:val="%2."/>
      <w:numFmt w:val="decimal"/>
      <w:start w:val="1"/>
    </w:lvl>
  </w:abstractNum>
  <w:abstractNum w:abstractNumId="476">
    <w:nsid w:val="6E2E2D53"/>
    <w:multiLevelType w:val="hybridMultilevel"/>
    <w:lvl w:ilvl="0">
      <w:lvlJc w:val="left"/>
      <w:lvlText w:val="%1."/>
      <w:numFmt w:val="upperLetter"/>
      <w:start w:val="61"/>
    </w:lvl>
  </w:abstractNum>
  <w:abstractNum w:abstractNumId="477">
    <w:nsid w:val="45DC439D"/>
    <w:multiLevelType w:val="hybridMultilevel"/>
    <w:lvl w:ilvl="0">
      <w:lvlJc w:val="left"/>
      <w:lvlText w:val="%1."/>
      <w:numFmt w:val="decimal"/>
      <w:start w:val="1"/>
    </w:lvl>
  </w:abstractNum>
  <w:abstractNum w:abstractNumId="478">
    <w:nsid w:val="3B0A3B87"/>
    <w:multiLevelType w:val="hybridMultilevel"/>
    <w:lvl w:ilvl="0">
      <w:lvlJc w:val="left"/>
      <w:lvlText w:val="%1."/>
      <w:numFmt w:val="decimal"/>
      <w:start w:val="1"/>
    </w:lvl>
  </w:abstractNum>
  <w:abstractNum w:abstractNumId="479">
    <w:nsid w:val="6DAC7768"/>
    <w:multiLevelType w:val="hybridMultilevel"/>
    <w:lvl w:ilvl="0">
      <w:lvlJc w:val="left"/>
      <w:lvlText w:val="%1."/>
      <w:numFmt w:val="decimal"/>
      <w:start w:val="2"/>
    </w:lvl>
  </w:abstractNum>
  <w:abstractNum w:abstractNumId="480">
    <w:nsid w:val="746AE2E4"/>
    <w:multiLevelType w:val="hybridMultilevel"/>
    <w:lvl w:ilvl="0">
      <w:lvlJc w:val="left"/>
      <w:lvlText w:val="%1."/>
      <w:numFmt w:val="decimal"/>
      <w:start w:val="3"/>
    </w:lvl>
  </w:abstractNum>
  <w:abstractNum w:abstractNumId="481">
    <w:nsid w:val="317E611D"/>
    <w:multiLevelType w:val="hybridMultilevel"/>
    <w:lvl w:ilvl="0">
      <w:lvlJc w:val="left"/>
      <w:lvlText w:val="%1."/>
      <w:numFmt w:val="decimal"/>
      <w:start w:val="4"/>
    </w:lvl>
  </w:abstractNum>
  <w:abstractNum w:abstractNumId="482">
    <w:nsid w:val="7A61D75B"/>
    <w:multiLevelType w:val="hybridMultilevel"/>
    <w:lvl w:ilvl="0">
      <w:lvlJc w:val="left"/>
      <w:lvlText w:val="%1."/>
      <w:numFmt w:val="decimal"/>
      <w:start w:val="5"/>
    </w:lvl>
  </w:abstractNum>
  <w:abstractNum w:abstractNumId="483">
    <w:nsid w:val="164A1482"/>
    <w:multiLevelType w:val="hybridMultilevel"/>
    <w:lvl w:ilvl="0">
      <w:lvlJc w:val="left"/>
      <w:lvlText w:val="%1."/>
      <w:numFmt w:val="decimal"/>
      <w:start w:val="7"/>
    </w:lvl>
  </w:abstractNum>
  <w:abstractNum w:abstractNumId="484">
    <w:nsid w:val="1806546B"/>
    <w:multiLevelType w:val="hybridMultilevel"/>
    <w:lvl w:ilvl="0">
      <w:lvlJc w:val="left"/>
      <w:lvlText w:val="%1."/>
      <w:numFmt w:val="decimal"/>
      <w:start w:val="1"/>
    </w:lvl>
  </w:abstractNum>
  <w:abstractNum w:abstractNumId="485">
    <w:nsid w:val="1FA33267"/>
    <w:multiLevelType w:val="hybridMultilevel"/>
    <w:lvl w:ilvl="0">
      <w:lvlJc w:val="left"/>
      <w:lvlText w:val="%1."/>
      <w:numFmt w:val="decimal"/>
      <w:start w:val="1"/>
    </w:lvl>
  </w:abstractNum>
  <w:abstractNum w:abstractNumId="486">
    <w:nsid w:val="2E19DD00"/>
    <w:multiLevelType w:val="hybridMultilevel"/>
    <w:lvl w:ilvl="0">
      <w:lvlJc w:val="left"/>
      <w:lvlText w:val="%1."/>
      <w:numFmt w:val="decimal"/>
      <w:start w:val="2"/>
    </w:lvl>
  </w:abstractNum>
  <w:abstractNum w:abstractNumId="487">
    <w:nsid w:val="756D30D0"/>
    <w:multiLevelType w:val="hybridMultilevel"/>
    <w:lvl w:ilvl="0">
      <w:lvlJc w:val="left"/>
      <w:lvlText w:val="%1."/>
      <w:numFmt w:val="decimal"/>
      <w:start w:val="4"/>
    </w:lvl>
  </w:abstractNum>
  <w:abstractNum w:abstractNumId="488">
    <w:nsid w:val="505E5E01"/>
    <w:multiLevelType w:val="hybridMultilevel"/>
    <w:lvl w:ilvl="0">
      <w:lvlJc w:val="left"/>
      <w:lvlText w:val="%1."/>
      <w:numFmt w:val="decimal"/>
      <w:start w:val="6"/>
    </w:lvl>
  </w:abstractNum>
  <w:abstractNum w:abstractNumId="489">
    <w:nsid w:val="2EFDBCE6"/>
    <w:multiLevelType w:val="hybridMultilevel"/>
    <w:lvl w:ilvl="0">
      <w:lvlJc w:val="left"/>
      <w:lvlText w:val="%1."/>
      <w:numFmt w:val="decimal"/>
      <w:start w:val="7"/>
    </w:lvl>
  </w:abstractNum>
  <w:abstractNum w:abstractNumId="490">
    <w:nsid w:val="4EC868C4"/>
    <w:multiLevelType w:val="hybridMultilevel"/>
    <w:lvl w:ilvl="0">
      <w:lvlJc w:val="left"/>
      <w:lvlText w:val="%1."/>
      <w:numFmt w:val="decimal"/>
      <w:start w:val="7"/>
    </w:lvl>
    <w:lvl w:ilvl="1">
      <w:lvlJc w:val="left"/>
      <w:lvlText w:val="8"/>
      <w:numFmt w:val="bullet"/>
      <w:start w:val="1"/>
    </w:lvl>
  </w:abstractNum>
  <w:abstractNum w:abstractNumId="491">
    <w:nsid w:val="4239DC03"/>
    <w:multiLevelType w:val="hybridMultilevel"/>
    <w:lvl w:ilvl="0">
      <w:lvlJc w:val="left"/>
      <w:lvlText w:val="%1."/>
      <w:numFmt w:val="decimal"/>
      <w:start w:val="9"/>
    </w:lvl>
  </w:abstractNum>
  <w:abstractNum w:abstractNumId="492">
    <w:nsid w:val="307C7DAA"/>
    <w:multiLevelType w:val="hybridMultilevel"/>
    <w:lvl w:ilvl="0">
      <w:lvlJc w:val="left"/>
      <w:lvlText w:val="%1."/>
      <w:numFmt w:val="decimal"/>
      <w:start w:val="12"/>
    </w:lvl>
  </w:abstractNum>
  <w:abstractNum w:abstractNumId="493">
    <w:nsid w:val="403C23E6"/>
    <w:multiLevelType w:val="hybridMultilevel"/>
    <w:lvl w:ilvl="0">
      <w:lvlJc w:val="left"/>
      <w:lvlText w:val="%1."/>
      <w:numFmt w:val="decimal"/>
      <w:start w:val="16"/>
    </w:lvl>
  </w:abstractNum>
  <w:abstractNum w:abstractNumId="494">
    <w:nsid w:val="58D7F9D7"/>
    <w:multiLevelType w:val="hybridMultilevel"/>
    <w:lvl w:ilvl="0">
      <w:lvlJc w:val="left"/>
      <w:lvlText w:val="%1."/>
      <w:numFmt w:val="decimal"/>
      <w:start w:val="1"/>
    </w:lvl>
  </w:abstractNum>
  <w:abstractNum w:abstractNumId="495">
    <w:nsid w:val="24DBF76"/>
    <w:multiLevelType w:val="hybridMultilevel"/>
    <w:lvl w:ilvl="0">
      <w:lvlJc w:val="left"/>
      <w:lvlText w:val="%1."/>
      <w:numFmt w:val="decimal"/>
      <w:start w:val="1"/>
    </w:lvl>
  </w:abstractNum>
  <w:abstractNum w:abstractNumId="496">
    <w:nsid w:val="53355960"/>
    <w:multiLevelType w:val="hybridMultilevel"/>
    <w:lvl w:ilvl="0">
      <w:lvlJc w:val="left"/>
      <w:lvlText w:val="%1."/>
      <w:numFmt w:val="decimal"/>
      <w:start w:val="1"/>
    </w:lvl>
  </w:abstractNum>
  <w:abstractNum w:abstractNumId="497">
    <w:nsid w:val="4F4AC8FF"/>
    <w:multiLevelType w:val="hybridMultilevel"/>
    <w:lvl w:ilvl="0">
      <w:lvlJc w:val="left"/>
      <w:lvlText w:val="%1."/>
      <w:numFmt w:val="decimal"/>
      <w:start w:val="2"/>
    </w:lvl>
  </w:abstractNum>
  <w:abstractNum w:abstractNumId="498">
    <w:nsid w:val="58CAE6D9"/>
    <w:multiLevelType w:val="hybridMultilevel"/>
    <w:lvl w:ilvl="0">
      <w:lvlJc w:val="left"/>
      <w:lvlText w:val="(%1)"/>
      <w:numFmt w:val="lowerLetter"/>
      <w:start w:val="1"/>
    </w:lvl>
  </w:abstractNum>
  <w:abstractNum w:abstractNumId="499">
    <w:nsid w:val="42933C4F"/>
    <w:multiLevelType w:val="hybridMultilevel"/>
    <w:lvl w:ilvl="0">
      <w:lvlJc w:val="left"/>
      <w:lvlText w:val="%1"/>
      <w:numFmt w:val="decimal"/>
      <w:start w:val="1"/>
    </w:lvl>
    <w:lvl w:ilvl="1">
      <w:lvlJc w:val="left"/>
      <w:lvlText w:val="(%2)"/>
      <w:numFmt w:val="lowerLetter"/>
      <w:start w:val="1"/>
    </w:lvl>
  </w:abstractNum>
  <w:abstractNum w:abstractNumId="500">
    <w:nsid w:val="729AF360"/>
    <w:multiLevelType w:val="hybridMultilevel"/>
    <w:lvl w:ilvl="0">
      <w:lvlJc w:val="left"/>
      <w:lvlText w:val="%1."/>
      <w:numFmt w:val="decimal"/>
      <w:start w:val="3"/>
    </w:lvl>
    <w:lvl w:ilvl="1">
      <w:lvlJc w:val="left"/>
      <w:lvlText w:val="%2"/>
      <w:numFmt w:val="lowerLetter"/>
      <w:start w:val="1"/>
    </w:lvl>
  </w:abstractNum>
  <w:abstractNum w:abstractNumId="501">
    <w:nsid w:val="1EE6AF0D"/>
    <w:multiLevelType w:val="hybridMultilevel"/>
    <w:lvl w:ilvl="0">
      <w:lvlJc w:val="left"/>
      <w:lvlText w:val="(%1)"/>
      <w:numFmt w:val="lowerLetter"/>
      <w:start w:val="1"/>
    </w:lvl>
  </w:abstractNum>
  <w:abstractNum w:abstractNumId="502">
    <w:nsid w:val="5670E3ED"/>
    <w:multiLevelType w:val="hybridMultilevel"/>
    <w:lvl w:ilvl="0">
      <w:lvlJc w:val="left"/>
      <w:lvlText w:val="(%1)"/>
      <w:numFmt w:val="lowerLetter"/>
      <w:start w:val="1"/>
    </w:lvl>
  </w:abstractNum>
  <w:abstractNum w:abstractNumId="503">
    <w:nsid w:val="5CAB38C6"/>
    <w:multiLevelType w:val="hybridMultilevel"/>
    <w:lvl w:ilvl="0">
      <w:lvlJc w:val="left"/>
      <w:lvlText w:val="(%1)"/>
      <w:numFmt w:val="lowerLetter"/>
      <w:start w:val="3"/>
    </w:lvl>
  </w:abstractNum>
  <w:abstractNum w:abstractNumId="504">
    <w:nsid w:val="3B7139DD"/>
    <w:multiLevelType w:val="hybridMultilevel"/>
    <w:lvl w:ilvl="0">
      <w:lvlJc w:val="left"/>
      <w:lvlText w:val="(%1)"/>
      <w:numFmt w:val="lowerLetter"/>
      <w:start w:val="1"/>
    </w:lvl>
  </w:abstractNum>
  <w:abstractNum w:abstractNumId="505">
    <w:nsid w:val="64E4C3CD"/>
    <w:multiLevelType w:val="hybridMultilevel"/>
    <w:lvl w:ilvl="0">
      <w:lvlJc w:val="left"/>
      <w:lvlText w:val="(%1)"/>
      <w:numFmt w:val="lowerLetter"/>
      <w:start w:val="7"/>
    </w:lvl>
  </w:abstractNum>
  <w:abstractNum w:abstractNumId="506">
    <w:nsid w:val="169CAD8D"/>
    <w:multiLevelType w:val="hybridMultilevel"/>
    <w:lvl w:ilvl="0">
      <w:lvlJc w:val="left"/>
      <w:lvlText w:val="%1."/>
      <w:numFmt w:val="decimal"/>
      <w:start w:val="4"/>
    </w:lvl>
  </w:abstractNum>
  <w:abstractNum w:abstractNumId="507">
    <w:nsid w:val="299F6730"/>
    <w:multiLevelType w:val="hybridMultilevel"/>
    <w:lvl w:ilvl="0">
      <w:lvlJc w:val="left"/>
      <w:lvlText w:val="%1."/>
      <w:numFmt w:val="decimal"/>
      <w:start w:val="5"/>
    </w:lvl>
  </w:abstractNum>
  <w:abstractNum w:abstractNumId="508">
    <w:nsid w:val="2AC1076A"/>
    <w:multiLevelType w:val="hybridMultilevel"/>
    <w:lvl w:ilvl="0">
      <w:lvlJc w:val="left"/>
      <w:lvlText w:val="%1."/>
      <w:numFmt w:val="decimal"/>
      <w:start w:val="6"/>
    </w:lvl>
  </w:abstractNum>
  <w:abstractNum w:abstractNumId="509">
    <w:nsid w:val="51A6E915"/>
    <w:multiLevelType w:val="hybridMultilevel"/>
    <w:lvl w:ilvl="0">
      <w:lvlJc w:val="left"/>
      <w:lvlText w:val="%1."/>
      <w:numFmt w:val="decimal"/>
      <w:start w:val="7"/>
    </w:lvl>
  </w:abstractNum>
  <w:abstractNum w:abstractNumId="510">
    <w:nsid w:val="174BDE99"/>
    <w:multiLevelType w:val="hybridMultilevel"/>
    <w:lvl w:ilvl="0">
      <w:lvlJc w:val="left"/>
      <w:lvlText w:val="%1."/>
      <w:numFmt w:val="decimal"/>
      <w:start w:val="8"/>
    </w:lvl>
  </w:abstractNum>
  <w:abstractNum w:abstractNumId="511">
    <w:nsid w:val="1F2BEA4E"/>
    <w:multiLevelType w:val="hybridMultilevel"/>
    <w:lvl w:ilvl="0">
      <w:lvlJc w:val="left"/>
      <w:lvlText w:val="(%1)"/>
      <w:numFmt w:val="lowerLetter"/>
      <w:start w:val="1"/>
    </w:lvl>
  </w:abstractNum>
  <w:abstractNum w:abstractNumId="512">
    <w:nsid w:val="3254A32"/>
    <w:multiLevelType w:val="hybridMultilevel"/>
    <w:lvl w:ilvl="0">
      <w:lvlJc w:val="left"/>
      <w:lvlText w:val="%1."/>
      <w:numFmt w:val="decimal"/>
      <w:start w:val="1"/>
    </w:lvl>
  </w:abstractNum>
  <w:abstractNum w:abstractNumId="513">
    <w:nsid w:val="11ADB5F4"/>
    <w:multiLevelType w:val="hybridMultilevel"/>
    <w:lvl w:ilvl="0">
      <w:lvlJc w:val="left"/>
      <w:lvlText w:val="%1."/>
      <w:numFmt w:val="decimal"/>
      <w:start w:val="1"/>
    </w:lvl>
  </w:abstractNum>
  <w:abstractNum w:abstractNumId="514">
    <w:nsid w:val="3575FED1"/>
    <w:multiLevelType w:val="hybridMultilevel"/>
    <w:lvl w:ilvl="0">
      <w:lvlJc w:val="left"/>
      <w:lvlText w:val="%1."/>
      <w:numFmt w:val="decimal"/>
      <w:start w:val="2"/>
    </w:lvl>
  </w:abstractNum>
  <w:abstractNum w:abstractNumId="515">
    <w:nsid w:val="1B2B9E9D"/>
    <w:multiLevelType w:val="hybridMultilevel"/>
    <w:lvl w:ilvl="0">
      <w:lvlJc w:val="left"/>
      <w:lvlText w:val="%1."/>
      <w:numFmt w:val="decimal"/>
      <w:start w:val="3"/>
    </w:lvl>
  </w:abstractNum>
  <w:abstractNum w:abstractNumId="516">
    <w:nsid w:val="3150E85C"/>
    <w:multiLevelType w:val="hybridMultilevel"/>
    <w:lvl w:ilvl="0">
      <w:lvlJc w:val="left"/>
      <w:lvlText w:val="%1."/>
      <w:numFmt w:val="decimal"/>
      <w:start w:val="4"/>
    </w:lvl>
  </w:abstractNum>
  <w:abstractNum w:abstractNumId="517">
    <w:nsid w:val="638FDBD1"/>
    <w:multiLevelType w:val="hybridMultilevel"/>
    <w:lvl w:ilvl="0">
      <w:lvlJc w:val="left"/>
      <w:lvlText w:val="%1."/>
      <w:numFmt w:val="decimal"/>
      <w:start w:val="5"/>
    </w:lvl>
  </w:abstractNum>
  <w:abstractNum w:abstractNumId="518">
    <w:nsid w:val="1098CF6E"/>
    <w:multiLevelType w:val="hybridMultilevel"/>
    <w:lvl w:ilvl="0">
      <w:lvlJc w:val="left"/>
      <w:lvlText w:val="%1."/>
      <w:numFmt w:val="decimal"/>
      <w:start w:val="6"/>
    </w:lvl>
  </w:abstractNum>
  <w:abstractNum w:abstractNumId="519">
    <w:nsid w:val="1AF465D"/>
    <w:multiLevelType w:val="hybridMultilevel"/>
    <w:lvl w:ilvl="0">
      <w:lvlJc w:val="left"/>
      <w:lvlText w:val="%1."/>
      <w:numFmt w:val="decimal"/>
      <w:start w:val="7"/>
    </w:lvl>
  </w:abstractNum>
  <w:abstractNum w:abstractNumId="520">
    <w:nsid w:val="128D98B7"/>
    <w:multiLevelType w:val="hybridMultilevel"/>
    <w:lvl w:ilvl="0">
      <w:lvlJc w:val="left"/>
      <w:lvlText w:val="%1."/>
      <w:numFmt w:val="decimal"/>
      <w:start w:val="8"/>
    </w:lvl>
  </w:abstractNum>
  <w:abstractNum w:abstractNumId="521">
    <w:nsid w:val="5F613832"/>
    <w:multiLevelType w:val="hybridMultilevel"/>
    <w:lvl w:ilvl="0">
      <w:lvlJc w:val="left"/>
      <w:lvlText w:val="%1."/>
      <w:numFmt w:val="decimal"/>
      <w:start w:val="9"/>
    </w:lvl>
  </w:abstractNum>
  <w:abstractNum w:abstractNumId="522">
    <w:nsid w:val="43E92260"/>
    <w:multiLevelType w:val="hybridMultilevel"/>
    <w:lvl w:ilvl="0">
      <w:lvlJc w:val="left"/>
      <w:lvlText w:val="%1."/>
      <w:numFmt w:val="decimal"/>
      <w:start w:val="10"/>
    </w:lvl>
  </w:abstractNum>
  <w:abstractNum w:abstractNumId="523">
    <w:nsid w:val="430A1662"/>
    <w:multiLevelType w:val="hybridMultilevel"/>
    <w:lvl w:ilvl="0">
      <w:lvlJc w:val="left"/>
      <w:lvlText w:val="%1."/>
      <w:numFmt w:val="decimal"/>
      <w:start w:val="11"/>
    </w:lvl>
  </w:abstractNum>
  <w:abstractNum w:abstractNumId="524">
    <w:nsid w:val="1F9D5C18"/>
    <w:multiLevelType w:val="hybridMultilevel"/>
    <w:lvl w:ilvl="0">
      <w:lvlJc w:val="left"/>
      <w:lvlText w:val="%1."/>
      <w:numFmt w:val="decimal"/>
      <w:start w:val="12"/>
    </w:lvl>
  </w:abstractNum>
  <w:abstractNum w:abstractNumId="525">
    <w:nsid w:val="1CC11C37"/>
    <w:multiLevelType w:val="hybridMultilevel"/>
    <w:lvl w:ilvl="0">
      <w:lvlJc w:val="left"/>
      <w:lvlText w:val="%1."/>
      <w:numFmt w:val="decimal"/>
      <w:start w:val="13"/>
    </w:lvl>
  </w:abstractNum>
  <w:abstractNum w:abstractNumId="526">
    <w:nsid w:val="4557D5D8"/>
    <w:multiLevelType w:val="hybridMultilevel"/>
    <w:lvl w:ilvl="0">
      <w:lvlJc w:val="left"/>
      <w:lvlText w:val="%1."/>
      <w:numFmt w:val="decimal"/>
      <w:start w:val="14"/>
    </w:lvl>
  </w:abstractNum>
  <w:abstractNum w:abstractNumId="527">
    <w:nsid w:val="72D2B579"/>
    <w:multiLevelType w:val="hybridMultilevel"/>
    <w:lvl w:ilvl="0">
      <w:lvlJc w:val="left"/>
      <w:lvlText w:val="%1."/>
      <w:numFmt w:val="decimal"/>
      <w:start w:val="15"/>
    </w:lvl>
  </w:abstractNum>
  <w:abstractNum w:abstractNumId="528">
    <w:nsid w:val="6C0BE536"/>
    <w:multiLevelType w:val="hybridMultilevel"/>
    <w:lvl w:ilvl="0">
      <w:lvlJc w:val="left"/>
      <w:lvlText w:val="%1."/>
      <w:numFmt w:val="decimal"/>
      <w:start w:val="16"/>
    </w:lvl>
  </w:abstractNum>
  <w:abstractNum w:abstractNumId="529">
    <w:nsid w:val="1E22BCB2"/>
    <w:multiLevelType w:val="hybridMultilevel"/>
    <w:lvl w:ilvl="0">
      <w:lvlJc w:val="left"/>
      <w:lvlText w:val="%1."/>
      <w:numFmt w:val="decimal"/>
      <w:start w:val="1"/>
    </w:lvl>
  </w:abstractNum>
  <w:abstractNum w:abstractNumId="530">
    <w:nsid w:val="3565F1C8"/>
    <w:multiLevelType w:val="hybridMultilevel"/>
    <w:lvl w:ilvl="0">
      <w:lvlJc w:val="left"/>
      <w:lvlText w:val="%1."/>
      <w:numFmt w:val="decimal"/>
      <w:start w:val="2"/>
    </w:lvl>
  </w:abstractNum>
  <w:abstractNum w:abstractNumId="531">
    <w:nsid w:val="5EA6D896"/>
    <w:multiLevelType w:val="hybridMultilevel"/>
    <w:lvl w:ilvl="0">
      <w:lvlJc w:val="left"/>
      <w:lvlText w:val="%1."/>
      <w:numFmt w:val="upperLetter"/>
      <w:start w:val="9"/>
    </w:lvl>
  </w:abstractNum>
  <w:abstractNum w:abstractNumId="532">
    <w:nsid w:val="3D096BBF"/>
    <w:multiLevelType w:val="hybridMultilevel"/>
    <w:lvl w:ilvl="0">
      <w:lvlJc w:val="left"/>
      <w:lvlText w:val="%1."/>
      <w:numFmt w:val="upperLetter"/>
      <w:start w:val="35"/>
    </w:lvl>
    <w:lvl w:ilvl="1">
      <w:lvlJc w:val="left"/>
      <w:lvlText w:val="%2."/>
      <w:numFmt w:val="decimal"/>
      <w:start w:val="1"/>
    </w:lvl>
  </w:abstractNum>
  <w:abstractNum w:abstractNumId="533">
    <w:nsid w:val="BD6D5B5"/>
    <w:multiLevelType w:val="hybridMultilevel"/>
    <w:lvl w:ilvl="0">
      <w:lvlJc w:val="left"/>
      <w:lvlText w:val="%1."/>
      <w:numFmt w:val="upperLetter"/>
      <w:start w:val="61"/>
    </w:lvl>
  </w:abstractNum>
  <w:abstractNum w:abstractNumId="534">
    <w:nsid w:val="3B52115C"/>
    <w:multiLevelType w:val="hybridMultilevel"/>
    <w:lvl w:ilvl="0">
      <w:lvlJc w:val="left"/>
      <w:lvlText w:val="%1."/>
      <w:numFmt w:val="decimal"/>
      <w:start w:val="1"/>
    </w:lvl>
  </w:abstractNum>
  <w:abstractNum w:abstractNumId="535">
    <w:nsid w:val="787AA59C"/>
    <w:multiLevelType w:val="hybridMultilevel"/>
    <w:lvl w:ilvl="0">
      <w:lvlJc w:val="left"/>
      <w:lvlText w:val="%1."/>
      <w:numFmt w:val="decimal"/>
      <w:start w:val="1"/>
    </w:lvl>
  </w:abstractNum>
  <w:abstractNum w:abstractNumId="536">
    <w:nsid w:val="70BB9983"/>
    <w:multiLevelType w:val="hybridMultilevel"/>
    <w:lvl w:ilvl="0">
      <w:lvlJc w:val="left"/>
      <w:lvlText w:val="%1."/>
      <w:numFmt w:val="decimal"/>
      <w:start w:val="2"/>
    </w:lvl>
  </w:abstractNum>
  <w:abstractNum w:abstractNumId="537">
    <w:nsid w:val="51EEBEEA"/>
    <w:multiLevelType w:val="hybridMultilevel"/>
    <w:lvl w:ilvl="0">
      <w:lvlJc w:val="left"/>
      <w:lvlText w:val="%1."/>
      <w:numFmt w:val="decimal"/>
      <w:start w:val="3"/>
    </w:lvl>
  </w:abstractNum>
  <w:abstractNum w:abstractNumId="538">
    <w:nsid w:val="221A0CCD"/>
    <w:multiLevelType w:val="hybridMultilevel"/>
    <w:lvl w:ilvl="0">
      <w:lvlJc w:val="left"/>
      <w:lvlText w:val="%1."/>
      <w:numFmt w:val="decimal"/>
      <w:start w:val="4"/>
    </w:lvl>
  </w:abstractNum>
  <w:abstractNum w:abstractNumId="539">
    <w:nsid w:val="1B7CA0ED"/>
    <w:multiLevelType w:val="hybridMultilevel"/>
    <w:lvl w:ilvl="0">
      <w:lvlJc w:val="left"/>
      <w:lvlText w:val="%1."/>
      <w:numFmt w:val="decimal"/>
      <w:start w:val="5"/>
    </w:lvl>
  </w:abstractNum>
  <w:abstractNum w:abstractNumId="540">
    <w:nsid w:val="2395A7FF"/>
    <w:multiLevelType w:val="hybridMultilevel"/>
    <w:lvl w:ilvl="0">
      <w:lvlJc w:val="left"/>
      <w:lvlText w:val="%1."/>
      <w:numFmt w:val="decimal"/>
      <w:start w:val="6"/>
    </w:lvl>
  </w:abstractNum>
  <w:abstractNum w:abstractNumId="541">
    <w:nsid w:val="3965EB66"/>
    <w:multiLevelType w:val="hybridMultilevel"/>
    <w:lvl w:ilvl="0">
      <w:lvlJc w:val="left"/>
      <w:lvlText w:val="%1."/>
      <w:numFmt w:val="decimal"/>
      <w:start w:val="7"/>
    </w:lvl>
  </w:abstractNum>
  <w:abstractNum w:abstractNumId="542">
    <w:nsid w:val="3AA88B3C"/>
    <w:multiLevelType w:val="hybridMultilevel"/>
    <w:lvl w:ilvl="0">
      <w:lvlJc w:val="left"/>
      <w:lvlText w:val="(%1)"/>
      <w:numFmt w:val="decimal"/>
      <w:start w:val="3"/>
    </w:lvl>
  </w:abstractNum>
  <w:abstractNum w:abstractNumId="543">
    <w:nsid w:val="26BAF231"/>
    <w:multiLevelType w:val="hybridMultilevel"/>
    <w:lvl w:ilvl="0">
      <w:lvlJc w:val="left"/>
      <w:lvlText w:val="%1."/>
      <w:numFmt w:val="decimal"/>
      <w:start w:val="1"/>
    </w:lvl>
  </w:abstractNum>
  <w:abstractNum w:abstractNumId="544">
    <w:nsid w:val="4B13A15A"/>
    <w:multiLevelType w:val="hybridMultilevel"/>
    <w:lvl w:ilvl="0">
      <w:lvlJc w:val="left"/>
      <w:lvlText w:val="%1."/>
      <w:numFmt w:val="decimal"/>
      <w:start w:val="1"/>
    </w:lvl>
  </w:abstractNum>
  <w:abstractNum w:abstractNumId="545">
    <w:nsid w:val="701E8A0D"/>
    <w:multiLevelType w:val="hybridMultilevel"/>
    <w:lvl w:ilvl="0">
      <w:lvlJc w:val="left"/>
      <w:lvlText w:val="%1."/>
      <w:numFmt w:val="decimal"/>
      <w:start w:val="2"/>
    </w:lvl>
  </w:abstractNum>
  <w:abstractNum w:abstractNumId="546">
    <w:nsid w:val="41E690CF"/>
    <w:multiLevelType w:val="hybridMultilevel"/>
    <w:lvl w:ilvl="0">
      <w:lvlJc w:val="left"/>
      <w:lvlText w:val="%1."/>
      <w:numFmt w:val="decimal"/>
      <w:start w:val="3"/>
    </w:lvl>
  </w:abstractNum>
  <w:abstractNum w:abstractNumId="547">
    <w:nsid w:val="7C6489B6"/>
    <w:multiLevelType w:val="hybridMultilevel"/>
    <w:lvl w:ilvl="0">
      <w:lvlJc w:val="left"/>
      <w:lvlText w:val="%1."/>
      <w:numFmt w:val="decimal"/>
      <w:start w:val="4"/>
    </w:lvl>
  </w:abstractNum>
  <w:abstractNum w:abstractNumId="548">
    <w:nsid w:val="53AE65DE"/>
    <w:multiLevelType w:val="hybridMultilevel"/>
    <w:lvl w:ilvl="0">
      <w:lvlJc w:val="left"/>
      <w:lvlText w:val="%1."/>
      <w:numFmt w:val="decimal"/>
      <w:start w:val="5"/>
    </w:lvl>
  </w:abstractNum>
  <w:abstractNum w:abstractNumId="549">
    <w:nsid w:val="527F603D"/>
    <w:multiLevelType w:val="hybridMultilevel"/>
    <w:lvl w:ilvl="0">
      <w:lvlJc w:val="left"/>
      <w:lvlText w:val="%1."/>
      <w:numFmt w:val="decimal"/>
      <w:start w:val="6"/>
    </w:lvl>
  </w:abstractNum>
  <w:abstractNum w:abstractNumId="550">
    <w:nsid w:val="7E13D013"/>
    <w:multiLevelType w:val="hybridMultilevel"/>
    <w:lvl w:ilvl="0">
      <w:lvlJc w:val="left"/>
      <w:lvlText w:val="%1."/>
      <w:numFmt w:val="decimal"/>
      <w:start w:val="7"/>
    </w:lvl>
  </w:abstractNum>
  <w:abstractNum w:abstractNumId="551">
    <w:nsid w:val="663BFE95"/>
    <w:multiLevelType w:val="hybridMultilevel"/>
    <w:lvl w:ilvl="0">
      <w:lvlJc w:val="left"/>
      <w:lvlText w:val="%1."/>
      <w:numFmt w:val="decimal"/>
      <w:start w:val="8"/>
    </w:lvl>
  </w:abstractNum>
  <w:abstractNum w:abstractNumId="552">
    <w:nsid w:val="31E0986F"/>
    <w:multiLevelType w:val="hybridMultilevel"/>
    <w:lvl w:ilvl="0">
      <w:lvlJc w:val="left"/>
      <w:lvlText w:val="%1."/>
      <w:numFmt w:val="decimal"/>
      <w:start w:val="9"/>
    </w:lvl>
  </w:abstractNum>
  <w:abstractNum w:abstractNumId="553">
    <w:nsid w:val="41FCF274"/>
    <w:multiLevelType w:val="hybridMultilevel"/>
    <w:lvl w:ilvl="0">
      <w:lvlJc w:val="left"/>
      <w:lvlText w:val="%1."/>
      <w:numFmt w:val="decimal"/>
      <w:start w:val="10"/>
    </w:lvl>
  </w:abstractNum>
  <w:abstractNum w:abstractNumId="554">
    <w:nsid w:val="294614F7"/>
    <w:multiLevelType w:val="hybridMultilevel"/>
    <w:lvl w:ilvl="0">
      <w:lvlJc w:val="left"/>
      <w:lvlText w:val="%1."/>
      <w:numFmt w:val="decimal"/>
      <w:start w:val="12"/>
    </w:lvl>
  </w:abstractNum>
  <w:abstractNum w:abstractNumId="555">
    <w:nsid w:val="517DF487"/>
    <w:multiLevelType w:val="hybridMultilevel"/>
    <w:lvl w:ilvl="0">
      <w:lvlJc w:val="left"/>
      <w:lvlText w:val="%1."/>
      <w:numFmt w:val="decimal"/>
      <w:start w:val="13"/>
    </w:lvl>
  </w:abstractNum>
  <w:abstractNum w:abstractNumId="556">
    <w:nsid w:val="5EBE0EAB"/>
    <w:multiLevelType w:val="hybridMultilevel"/>
    <w:lvl w:ilvl="0">
      <w:lvlJc w:val="left"/>
      <w:lvlText w:val="%1."/>
      <w:numFmt w:val="decimal"/>
      <w:start w:val="15"/>
    </w:lvl>
  </w:abstractNum>
  <w:abstractNum w:abstractNumId="557">
    <w:nsid w:val="6E9DEAD0"/>
    <w:multiLevelType w:val="hybridMultilevel"/>
    <w:lvl w:ilvl="0">
      <w:lvlJc w:val="left"/>
      <w:lvlText w:val="%1."/>
      <w:numFmt w:val="decimal"/>
      <w:start w:val="16"/>
    </w:lvl>
  </w:abstractNum>
  <w:abstractNum w:abstractNumId="558">
    <w:nsid w:val="4450AA00"/>
    <w:multiLevelType w:val="hybridMultilevel"/>
    <w:lvl w:ilvl="0">
      <w:lvlJc w:val="left"/>
      <w:lvlText w:val="%1."/>
      <w:numFmt w:val="decimal"/>
      <w:start w:val="1"/>
    </w:lvl>
  </w:abstractNum>
  <w:abstractNum w:abstractNumId="559">
    <w:nsid w:val="4AC9F3E2"/>
    <w:multiLevelType w:val="hybridMultilevel"/>
    <w:lvl w:ilvl="0">
      <w:lvlJc w:val="left"/>
      <w:lvlText w:val="%1."/>
      <w:numFmt w:val="decimal"/>
      <w:start w:val="1"/>
    </w:lvl>
  </w:abstractNum>
  <w:abstractNum w:abstractNumId="560">
    <w:nsid w:val="CC0A782"/>
    <w:multiLevelType w:val="hybridMultilevel"/>
    <w:lvl w:ilvl="0">
      <w:lvlJc w:val="left"/>
      <w:lvlText w:val="%1."/>
      <w:numFmt w:val="decimal"/>
      <w:start w:val="1"/>
    </w:lvl>
  </w:abstractNum>
  <w:abstractNum w:abstractNumId="561">
    <w:nsid w:val="79B69BC9"/>
    <w:multiLevelType w:val="hybridMultilevel"/>
    <w:lvl w:ilvl="0">
      <w:lvlJc w:val="left"/>
      <w:lvlText w:val="%1."/>
      <w:numFmt w:val="decimal"/>
      <w:start w:val="2"/>
    </w:lvl>
  </w:abstractNum>
  <w:abstractNum w:abstractNumId="562">
    <w:nsid w:val="2970CC78"/>
    <w:multiLevelType w:val="hybridMultilevel"/>
    <w:lvl w:ilvl="0">
      <w:lvlJc w:val="left"/>
      <w:lvlText w:val="%1."/>
      <w:numFmt w:val="decimal"/>
      <w:start w:val="3"/>
    </w:lvl>
  </w:abstractNum>
  <w:abstractNum w:abstractNumId="563">
    <w:nsid w:val="49CA1341"/>
    <w:multiLevelType w:val="hybridMultilevel"/>
    <w:lvl w:ilvl="0">
      <w:lvlJc w:val="left"/>
      <w:lvlText w:val="%1."/>
      <w:numFmt w:val="decimal"/>
      <w:start w:val="4"/>
    </w:lvl>
  </w:abstractNum>
  <w:abstractNum w:abstractNumId="564">
    <w:nsid w:val="58D717E"/>
    <w:multiLevelType w:val="hybridMultilevel"/>
    <w:lvl w:ilvl="0">
      <w:lvlJc w:val="left"/>
      <w:lvlText w:val="%1."/>
      <w:numFmt w:val="decimal"/>
      <w:start w:val="5"/>
    </w:lvl>
  </w:abstractNum>
  <w:abstractNum w:abstractNumId="565">
    <w:nsid w:val="64C2DDD5"/>
    <w:multiLevelType w:val="hybridMultilevel"/>
    <w:lvl w:ilvl="0">
      <w:lvlJc w:val="left"/>
      <w:lvlText w:val="%1."/>
      <w:numFmt w:val="decimal"/>
      <w:start w:val="6"/>
    </w:lvl>
  </w:abstractNum>
  <w:abstractNum w:abstractNumId="566">
    <w:nsid w:val="4244B8DE"/>
    <w:multiLevelType w:val="hybridMultilevel"/>
    <w:lvl w:ilvl="0">
      <w:lvlJc w:val="left"/>
      <w:lvlText w:val="%1."/>
      <w:numFmt w:val="decimal"/>
      <w:start w:val="7"/>
    </w:lvl>
  </w:abstractNum>
  <w:abstractNum w:abstractNumId="567">
    <w:nsid w:val="76490B01"/>
    <w:multiLevelType w:val="hybridMultilevel"/>
    <w:lvl w:ilvl="0">
      <w:lvlJc w:val="left"/>
      <w:lvlText w:val="%1."/>
      <w:numFmt w:val="decimal"/>
      <w:start w:val="8"/>
    </w:lvl>
  </w:abstractNum>
  <w:abstractNum w:abstractNumId="568">
    <w:nsid w:val="36B19CBF"/>
    <w:multiLevelType w:val="hybridMultilevel"/>
    <w:lvl w:ilvl="0">
      <w:lvlJc w:val="left"/>
      <w:lvlText w:val="%1."/>
      <w:numFmt w:val="decimal"/>
      <w:start w:val="9"/>
    </w:lvl>
  </w:abstractNum>
  <w:abstractNum w:abstractNumId="569">
    <w:nsid w:val="645EC5AB"/>
    <w:multiLevelType w:val="hybridMultilevel"/>
    <w:lvl w:ilvl="0">
      <w:lvlJc w:val="left"/>
      <w:lvlText w:val="%1."/>
      <w:numFmt w:val="decimal"/>
      <w:start w:val="10"/>
    </w:lvl>
  </w:abstractNum>
  <w:abstractNum w:abstractNumId="570">
    <w:nsid w:val="11C5ABEF"/>
    <w:multiLevelType w:val="hybridMultilevel"/>
    <w:lvl w:ilvl="0">
      <w:lvlJc w:val="left"/>
      <w:lvlText w:val="%1."/>
      <w:numFmt w:val="decimal"/>
      <w:start w:val="11"/>
    </w:lvl>
  </w:abstractNum>
  <w:abstractNum w:abstractNumId="571">
    <w:nsid w:val="5A4744BE"/>
    <w:multiLevelType w:val="hybridMultilevel"/>
    <w:lvl w:ilvl="0">
      <w:lvlJc w:val="left"/>
      <w:lvlText w:val="%1."/>
      <w:numFmt w:val="decimal"/>
      <w:start w:val="12"/>
    </w:lvl>
  </w:abstractNum>
  <w:abstractNum w:abstractNumId="572">
    <w:nsid w:val="1DC4B111"/>
    <w:multiLevelType w:val="hybridMultilevel"/>
    <w:lvl w:ilvl="0">
      <w:lvlJc w:val="left"/>
      <w:lvlText w:val="%1."/>
      <w:numFmt w:val="decimal"/>
      <w:start w:val="13"/>
    </w:lvl>
  </w:abstractNum>
  <w:abstractNum w:abstractNumId="573">
    <w:nsid w:val="4C6E372B"/>
    <w:multiLevelType w:val="hybridMultilevel"/>
    <w:lvl w:ilvl="0">
      <w:lvlJc w:val="left"/>
      <w:lvlText w:val="%1."/>
      <w:numFmt w:val="decimal"/>
      <w:start w:val="14"/>
    </w:lvl>
  </w:abstractNum>
  <w:abstractNum w:abstractNumId="574">
    <w:nsid w:val="10236EF"/>
    <w:multiLevelType w:val="hybridMultilevel"/>
    <w:lvl w:ilvl="0">
      <w:lvlJc w:val="left"/>
      <w:lvlText w:val="%1."/>
      <w:numFmt w:val="decimal"/>
      <w:start w:val="15"/>
    </w:lvl>
  </w:abstractNum>
  <w:abstractNum w:abstractNumId="575">
    <w:nsid w:val="68D8526B"/>
    <w:multiLevelType w:val="hybridMultilevel"/>
    <w:lvl w:ilvl="0">
      <w:lvlJc w:val="left"/>
      <w:lvlText w:val="%1."/>
      <w:numFmt w:val="decimal"/>
      <w:start w:val="16"/>
    </w:lvl>
  </w:abstractNum>
  <w:abstractNum w:abstractNumId="576">
    <w:nsid w:val="3C8CC138"/>
    <w:multiLevelType w:val="hybridMultilevel"/>
    <w:lvl w:ilvl="0">
      <w:lvlJc w:val="left"/>
      <w:lvlText w:val="%1."/>
      <w:numFmt w:val="decimal"/>
      <w:start w:val="1"/>
    </w:lvl>
  </w:abstractNum>
  <w:abstractNum w:abstractNumId="577">
    <w:nsid w:val="42E8C7BE"/>
    <w:multiLevelType w:val="hybridMultilevel"/>
    <w:lvl w:ilvl="0">
      <w:lvlJc w:val="left"/>
      <w:lvlText w:val="%1."/>
      <w:numFmt w:val="decimal"/>
      <w:start w:val="1"/>
    </w:lvl>
  </w:abstractNum>
  <w:abstractNum w:abstractNumId="578">
    <w:nsid w:val="653CDC22"/>
    <w:multiLevelType w:val="hybridMultilevel"/>
    <w:lvl w:ilvl="0">
      <w:lvlJc w:val="left"/>
      <w:lvlText w:val="%1."/>
      <w:numFmt w:val="decimal"/>
      <w:start w:val="1"/>
    </w:lvl>
  </w:abstractNum>
  <w:abstractNum w:abstractNumId="579">
    <w:nsid w:val="103B2716"/>
    <w:multiLevelType w:val="hybridMultilevel"/>
    <w:lvl w:ilvl="0">
      <w:lvlJc w:val="left"/>
      <w:lvlText w:val="%1."/>
      <w:numFmt w:val="decimal"/>
      <w:start w:val="2"/>
    </w:lvl>
  </w:abstractNum>
  <w:abstractNum w:abstractNumId="580">
    <w:nsid w:val="156827FB"/>
    <w:multiLevelType w:val="hybridMultilevel"/>
    <w:lvl w:ilvl="0">
      <w:lvlJc w:val="left"/>
      <w:lvlText w:val="(%1)"/>
      <w:numFmt w:val="lowerLetter"/>
      <w:start w:val="1"/>
    </w:lvl>
  </w:abstractNum>
  <w:abstractNum w:abstractNumId="581">
    <w:nsid w:val="6350AC35"/>
    <w:multiLevelType w:val="hybridMultilevel"/>
    <w:lvl w:ilvl="0">
      <w:lvlJc w:val="left"/>
      <w:lvlText w:val="%1"/>
      <w:numFmt w:val="decimal"/>
      <w:start w:val="1"/>
    </w:lvl>
    <w:lvl w:ilvl="1">
      <w:lvlJc w:val="left"/>
      <w:lvlText w:val="(%2)"/>
      <w:numFmt w:val="lowerLetter"/>
      <w:start w:val="1"/>
    </w:lvl>
  </w:abstractNum>
  <w:abstractNum w:abstractNumId="582">
    <w:nsid w:val="767725AB"/>
    <w:multiLevelType w:val="hybridMultilevel"/>
    <w:lvl w:ilvl="0">
      <w:lvlJc w:val="left"/>
      <w:lvlText w:val="%1."/>
      <w:numFmt w:val="decimal"/>
      <w:start w:val="3"/>
    </w:lvl>
    <w:lvl w:ilvl="1">
      <w:lvlJc w:val="left"/>
      <w:lvlText w:val="%2"/>
      <w:numFmt w:val="lowerLetter"/>
      <w:start w:val="1"/>
    </w:lvl>
  </w:abstractNum>
  <w:abstractNum w:abstractNumId="583">
    <w:nsid w:val="4748C06A"/>
    <w:multiLevelType w:val="hybridMultilevel"/>
    <w:lvl w:ilvl="0">
      <w:lvlJc w:val="left"/>
      <w:lvlText w:val="(%1)"/>
      <w:numFmt w:val="lowerLetter"/>
      <w:start w:val="1"/>
    </w:lvl>
  </w:abstractNum>
  <w:abstractNum w:abstractNumId="584">
    <w:nsid w:val="254D9EA9"/>
    <w:multiLevelType w:val="hybridMultilevel"/>
    <w:lvl w:ilvl="0">
      <w:lvlJc w:val="left"/>
      <w:lvlText w:val="(%1)"/>
      <w:numFmt w:val="lowerLetter"/>
      <w:start w:val="4"/>
    </w:lvl>
  </w:abstractNum>
  <w:abstractNum w:abstractNumId="585">
    <w:nsid w:val="1FBD3AA3"/>
    <w:multiLevelType w:val="hybridMultilevel"/>
    <w:lvl w:ilvl="0">
      <w:lvlJc w:val="left"/>
      <w:lvlText w:val="(%1)"/>
      <w:numFmt w:val="lowerLetter"/>
      <w:start w:val="1"/>
    </w:lvl>
  </w:abstractNum>
  <w:abstractNum w:abstractNumId="586">
    <w:nsid w:val="18C6B4F2"/>
    <w:multiLevelType w:val="hybridMultilevel"/>
    <w:lvl w:ilvl="0">
      <w:lvlJc w:val="left"/>
      <w:lvlText w:val="(%1)"/>
      <w:numFmt w:val="lowerLetter"/>
      <w:start w:val="1"/>
    </w:lvl>
  </w:abstractNum>
  <w:abstractNum w:abstractNumId="587">
    <w:nsid w:val="40BAD55"/>
    <w:multiLevelType w:val="hybridMultilevel"/>
    <w:lvl w:ilvl="0">
      <w:lvlJc w:val="left"/>
      <w:lvlText w:val="%1."/>
      <w:numFmt w:val="decimal"/>
      <w:start w:val="4"/>
    </w:lvl>
  </w:abstractNum>
  <w:abstractNum w:abstractNumId="588">
    <w:nsid w:val="E5B2573"/>
    <w:multiLevelType w:val="hybridMultilevel"/>
    <w:lvl w:ilvl="0">
      <w:lvlJc w:val="left"/>
      <w:lvlText w:val="%1."/>
      <w:numFmt w:val="decimal"/>
      <w:start w:val="5"/>
    </w:lvl>
  </w:abstractNum>
  <w:abstractNum w:abstractNumId="589">
    <w:nsid w:val="5D175EF2"/>
    <w:multiLevelType w:val="hybridMultilevel"/>
    <w:lvl w:ilvl="0">
      <w:lvlJc w:val="left"/>
      <w:lvlText w:val="%1."/>
      <w:numFmt w:val="decimal"/>
      <w:start w:val="6"/>
    </w:lvl>
  </w:abstractNum>
  <w:abstractNum w:abstractNumId="590">
    <w:nsid w:val="4ED5A137"/>
    <w:multiLevelType w:val="hybridMultilevel"/>
    <w:lvl w:ilvl="0">
      <w:lvlJc w:val="left"/>
      <w:lvlText w:val="%1."/>
      <w:numFmt w:val="decimal"/>
      <w:start w:val="7"/>
    </w:lvl>
  </w:abstractNum>
  <w:abstractNum w:abstractNumId="591">
    <w:nsid w:val="1B1BCCF5"/>
    <w:multiLevelType w:val="hybridMultilevel"/>
    <w:lvl w:ilvl="0">
      <w:lvlJc w:val="left"/>
      <w:lvlText w:val="%1."/>
      <w:numFmt w:val="decimal"/>
      <w:start w:val="8"/>
    </w:lvl>
  </w:abstractNum>
  <w:abstractNum w:abstractNumId="592">
    <w:nsid w:val="56CDFABB"/>
    <w:multiLevelType w:val="hybridMultilevel"/>
    <w:lvl w:ilvl="0">
      <w:lvlJc w:val="left"/>
      <w:lvlText w:val="(%1)"/>
      <w:numFmt w:val="lowerLetter"/>
      <w:start w:val="1"/>
    </w:lvl>
  </w:abstractNum>
  <w:abstractNum w:abstractNumId="593">
    <w:nsid w:val="78466DAF"/>
    <w:multiLevelType w:val="hybridMultilevel"/>
    <w:lvl w:ilvl="0">
      <w:lvlJc w:val="left"/>
      <w:lvlText w:val="(%1)"/>
      <w:numFmt w:val="decimal"/>
      <w:start w:val="3"/>
    </w:lvl>
  </w:abstractNum>
  <w:abstractNum w:abstractNumId="594">
    <w:nsid w:val="64E5E036"/>
    <w:multiLevelType w:val="hybridMultilevel"/>
    <w:lvl w:ilvl="0">
      <w:lvlJc w:val="left"/>
      <w:lvlText w:val="%1."/>
      <w:numFmt w:val="decimal"/>
      <w:start w:val="1"/>
    </w:lvl>
  </w:abstractNum>
  <w:abstractNum w:abstractNumId="595">
    <w:nsid w:val="5C5B6C3A"/>
    <w:multiLevelType w:val="hybridMultilevel"/>
    <w:lvl w:ilvl="0">
      <w:lvlJc w:val="left"/>
      <w:lvlText w:val="%1."/>
      <w:numFmt w:val="decimal"/>
      <w:start w:val="1"/>
    </w:lvl>
  </w:abstractNum>
  <w:abstractNum w:abstractNumId="596">
    <w:nsid w:val="5D094B84"/>
    <w:multiLevelType w:val="hybridMultilevel"/>
    <w:lvl w:ilvl="0">
      <w:lvlJc w:val="left"/>
      <w:lvlText w:val="%1."/>
      <w:numFmt w:val="decimal"/>
      <w:start w:val="2"/>
    </w:lvl>
  </w:abstractNum>
  <w:abstractNum w:abstractNumId="597">
    <w:nsid w:val="272A9914"/>
    <w:multiLevelType w:val="hybridMultilevel"/>
    <w:lvl w:ilvl="0">
      <w:lvlJc w:val="left"/>
      <w:lvlText w:val="%1."/>
      <w:numFmt w:val="decimal"/>
      <w:start w:val="3"/>
    </w:lvl>
  </w:abstractNum>
  <w:abstractNum w:abstractNumId="598">
    <w:nsid w:val="52A4773B"/>
    <w:multiLevelType w:val="hybridMultilevel"/>
    <w:lvl w:ilvl="0">
      <w:lvlJc w:val="left"/>
      <w:lvlText w:val="%1."/>
      <w:numFmt w:val="decimal"/>
      <w:start w:val="4"/>
    </w:lvl>
  </w:abstractNum>
  <w:abstractNum w:abstractNumId="599">
    <w:nsid w:val="13BAE843"/>
    <w:multiLevelType w:val="hybridMultilevel"/>
    <w:lvl w:ilvl="0">
      <w:lvlJc w:val="left"/>
      <w:lvlText w:val="%1."/>
      <w:numFmt w:val="decimal"/>
      <w:start w:val="5"/>
    </w:lvl>
  </w:abstractNum>
  <w:abstractNum w:abstractNumId="600">
    <w:nsid w:val="B895EBF"/>
    <w:multiLevelType w:val="hybridMultilevel"/>
    <w:lvl w:ilvl="0">
      <w:lvlJc w:val="left"/>
      <w:lvlText w:val="%1."/>
      <w:numFmt w:val="decimal"/>
      <w:start w:val="6"/>
    </w:lvl>
  </w:abstractNum>
  <w:abstractNum w:abstractNumId="601">
    <w:nsid w:val="646A232A"/>
    <w:multiLevelType w:val="hybridMultilevel"/>
    <w:lvl w:ilvl="0">
      <w:lvlJc w:val="left"/>
      <w:lvlText w:val="%1."/>
      <w:numFmt w:val="decimal"/>
      <w:start w:val="7"/>
    </w:lvl>
  </w:abstractNum>
  <w:abstractNum w:abstractNumId="602">
    <w:nsid w:val="6E022D01"/>
    <w:multiLevelType w:val="hybridMultilevel"/>
    <w:lvl w:ilvl="0">
      <w:lvlJc w:val="left"/>
      <w:lvlText w:val="%1."/>
      <w:numFmt w:val="decimal"/>
      <w:start w:val="8"/>
    </w:lvl>
  </w:abstractNum>
  <w:abstractNum w:abstractNumId="603">
    <w:nsid w:val="294E0FD0"/>
    <w:multiLevelType w:val="hybridMultilevel"/>
    <w:lvl w:ilvl="0">
      <w:lvlJc w:val="left"/>
      <w:lvlText w:val="%1."/>
      <w:numFmt w:val="decimal"/>
      <w:start w:val="9"/>
    </w:lvl>
  </w:abstractNum>
  <w:abstractNum w:abstractNumId="604">
    <w:nsid w:val="30D85A55"/>
    <w:multiLevelType w:val="hybridMultilevel"/>
    <w:lvl w:ilvl="0">
      <w:lvlJc w:val="left"/>
      <w:lvlText w:val="%1."/>
      <w:numFmt w:val="decimal"/>
      <w:start w:val="10"/>
    </w:lvl>
  </w:abstractNum>
  <w:abstractNum w:abstractNumId="605">
    <w:nsid w:val="6F0463F1"/>
    <w:multiLevelType w:val="hybridMultilevel"/>
    <w:lvl w:ilvl="0">
      <w:lvlJc w:val="left"/>
      <w:lvlText w:val="%1."/>
      <w:numFmt w:val="decimal"/>
      <w:start w:val="11"/>
    </w:lvl>
  </w:abstractNum>
  <w:abstractNum w:abstractNumId="606">
    <w:nsid w:val="1226623C"/>
    <w:multiLevelType w:val="hybridMultilevel"/>
    <w:lvl w:ilvl="0">
      <w:lvlJc w:val="left"/>
      <w:lvlText w:val="%1."/>
      <w:numFmt w:val="decimal"/>
      <w:start w:val="12"/>
    </w:lvl>
  </w:abstractNum>
  <w:abstractNum w:abstractNumId="607">
    <w:nsid w:val="6D651B8D"/>
    <w:multiLevelType w:val="hybridMultilevel"/>
    <w:lvl w:ilvl="0">
      <w:lvlJc w:val="left"/>
      <w:lvlText w:val="%1."/>
      <w:numFmt w:val="decimal"/>
      <w:start w:val="13"/>
    </w:lvl>
  </w:abstractNum>
  <w:abstractNum w:abstractNumId="608">
    <w:nsid w:val="31ED2BAF"/>
    <w:multiLevelType w:val="hybridMultilevel"/>
    <w:lvl w:ilvl="0">
      <w:lvlJc w:val="left"/>
      <w:lvlText w:val="%1."/>
      <w:numFmt w:val="decimal"/>
      <w:start w:val="14"/>
    </w:lvl>
  </w:abstractNum>
  <w:abstractNum w:abstractNumId="609">
    <w:nsid w:val="77633E5E"/>
    <w:multiLevelType w:val="hybridMultilevel"/>
    <w:lvl w:ilvl="0">
      <w:lvlJc w:val="left"/>
      <w:lvlText w:val="%1."/>
      <w:numFmt w:val="decimal"/>
      <w:start w:val="15"/>
    </w:lvl>
  </w:abstractNum>
  <w:abstractNum w:abstractNumId="610">
    <w:nsid w:val="7DA042A3"/>
    <w:multiLevelType w:val="hybridMultilevel"/>
    <w:lvl w:ilvl="0">
      <w:lvlJc w:val="left"/>
      <w:lvlText w:val="%1."/>
      <w:numFmt w:val="decimal"/>
      <w:start w:val="16"/>
    </w:lvl>
  </w:abstractNum>
  <w:abstractNum w:abstractNumId="611">
    <w:nsid w:val="475553AB"/>
    <w:multiLevelType w:val="hybridMultilevel"/>
    <w:lvl w:ilvl="0">
      <w:lvlJc w:val="left"/>
      <w:lvlText w:val="%1."/>
      <w:numFmt w:val="decimal"/>
      <w:start w:val="1"/>
    </w:lvl>
  </w:abstractNum>
  <w:abstractNum w:abstractNumId="612">
    <w:nsid w:val="5AB3EA93"/>
    <w:multiLevelType w:val="hybridMultilevel"/>
    <w:lvl w:ilvl="0">
      <w:lvlJc w:val="left"/>
      <w:lvlText w:val="%1."/>
      <w:numFmt w:val="upperLetter"/>
      <w:start w:val="9"/>
    </w:lvl>
  </w:abstractNum>
  <w:abstractNum w:abstractNumId="613">
    <w:nsid w:val="7417684F"/>
    <w:multiLevelType w:val="hybridMultilevel"/>
    <w:lvl w:ilvl="0">
      <w:lvlJc w:val="left"/>
      <w:lvlText w:val="%1."/>
      <w:numFmt w:val="upperLetter"/>
      <w:start w:val="35"/>
    </w:lvl>
    <w:lvl w:ilvl="1">
      <w:lvlJc w:val="left"/>
      <w:lvlText w:val="%2."/>
      <w:numFmt w:val="decimal"/>
      <w:start w:val="1"/>
    </w:lvl>
  </w:abstractNum>
  <w:abstractNum w:abstractNumId="614">
    <w:nsid w:val="E9E1415"/>
    <w:multiLevelType w:val="hybridMultilevel"/>
    <w:lvl w:ilvl="0">
      <w:lvlJc w:val="left"/>
      <w:lvlText w:val="%1."/>
      <w:numFmt w:val="upperLetter"/>
      <w:start w:val="61"/>
    </w:lvl>
  </w:abstractNum>
  <w:abstractNum w:abstractNumId="615">
    <w:nsid w:val="1893D"/>
    <w:multiLevelType w:val="hybridMultilevel"/>
    <w:lvl w:ilvl="0">
      <w:lvlJc w:val="left"/>
      <w:lvlText w:val="%1."/>
      <w:numFmt w:val="decimal"/>
      <w:start w:val="1"/>
    </w:lvl>
  </w:abstractNum>
  <w:abstractNum w:abstractNumId="616">
    <w:nsid w:val="13D4A2F2"/>
    <w:multiLevelType w:val="hybridMultilevel"/>
    <w:lvl w:ilvl="0">
      <w:lvlJc w:val="left"/>
      <w:lvlText w:val="%1."/>
      <w:numFmt w:val="decimal"/>
      <w:start w:val="1"/>
    </w:lvl>
  </w:abstractNum>
  <w:abstractNum w:abstractNumId="617">
    <w:nsid w:val="2764C907"/>
    <w:multiLevelType w:val="hybridMultilevel"/>
    <w:lvl w:ilvl="0">
      <w:lvlJc w:val="left"/>
      <w:lvlText w:val="%1."/>
      <w:numFmt w:val="decimal"/>
      <w:start w:val="2"/>
    </w:lvl>
  </w:abstractNum>
  <w:abstractNum w:abstractNumId="618">
    <w:nsid w:val="40D3692"/>
    <w:multiLevelType w:val="hybridMultilevel"/>
    <w:lvl w:ilvl="0">
      <w:lvlJc w:val="left"/>
      <w:lvlText w:val="%1."/>
      <w:numFmt w:val="decimal"/>
      <w:start w:val="3"/>
    </w:lvl>
  </w:abstractNum>
  <w:abstractNum w:abstractNumId="619">
    <w:nsid w:val="222FC865"/>
    <w:multiLevelType w:val="hybridMultilevel"/>
    <w:lvl w:ilvl="0">
      <w:lvlJc w:val="left"/>
      <w:lvlText w:val="%1."/>
      <w:numFmt w:val="decimal"/>
      <w:start w:val="4"/>
    </w:lvl>
  </w:abstractNum>
  <w:abstractNum w:abstractNumId="620">
    <w:nsid w:val="47C27FA"/>
    <w:multiLevelType w:val="hybridMultilevel"/>
    <w:lvl w:ilvl="0">
      <w:lvlJc w:val="left"/>
      <w:lvlText w:val="%1."/>
      <w:numFmt w:val="decimal"/>
      <w:start w:val="5"/>
    </w:lvl>
  </w:abstractNum>
  <w:abstractNum w:abstractNumId="621">
    <w:nsid w:val="52E2D7C9"/>
    <w:multiLevelType w:val="hybridMultilevel"/>
    <w:lvl w:ilvl="0">
      <w:lvlJc w:val="left"/>
      <w:lvlText w:val="%1."/>
      <w:numFmt w:val="decimal"/>
      <w:start w:val="7"/>
    </w:lvl>
  </w:abstractNum>
  <w:abstractNum w:abstractNumId="622">
    <w:nsid w:val="3D4B955A"/>
    <w:multiLevelType w:val="hybridMultilevel"/>
    <w:lvl w:ilvl="0">
      <w:lvlJc w:val="left"/>
      <w:lvlText w:val="%1."/>
      <w:numFmt w:val="decimal"/>
      <w:start w:val="1"/>
    </w:lvl>
  </w:abstractNum>
  <w:abstractNum w:abstractNumId="623">
    <w:nsid w:val="5B4A22B5"/>
    <w:multiLevelType w:val="hybridMultilevel"/>
    <w:lvl w:ilvl="0">
      <w:lvlJc w:val="left"/>
      <w:lvlText w:val="%1."/>
      <w:numFmt w:val="decimal"/>
      <w:start w:val="1"/>
    </w:lvl>
  </w:abstractNum>
  <w:abstractNum w:abstractNumId="624">
    <w:nsid w:val="4B294578"/>
    <w:multiLevelType w:val="hybridMultilevel"/>
    <w:lvl w:ilvl="0">
      <w:lvlJc w:val="left"/>
      <w:lvlText w:val="%1."/>
      <w:numFmt w:val="decimal"/>
      <w:start w:val="2"/>
    </w:lvl>
  </w:abstractNum>
  <w:abstractNum w:abstractNumId="625">
    <w:nsid w:val="22317590"/>
    <w:multiLevelType w:val="hybridMultilevel"/>
    <w:lvl w:ilvl="0">
      <w:lvlJc w:val="left"/>
      <w:lvlText w:val="%1."/>
      <w:numFmt w:val="decimal"/>
      <w:start w:val="3"/>
    </w:lvl>
  </w:abstractNum>
  <w:abstractNum w:abstractNumId="626">
    <w:nsid w:val="37A58EEF"/>
    <w:multiLevelType w:val="hybridMultilevel"/>
    <w:lvl w:ilvl="0">
      <w:lvlJc w:val="left"/>
      <w:lvlText w:val="%1."/>
      <w:numFmt w:val="decimal"/>
      <w:start w:val="4"/>
    </w:lvl>
  </w:abstractNum>
  <w:abstractNum w:abstractNumId="627">
    <w:nsid w:val="283290FD"/>
    <w:multiLevelType w:val="hybridMultilevel"/>
    <w:lvl w:ilvl="0">
      <w:lvlJc w:val="left"/>
      <w:lvlText w:val="%1."/>
      <w:numFmt w:val="decimal"/>
      <w:start w:val="5"/>
    </w:lvl>
  </w:abstractNum>
  <w:abstractNum w:abstractNumId="628">
    <w:nsid w:val="495C0EA5"/>
    <w:multiLevelType w:val="hybridMultilevel"/>
    <w:lvl w:ilvl="0">
      <w:lvlJc w:val="left"/>
      <w:lvlText w:val="%1."/>
      <w:numFmt w:val="decimal"/>
      <w:start w:val="6"/>
    </w:lvl>
  </w:abstractNum>
  <w:abstractNum w:abstractNumId="629">
    <w:nsid w:val="A4A062B"/>
    <w:multiLevelType w:val="hybridMultilevel"/>
    <w:lvl w:ilvl="0">
      <w:lvlJc w:val="left"/>
      <w:lvlText w:val="%1."/>
      <w:numFmt w:val="decimal"/>
      <w:start w:val="7"/>
    </w:lvl>
  </w:abstractNum>
  <w:abstractNum w:abstractNumId="630">
    <w:nsid w:val="3BED7940"/>
    <w:multiLevelType w:val="hybridMultilevel"/>
    <w:lvl w:ilvl="0">
      <w:lvlJc w:val="left"/>
      <w:lvlText w:val="%1."/>
      <w:numFmt w:val="decimal"/>
      <w:start w:val="8"/>
    </w:lvl>
  </w:abstractNum>
  <w:abstractNum w:abstractNumId="631">
    <w:nsid w:val="54E56D64"/>
    <w:multiLevelType w:val="hybridMultilevel"/>
    <w:lvl w:ilvl="0">
      <w:lvlJc w:val="left"/>
      <w:lvlText w:val="%1."/>
      <w:numFmt w:val="decimal"/>
      <w:start w:val="9"/>
    </w:lvl>
  </w:abstractNum>
  <w:abstractNum w:abstractNumId="632">
    <w:nsid w:val="6EB42955"/>
    <w:multiLevelType w:val="hybridMultilevel"/>
    <w:lvl w:ilvl="0">
      <w:lvlJc w:val="left"/>
      <w:lvlText w:val="%1."/>
      <w:numFmt w:val="decimal"/>
      <w:start w:val="10"/>
    </w:lvl>
  </w:abstractNum>
  <w:abstractNum w:abstractNumId="633">
    <w:nsid w:val="29EFA642"/>
    <w:multiLevelType w:val="hybridMultilevel"/>
    <w:lvl w:ilvl="0">
      <w:lvlJc w:val="left"/>
      <w:lvlText w:val="%1."/>
      <w:numFmt w:val="decimal"/>
      <w:start w:val="12"/>
    </w:lvl>
  </w:abstractNum>
  <w:abstractNum w:abstractNumId="634">
    <w:nsid w:val="7E337D35"/>
    <w:multiLevelType w:val="hybridMultilevel"/>
    <w:lvl w:ilvl="0">
      <w:lvlJc w:val="left"/>
      <w:lvlText w:val="%1."/>
      <w:numFmt w:val="decimal"/>
      <w:start w:val="13"/>
    </w:lvl>
  </w:abstractNum>
  <w:abstractNum w:abstractNumId="635">
    <w:nsid w:val="1F8C83AB"/>
    <w:multiLevelType w:val="hybridMultilevel"/>
    <w:lvl w:ilvl="0">
      <w:lvlJc w:val="left"/>
      <w:lvlText w:val="%1."/>
      <w:numFmt w:val="decimal"/>
      <w:start w:val="16"/>
    </w:lvl>
  </w:abstractNum>
  <w:abstractNum w:abstractNumId="636">
    <w:nsid w:val="18F40A33"/>
    <w:multiLevelType w:val="hybridMultilevel"/>
    <w:lvl w:ilvl="0">
      <w:lvlJc w:val="left"/>
      <w:lvlText w:val="%1."/>
      <w:numFmt w:val="decimal"/>
      <w:start w:val="1"/>
    </w:lvl>
  </w:abstractNum>
  <w:abstractNum w:abstractNumId="637">
    <w:nsid w:val="1059DF71"/>
    <w:multiLevelType w:val="hybridMultilevel"/>
    <w:lvl w:ilvl="0">
      <w:lvlJc w:val="left"/>
      <w:lvlText w:val="%1."/>
      <w:numFmt w:val="decimal"/>
      <w:start w:val="1"/>
    </w:lvl>
  </w:abstractNum>
  <w:abstractNum w:abstractNumId="638">
    <w:nsid w:val="CF19F38"/>
    <w:multiLevelType w:val="hybridMultilevel"/>
    <w:lvl w:ilvl="0">
      <w:lvlJc w:val="left"/>
      <w:lvlText w:val="%1."/>
      <w:numFmt w:val="decimal"/>
      <w:start w:val="1"/>
    </w:lvl>
  </w:abstractNum>
  <w:abstractNum w:abstractNumId="639">
    <w:nsid w:val="4AE135E2"/>
    <w:multiLevelType w:val="hybridMultilevel"/>
    <w:lvl w:ilvl="0">
      <w:lvlJc w:val="left"/>
      <w:lvlText w:val="%1."/>
      <w:numFmt w:val="decimal"/>
      <w:start w:val="2"/>
    </w:lvl>
  </w:abstractNum>
  <w:abstractNum w:abstractNumId="640">
    <w:nsid w:val="7BD1DCF"/>
    <w:multiLevelType w:val="hybridMultilevel"/>
    <w:lvl w:ilvl="0">
      <w:lvlJc w:val="left"/>
      <w:lvlText w:val="(%1)"/>
      <w:numFmt w:val="lowerLetter"/>
      <w:start w:val="1"/>
    </w:lvl>
  </w:abstractNum>
  <w:abstractNum w:abstractNumId="641">
    <w:nsid w:val="A91E1DC"/>
    <w:multiLevelType w:val="hybridMultilevel"/>
    <w:lvl w:ilvl="0">
      <w:lvlJc w:val="left"/>
      <w:lvlText w:val="%1"/>
      <w:numFmt w:val="decimal"/>
      <w:start w:val="1"/>
    </w:lvl>
    <w:lvl w:ilvl="1">
      <w:lvlJc w:val="left"/>
      <w:lvlText w:val="(%2)"/>
      <w:numFmt w:val="lowerLetter"/>
      <w:start w:val="1"/>
    </w:lvl>
  </w:abstractNum>
  <w:abstractNum w:abstractNumId="642">
    <w:nsid w:val="1236898D"/>
    <w:multiLevelType w:val="hybridMultilevel"/>
    <w:lvl w:ilvl="0">
      <w:lvlJc w:val="left"/>
      <w:lvlText w:val="%1."/>
      <w:numFmt w:val="decimal"/>
      <w:start w:val="3"/>
    </w:lvl>
    <w:lvl w:ilvl="1">
      <w:lvlJc w:val="left"/>
      <w:lvlText w:val="%2"/>
      <w:numFmt w:val="lowerLetter"/>
      <w:start w:val="1"/>
    </w:lvl>
  </w:abstractNum>
  <w:abstractNum w:abstractNumId="643">
    <w:nsid w:val="62710862"/>
    <w:multiLevelType w:val="hybridMultilevel"/>
    <w:lvl w:ilvl="0">
      <w:lvlJc w:val="left"/>
      <w:lvlText w:val="(%1)"/>
      <w:numFmt w:val="lowerLetter"/>
      <w:start w:val="1"/>
    </w:lvl>
  </w:abstractNum>
  <w:abstractNum w:abstractNumId="644">
    <w:nsid w:val="7EA94A2B"/>
    <w:multiLevelType w:val="hybridMultilevel"/>
    <w:lvl w:ilvl="0">
      <w:lvlJc w:val="left"/>
      <w:lvlText w:val="(%1)"/>
      <w:numFmt w:val="lowerLetter"/>
      <w:start w:val="5"/>
    </w:lvl>
  </w:abstractNum>
  <w:abstractNum w:abstractNumId="645">
    <w:nsid w:val="20D49DA3"/>
    <w:multiLevelType w:val="hybridMultilevel"/>
    <w:lvl w:ilvl="0">
      <w:lvlJc w:val="left"/>
      <w:lvlText w:val="(%1)"/>
      <w:numFmt w:val="lowerLetter"/>
      <w:start w:val="1"/>
    </w:lvl>
  </w:abstractNum>
  <w:abstractNum w:abstractNumId="646">
    <w:nsid w:val="6272919F"/>
    <w:multiLevelType w:val="hybridMultilevel"/>
    <w:lvl w:ilvl="0">
      <w:lvlJc w:val="left"/>
      <w:lvlText w:val="(%1)"/>
      <w:numFmt w:val="lowerLetter"/>
      <w:start w:val="1"/>
    </w:lvl>
  </w:abstractNum>
  <w:abstractNum w:abstractNumId="647">
    <w:nsid w:val="127DED1D"/>
    <w:multiLevelType w:val="hybridMultilevel"/>
    <w:lvl w:ilvl="0">
      <w:lvlJc w:val="left"/>
      <w:lvlText w:val="%1."/>
      <w:numFmt w:val="decimal"/>
      <w:start w:val="4"/>
    </w:lvl>
  </w:abstractNum>
  <w:abstractNum w:abstractNumId="648">
    <w:nsid w:val="483966AA"/>
    <w:multiLevelType w:val="hybridMultilevel"/>
    <w:lvl w:ilvl="0">
      <w:lvlJc w:val="left"/>
      <w:lvlText w:val="%1."/>
      <w:numFmt w:val="decimal"/>
      <w:start w:val="7"/>
    </w:lvl>
  </w:abstractNum>
  <w:abstractNum w:abstractNumId="649">
    <w:nsid w:val="667FC831"/>
    <w:multiLevelType w:val="hybridMultilevel"/>
    <w:lvl w:ilvl="0">
      <w:lvlJc w:val="left"/>
      <w:lvlText w:val="%1."/>
      <w:numFmt w:val="decimal"/>
      <w:start w:val="8"/>
    </w:lvl>
  </w:abstractNum>
  <w:abstractNum w:abstractNumId="650">
    <w:nsid w:val="34ADB582"/>
    <w:multiLevelType w:val="hybridMultilevel"/>
    <w:lvl w:ilvl="0">
      <w:lvlJc w:val="left"/>
      <w:lvlText w:val="(%1)"/>
      <w:numFmt w:val="lowerLetter"/>
      <w:start w:val="1"/>
    </w:lvl>
  </w:abstractNum>
  <w:abstractNum w:abstractNumId="651">
    <w:nsid w:val="4CB58EA4"/>
    <w:multiLevelType w:val="hybridMultilevel"/>
    <w:lvl w:ilvl="0">
      <w:lvlJc w:val="left"/>
      <w:lvlText w:val="%1."/>
      <w:numFmt w:val="decimal"/>
      <w:start w:val="1"/>
    </w:lvl>
    <w:lvl w:ilvl="1">
      <w:lvlJc w:val="left"/>
      <w:lvlText w:val="(%2)"/>
      <w:numFmt w:val="lowerLetter"/>
      <w:start w:val="1"/>
    </w:lvl>
  </w:abstractNum>
  <w:abstractNum w:abstractNumId="652">
    <w:nsid w:val="39629FFA"/>
    <w:multiLevelType w:val="hybridMultilevel"/>
    <w:lvl w:ilvl="0">
      <w:lvlJc w:val="left"/>
      <w:lvlText w:val="%1."/>
      <w:numFmt w:val="decimal"/>
      <w:start w:val="1"/>
    </w:lvl>
    <w:lvl w:ilvl="1">
      <w:lvlJc w:val="left"/>
      <w:lvlText w:val="(%2)"/>
      <w:numFmt w:val="lowerLetter"/>
      <w:start w:val="1"/>
    </w:lvl>
  </w:abstractNum>
  <w:abstractNum w:abstractNumId="653">
    <w:nsid w:val="71F94ADC"/>
    <w:multiLevelType w:val="hybridMultilevel"/>
    <w:lvl w:ilvl="0">
      <w:lvlJc w:val="left"/>
      <w:lvlText w:val="(%1)"/>
      <w:numFmt w:val="decimal"/>
      <w:start w:val="1"/>
    </w:lvl>
  </w:abstractNum>
  <w:abstractNum w:abstractNumId="654">
    <w:nsid w:val="27FFB1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7" Type="http://schemas.openxmlformats.org/officeDocument/2006/relationships/image" Target="media/image358.png"/><Relationship Id="rId388" Type="http://schemas.openxmlformats.org/officeDocument/2006/relationships/image" Target="media/image359.png"/><Relationship Id="rId389" Type="http://schemas.openxmlformats.org/officeDocument/2006/relationships/image" Target="media/image360.png"/><Relationship Id="rId390" Type="http://schemas.openxmlformats.org/officeDocument/2006/relationships/image" Target="media/image361.png"/><Relationship Id="rId391" Type="http://schemas.openxmlformats.org/officeDocument/2006/relationships/image" Target="media/image362.png"/><Relationship Id="rId392"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6" Type="http://schemas.openxmlformats.org/officeDocument/2006/relationships/image" Target="media/image367.png"/><Relationship Id="rId397" Type="http://schemas.openxmlformats.org/officeDocument/2006/relationships/image" Target="media/image368.png"/><Relationship Id="rId398" Type="http://schemas.openxmlformats.org/officeDocument/2006/relationships/image" Target="media/image369.png"/><Relationship Id="rId399" Type="http://schemas.openxmlformats.org/officeDocument/2006/relationships/image" Target="media/image370.png"/><Relationship Id="rId400" Type="http://schemas.openxmlformats.org/officeDocument/2006/relationships/image" Target="media/image371.png"/><Relationship Id="rId401" Type="http://schemas.openxmlformats.org/officeDocument/2006/relationships/image" Target="media/image372.png"/><Relationship Id="rId402" Type="http://schemas.openxmlformats.org/officeDocument/2006/relationships/image" Target="media/image373.png"/><Relationship Id="rId403" Type="http://schemas.openxmlformats.org/officeDocument/2006/relationships/image" Target="media/image374.png"/><Relationship Id="rId404" Type="http://schemas.openxmlformats.org/officeDocument/2006/relationships/image" Target="media/image375.png"/><Relationship Id="rId405" Type="http://schemas.openxmlformats.org/officeDocument/2006/relationships/image" Target="media/image376.png"/><Relationship Id="rId406" Type="http://schemas.openxmlformats.org/officeDocument/2006/relationships/image" Target="media/image377.png"/><Relationship Id="rId407" Type="http://schemas.openxmlformats.org/officeDocument/2006/relationships/image" Target="media/image378.png"/><Relationship Id="rId408" Type="http://schemas.openxmlformats.org/officeDocument/2006/relationships/image" Target="media/image379.png"/><Relationship Id="rId409" Type="http://schemas.openxmlformats.org/officeDocument/2006/relationships/image" Target="media/image380.png"/><Relationship Id="rId410" Type="http://schemas.openxmlformats.org/officeDocument/2006/relationships/image" Target="media/image381.png"/><Relationship Id="rId411" Type="http://schemas.openxmlformats.org/officeDocument/2006/relationships/image" Target="media/image382.png"/><Relationship Id="rId412" Type="http://schemas.openxmlformats.org/officeDocument/2006/relationships/image" Target="media/image383.png"/><Relationship Id="rId413" Type="http://schemas.openxmlformats.org/officeDocument/2006/relationships/image" Target="media/image384.png"/><Relationship Id="rId414" Type="http://schemas.openxmlformats.org/officeDocument/2006/relationships/image" Target="media/image385.png"/><Relationship Id="rId415" Type="http://schemas.openxmlformats.org/officeDocument/2006/relationships/image" Target="media/image386.png"/><Relationship Id="rId416" Type="http://schemas.openxmlformats.org/officeDocument/2006/relationships/image" Target="media/image387.png"/><Relationship Id="rId417" Type="http://schemas.openxmlformats.org/officeDocument/2006/relationships/image" Target="media/image388.png"/><Relationship Id="rId418" Type="http://schemas.openxmlformats.org/officeDocument/2006/relationships/image" Target="media/image389.png"/><Relationship Id="rId419" Type="http://schemas.openxmlformats.org/officeDocument/2006/relationships/image" Target="media/image390.png"/><Relationship Id="rId420"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pn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7" Type="http://schemas.openxmlformats.org/officeDocument/2006/relationships/image" Target="media/image398.png"/><Relationship Id="rId428"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437"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441" Type="http://schemas.openxmlformats.org/officeDocument/2006/relationships/image" Target="media/image412.png"/><Relationship Id="rId442" Type="http://schemas.openxmlformats.org/officeDocument/2006/relationships/image" Target="media/image413.png"/><Relationship Id="rId443" Type="http://schemas.openxmlformats.org/officeDocument/2006/relationships/image" Target="media/image414.png"/><Relationship Id="rId444" Type="http://schemas.openxmlformats.org/officeDocument/2006/relationships/image" Target="media/image415.png"/><Relationship Id="rId445" Type="http://schemas.openxmlformats.org/officeDocument/2006/relationships/image" Target="media/image416.png"/><Relationship Id="rId446" Type="http://schemas.openxmlformats.org/officeDocument/2006/relationships/image" Target="media/image417.png"/><Relationship Id="rId447"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0" Type="http://schemas.openxmlformats.org/officeDocument/2006/relationships/image" Target="media/image421.png"/><Relationship Id="rId451" Type="http://schemas.openxmlformats.org/officeDocument/2006/relationships/image" Target="media/image422.png"/><Relationship Id="rId452" Type="http://schemas.openxmlformats.org/officeDocument/2006/relationships/image" Target="media/image423.png"/><Relationship Id="rId453" Type="http://schemas.openxmlformats.org/officeDocument/2006/relationships/image" Target="media/image424.png"/><Relationship Id="rId454" Type="http://schemas.openxmlformats.org/officeDocument/2006/relationships/image" Target="media/image425.png"/><Relationship Id="rId455" Type="http://schemas.openxmlformats.org/officeDocument/2006/relationships/image" Target="media/image426.png"/><Relationship Id="rId456" Type="http://schemas.openxmlformats.org/officeDocument/2006/relationships/image" Target="media/image427.png"/><Relationship Id="rId457" Type="http://schemas.openxmlformats.org/officeDocument/2006/relationships/image" Target="media/image428.png"/><Relationship Id="rId458" Type="http://schemas.openxmlformats.org/officeDocument/2006/relationships/image" Target="media/image429.png"/><Relationship Id="rId459" Type="http://schemas.openxmlformats.org/officeDocument/2006/relationships/image" Target="media/image430.png"/><Relationship Id="rId460"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png"/><Relationship Id="rId464"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png"/><Relationship Id="rId467" Type="http://schemas.openxmlformats.org/officeDocument/2006/relationships/image" Target="media/image438.png"/><Relationship Id="rId468" Type="http://schemas.openxmlformats.org/officeDocument/2006/relationships/image" Target="media/image439.png"/><Relationship Id="rId469" Type="http://schemas.openxmlformats.org/officeDocument/2006/relationships/image" Target="media/image440.png"/><Relationship Id="rId470" Type="http://schemas.openxmlformats.org/officeDocument/2006/relationships/image" Target="media/image441.png"/><Relationship Id="rId471" Type="http://schemas.openxmlformats.org/officeDocument/2006/relationships/image" Target="media/image442.png"/><Relationship Id="rId472" Type="http://schemas.openxmlformats.org/officeDocument/2006/relationships/image" Target="media/image443.png"/><Relationship Id="rId473"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6" Type="http://schemas.openxmlformats.org/officeDocument/2006/relationships/image" Target="media/image447.png"/><Relationship Id="rId477" Type="http://schemas.openxmlformats.org/officeDocument/2006/relationships/image" Target="media/image448.png"/><Relationship Id="rId478" Type="http://schemas.openxmlformats.org/officeDocument/2006/relationships/image" Target="media/image449.png"/><Relationship Id="rId479" Type="http://schemas.openxmlformats.org/officeDocument/2006/relationships/image" Target="media/image450.png"/><Relationship Id="rId480" Type="http://schemas.openxmlformats.org/officeDocument/2006/relationships/image" Target="media/image451.png"/><Relationship Id="rId481" Type="http://schemas.openxmlformats.org/officeDocument/2006/relationships/image" Target="media/image452.png"/><Relationship Id="rId482" Type="http://schemas.openxmlformats.org/officeDocument/2006/relationships/image" Target="media/image453.png"/><Relationship Id="rId483" Type="http://schemas.openxmlformats.org/officeDocument/2006/relationships/image" Target="media/image454.png"/><Relationship Id="rId484" Type="http://schemas.openxmlformats.org/officeDocument/2006/relationships/image" Target="media/image455.png"/><Relationship Id="rId485" Type="http://schemas.openxmlformats.org/officeDocument/2006/relationships/image" Target="media/image456.png"/><Relationship Id="rId486" Type="http://schemas.openxmlformats.org/officeDocument/2006/relationships/image" Target="media/image457.png"/><Relationship Id="rId487" Type="http://schemas.openxmlformats.org/officeDocument/2006/relationships/image" Target="media/image458.png"/><Relationship Id="rId488" Type="http://schemas.openxmlformats.org/officeDocument/2006/relationships/image" Target="media/image459.png"/><Relationship Id="rId489" Type="http://schemas.openxmlformats.org/officeDocument/2006/relationships/image" Target="media/image460.png"/><Relationship Id="rId490" Type="http://schemas.openxmlformats.org/officeDocument/2006/relationships/image" Target="media/image461.png"/><Relationship Id="rId491" Type="http://schemas.openxmlformats.org/officeDocument/2006/relationships/image" Target="media/image462.png"/><Relationship Id="rId492" Type="http://schemas.openxmlformats.org/officeDocument/2006/relationships/image" Target="media/image463.png"/><Relationship Id="rId493" Type="http://schemas.openxmlformats.org/officeDocument/2006/relationships/image" Target="media/image464.png"/><Relationship Id="rId494" Type="http://schemas.openxmlformats.org/officeDocument/2006/relationships/image" Target="media/image465.png"/><Relationship Id="rId495" Type="http://schemas.openxmlformats.org/officeDocument/2006/relationships/image" Target="media/image466.png"/><Relationship Id="rId496" Type="http://schemas.openxmlformats.org/officeDocument/2006/relationships/image" Target="media/image467.png"/><Relationship Id="rId497" Type="http://schemas.openxmlformats.org/officeDocument/2006/relationships/image" Target="media/image468.png"/><Relationship Id="rId498" Type="http://schemas.openxmlformats.org/officeDocument/2006/relationships/image" Target="media/image469.png"/><Relationship Id="rId499" Type="http://schemas.openxmlformats.org/officeDocument/2006/relationships/image" Target="media/image470.png"/><Relationship Id="rId500" Type="http://schemas.openxmlformats.org/officeDocument/2006/relationships/image" Target="media/image471.png"/><Relationship Id="rId501" Type="http://schemas.openxmlformats.org/officeDocument/2006/relationships/image" Target="media/image472.png"/><Relationship Id="rId502" Type="http://schemas.openxmlformats.org/officeDocument/2006/relationships/image" Target="media/image473.png"/><Relationship Id="rId503" Type="http://schemas.openxmlformats.org/officeDocument/2006/relationships/image" Target="media/image474.png"/><Relationship Id="rId504" Type="http://schemas.openxmlformats.org/officeDocument/2006/relationships/image" Target="media/image475.png"/><Relationship Id="rId505" Type="http://schemas.openxmlformats.org/officeDocument/2006/relationships/image" Target="media/image476.png"/><Relationship Id="rId506" Type="http://schemas.openxmlformats.org/officeDocument/2006/relationships/image" Target="media/image477.png"/><Relationship Id="rId507" Type="http://schemas.openxmlformats.org/officeDocument/2006/relationships/image" Target="media/image478.png"/><Relationship Id="rId508" Type="http://schemas.openxmlformats.org/officeDocument/2006/relationships/image" Target="media/image479.png"/><Relationship Id="rId509" Type="http://schemas.openxmlformats.org/officeDocument/2006/relationships/image" Target="media/image480.png"/><Relationship Id="rId510" Type="http://schemas.openxmlformats.org/officeDocument/2006/relationships/image" Target="media/image481.png"/><Relationship Id="rId511" Type="http://schemas.openxmlformats.org/officeDocument/2006/relationships/image" Target="media/image482.png"/><Relationship Id="rId512" Type="http://schemas.openxmlformats.org/officeDocument/2006/relationships/image" Target="media/image483.png"/><Relationship Id="rId513" Type="http://schemas.openxmlformats.org/officeDocument/2006/relationships/image" Target="media/image484.png"/><Relationship Id="rId514" Type="http://schemas.openxmlformats.org/officeDocument/2006/relationships/image" Target="media/image485.png"/><Relationship Id="rId515" Type="http://schemas.openxmlformats.org/officeDocument/2006/relationships/image" Target="media/image486.png"/><Relationship Id="rId516" Type="http://schemas.openxmlformats.org/officeDocument/2006/relationships/image" Target="media/image487.png"/><Relationship Id="rId517" Type="http://schemas.openxmlformats.org/officeDocument/2006/relationships/image" Target="media/image488.png"/><Relationship Id="rId518" Type="http://schemas.openxmlformats.org/officeDocument/2006/relationships/image" Target="media/image489.png"/><Relationship Id="rId519" Type="http://schemas.openxmlformats.org/officeDocument/2006/relationships/image" Target="media/image490.png"/><Relationship Id="rId520" Type="http://schemas.openxmlformats.org/officeDocument/2006/relationships/image" Target="media/image491.png"/><Relationship Id="rId521" Type="http://schemas.openxmlformats.org/officeDocument/2006/relationships/image" Target="media/image492.png"/><Relationship Id="rId522" Type="http://schemas.openxmlformats.org/officeDocument/2006/relationships/image" Target="media/image493.png"/><Relationship Id="rId523" Type="http://schemas.openxmlformats.org/officeDocument/2006/relationships/image" Target="media/image494.png"/><Relationship Id="rId524" Type="http://schemas.openxmlformats.org/officeDocument/2006/relationships/image" Target="media/image495.png"/><Relationship Id="rId525" Type="http://schemas.openxmlformats.org/officeDocument/2006/relationships/image" Target="media/image496.png"/><Relationship Id="rId526" Type="http://schemas.openxmlformats.org/officeDocument/2006/relationships/image" Target="media/image497.png"/><Relationship Id="rId527" Type="http://schemas.openxmlformats.org/officeDocument/2006/relationships/image" Target="media/image498.png"/><Relationship Id="rId528" Type="http://schemas.openxmlformats.org/officeDocument/2006/relationships/image" Target="media/image499.png"/><Relationship Id="rId529" Type="http://schemas.openxmlformats.org/officeDocument/2006/relationships/image" Target="media/image500.png"/><Relationship Id="rId530" Type="http://schemas.openxmlformats.org/officeDocument/2006/relationships/image" Target="media/image501.png"/><Relationship Id="rId531" Type="http://schemas.openxmlformats.org/officeDocument/2006/relationships/image" Target="media/image502.png"/><Relationship Id="rId532" Type="http://schemas.openxmlformats.org/officeDocument/2006/relationships/image" Target="media/image503.png"/><Relationship Id="rId533" Type="http://schemas.openxmlformats.org/officeDocument/2006/relationships/image" Target="media/image504.png"/><Relationship Id="rId534" Type="http://schemas.openxmlformats.org/officeDocument/2006/relationships/image" Target="media/image505.png"/><Relationship Id="rId535" Type="http://schemas.openxmlformats.org/officeDocument/2006/relationships/image" Target="media/image506.png"/><Relationship Id="rId536" Type="http://schemas.openxmlformats.org/officeDocument/2006/relationships/image" Target="media/image507.png"/><Relationship Id="rId537" Type="http://schemas.openxmlformats.org/officeDocument/2006/relationships/image" Target="media/image508.png"/><Relationship Id="rId538" Type="http://schemas.openxmlformats.org/officeDocument/2006/relationships/image" Target="media/image509.png"/><Relationship Id="rId539" Type="http://schemas.openxmlformats.org/officeDocument/2006/relationships/image" Target="media/image510.png"/><Relationship Id="rId540" Type="http://schemas.openxmlformats.org/officeDocument/2006/relationships/image" Target="media/image511.png"/><Relationship Id="rId541" Type="http://schemas.openxmlformats.org/officeDocument/2006/relationships/image" Target="media/image512.png"/><Relationship Id="rId542" Type="http://schemas.openxmlformats.org/officeDocument/2006/relationships/image" Target="media/image513.png"/><Relationship Id="rId543" Type="http://schemas.openxmlformats.org/officeDocument/2006/relationships/image" Target="media/image514.png"/><Relationship Id="rId544" Type="http://schemas.openxmlformats.org/officeDocument/2006/relationships/image" Target="media/image515.png"/><Relationship Id="rId545" Type="http://schemas.openxmlformats.org/officeDocument/2006/relationships/image" Target="media/image516.png"/><Relationship Id="rId546" Type="http://schemas.openxmlformats.org/officeDocument/2006/relationships/image" Target="media/image517.png"/><Relationship Id="rId547" Type="http://schemas.openxmlformats.org/officeDocument/2006/relationships/image" Target="media/image518.png"/><Relationship Id="rId548" Type="http://schemas.openxmlformats.org/officeDocument/2006/relationships/image" Target="media/image519.png"/><Relationship Id="rId549" Type="http://schemas.openxmlformats.org/officeDocument/2006/relationships/image" Target="media/image520.png"/><Relationship Id="rId550" Type="http://schemas.openxmlformats.org/officeDocument/2006/relationships/image" Target="media/image521.png"/><Relationship Id="rId551" Type="http://schemas.openxmlformats.org/officeDocument/2006/relationships/image" Target="media/image522.png"/><Relationship Id="rId552" Type="http://schemas.openxmlformats.org/officeDocument/2006/relationships/image" Target="media/image523.png"/><Relationship Id="rId553" Type="http://schemas.openxmlformats.org/officeDocument/2006/relationships/image" Target="media/image524.png"/><Relationship Id="rId554" Type="http://schemas.openxmlformats.org/officeDocument/2006/relationships/image" Target="media/image525.png"/><Relationship Id="rId555" Type="http://schemas.openxmlformats.org/officeDocument/2006/relationships/image" Target="media/image526.png"/><Relationship Id="rId556" Type="http://schemas.openxmlformats.org/officeDocument/2006/relationships/image" Target="media/image527.png"/><Relationship Id="rId557" Type="http://schemas.openxmlformats.org/officeDocument/2006/relationships/image" Target="media/image528.png"/><Relationship Id="rId558" Type="http://schemas.openxmlformats.org/officeDocument/2006/relationships/image" Target="media/image529.png"/><Relationship Id="rId559" Type="http://schemas.openxmlformats.org/officeDocument/2006/relationships/image" Target="media/image530.png"/><Relationship Id="rId560" Type="http://schemas.openxmlformats.org/officeDocument/2006/relationships/image" Target="media/image531.png"/><Relationship Id="rId561" Type="http://schemas.openxmlformats.org/officeDocument/2006/relationships/image" Target="media/image532.png"/><Relationship Id="rId562" Type="http://schemas.openxmlformats.org/officeDocument/2006/relationships/image" Target="media/image533.png"/><Relationship Id="rId563" Type="http://schemas.openxmlformats.org/officeDocument/2006/relationships/image" Target="media/image534.png"/><Relationship Id="rId564" Type="http://schemas.openxmlformats.org/officeDocument/2006/relationships/image" Target="media/image535.png"/><Relationship Id="rId565" Type="http://schemas.openxmlformats.org/officeDocument/2006/relationships/image" Target="media/image536.png"/><Relationship Id="rId566" Type="http://schemas.openxmlformats.org/officeDocument/2006/relationships/image" Target="media/image537.png"/><Relationship Id="rId567" Type="http://schemas.openxmlformats.org/officeDocument/2006/relationships/image" Target="media/image538.png"/><Relationship Id="rId568" Type="http://schemas.openxmlformats.org/officeDocument/2006/relationships/image" Target="media/image539.png"/><Relationship Id="rId569" Type="http://schemas.openxmlformats.org/officeDocument/2006/relationships/image" Target="media/image540.png"/><Relationship Id="rId570" Type="http://schemas.openxmlformats.org/officeDocument/2006/relationships/image" Target="media/image541.png"/><Relationship Id="rId571" Type="http://schemas.openxmlformats.org/officeDocument/2006/relationships/image" Target="media/image542.png"/><Relationship Id="rId572" Type="http://schemas.openxmlformats.org/officeDocument/2006/relationships/image" Target="media/image543.png"/><Relationship Id="rId573" Type="http://schemas.openxmlformats.org/officeDocument/2006/relationships/image" Target="media/image544.png"/><Relationship Id="rId574" Type="http://schemas.openxmlformats.org/officeDocument/2006/relationships/image" Target="media/image545.png"/><Relationship Id="rId575" Type="http://schemas.openxmlformats.org/officeDocument/2006/relationships/image" Target="media/image546.png"/><Relationship Id="rId576" Type="http://schemas.openxmlformats.org/officeDocument/2006/relationships/image" Target="media/image547.png"/><Relationship Id="rId577" Type="http://schemas.openxmlformats.org/officeDocument/2006/relationships/image" Target="media/image548.png"/><Relationship Id="rId578" Type="http://schemas.openxmlformats.org/officeDocument/2006/relationships/image" Target="media/image549.png"/><Relationship Id="rId579" Type="http://schemas.openxmlformats.org/officeDocument/2006/relationships/image" Target="media/image550.png"/><Relationship Id="rId580" Type="http://schemas.openxmlformats.org/officeDocument/2006/relationships/image" Target="media/image551.png"/><Relationship Id="rId581" Type="http://schemas.openxmlformats.org/officeDocument/2006/relationships/image" Target="media/image552.png"/><Relationship Id="rId582" Type="http://schemas.openxmlformats.org/officeDocument/2006/relationships/image" Target="media/image553.png"/><Relationship Id="rId583" Type="http://schemas.openxmlformats.org/officeDocument/2006/relationships/image" Target="media/image554.png"/><Relationship Id="rId584" Type="http://schemas.openxmlformats.org/officeDocument/2006/relationships/image" Target="media/image555.png"/><Relationship Id="rId585" Type="http://schemas.openxmlformats.org/officeDocument/2006/relationships/image" Target="media/image556.png"/><Relationship Id="rId586" Type="http://schemas.openxmlformats.org/officeDocument/2006/relationships/image" Target="media/image557.png"/><Relationship Id="rId587" Type="http://schemas.openxmlformats.org/officeDocument/2006/relationships/image" Target="media/image558.png"/><Relationship Id="rId588" Type="http://schemas.openxmlformats.org/officeDocument/2006/relationships/image" Target="media/image559.png"/><Relationship Id="rId589" Type="http://schemas.openxmlformats.org/officeDocument/2006/relationships/image" Target="media/image560.png"/><Relationship Id="rId590" Type="http://schemas.openxmlformats.org/officeDocument/2006/relationships/image" Target="media/image561.png"/><Relationship Id="rId591" Type="http://schemas.openxmlformats.org/officeDocument/2006/relationships/image" Target="media/image562.png"/><Relationship Id="rId592" Type="http://schemas.openxmlformats.org/officeDocument/2006/relationships/image" Target="media/image563.png"/><Relationship Id="rId593" Type="http://schemas.openxmlformats.org/officeDocument/2006/relationships/image" Target="media/image564.png"/><Relationship Id="rId594" Type="http://schemas.openxmlformats.org/officeDocument/2006/relationships/image" Target="media/image565.png"/><Relationship Id="rId595" Type="http://schemas.openxmlformats.org/officeDocument/2006/relationships/image" Target="media/image566.png"/><Relationship Id="rId596" Type="http://schemas.openxmlformats.org/officeDocument/2006/relationships/image" Target="media/image567.png"/><Relationship Id="rId597" Type="http://schemas.openxmlformats.org/officeDocument/2006/relationships/image" Target="media/image568.png"/><Relationship Id="rId598" Type="http://schemas.openxmlformats.org/officeDocument/2006/relationships/image" Target="media/image569.png"/><Relationship Id="rId599" Type="http://schemas.openxmlformats.org/officeDocument/2006/relationships/image" Target="media/image570.png"/><Relationship Id="rId600" Type="http://schemas.openxmlformats.org/officeDocument/2006/relationships/image" Target="media/image571.png"/><Relationship Id="rId601" Type="http://schemas.openxmlformats.org/officeDocument/2006/relationships/image" Target="media/image572.png"/><Relationship Id="rId602" Type="http://schemas.openxmlformats.org/officeDocument/2006/relationships/image" Target="media/image573.png"/><Relationship Id="rId603" Type="http://schemas.openxmlformats.org/officeDocument/2006/relationships/image" Target="media/image574.png"/><Relationship Id="rId604" Type="http://schemas.openxmlformats.org/officeDocument/2006/relationships/image" Target="media/image575.png"/><Relationship Id="rId605" Type="http://schemas.openxmlformats.org/officeDocument/2006/relationships/image" Target="media/image576.png"/><Relationship Id="rId606" Type="http://schemas.openxmlformats.org/officeDocument/2006/relationships/image" Target="media/image577.png"/><Relationship Id="rId607" Type="http://schemas.openxmlformats.org/officeDocument/2006/relationships/image" Target="media/image578.png"/><Relationship Id="rId608" Type="http://schemas.openxmlformats.org/officeDocument/2006/relationships/image" Target="media/image579.png"/><Relationship Id="rId609" Type="http://schemas.openxmlformats.org/officeDocument/2006/relationships/image" Target="media/image580.png"/><Relationship Id="rId610" Type="http://schemas.openxmlformats.org/officeDocument/2006/relationships/image" Target="media/image581.png"/><Relationship Id="rId611" Type="http://schemas.openxmlformats.org/officeDocument/2006/relationships/image" Target="media/image582.png"/><Relationship Id="rId612" Type="http://schemas.openxmlformats.org/officeDocument/2006/relationships/image" Target="media/image583.png"/><Relationship Id="rId613" Type="http://schemas.openxmlformats.org/officeDocument/2006/relationships/image" Target="media/image584.png"/><Relationship Id="rId614" Type="http://schemas.openxmlformats.org/officeDocument/2006/relationships/image" Target="media/image585.png"/><Relationship Id="rId615" Type="http://schemas.openxmlformats.org/officeDocument/2006/relationships/image" Target="media/image586.png"/><Relationship Id="rId616" Type="http://schemas.openxmlformats.org/officeDocument/2006/relationships/image" Target="media/image587.png"/><Relationship Id="rId617" Type="http://schemas.openxmlformats.org/officeDocument/2006/relationships/image" Target="media/image588.png"/><Relationship Id="rId618" Type="http://schemas.openxmlformats.org/officeDocument/2006/relationships/image" Target="media/image589.png"/><Relationship Id="rId619" Type="http://schemas.openxmlformats.org/officeDocument/2006/relationships/image" Target="media/image590.png"/><Relationship Id="rId620" Type="http://schemas.openxmlformats.org/officeDocument/2006/relationships/image" Target="media/image591.png"/><Relationship Id="rId621" Type="http://schemas.openxmlformats.org/officeDocument/2006/relationships/image" Target="media/image592.png"/><Relationship Id="rId622" Type="http://schemas.openxmlformats.org/officeDocument/2006/relationships/image" Target="media/image593.png"/><Relationship Id="rId623" Type="http://schemas.openxmlformats.org/officeDocument/2006/relationships/image" Target="media/image594.png"/><Relationship Id="rId624" Type="http://schemas.openxmlformats.org/officeDocument/2006/relationships/image" Target="media/image595.png"/><Relationship Id="rId625" Type="http://schemas.openxmlformats.org/officeDocument/2006/relationships/image" Target="media/image596.png"/><Relationship Id="rId626" Type="http://schemas.openxmlformats.org/officeDocument/2006/relationships/image" Target="media/image597.png"/><Relationship Id="rId627" Type="http://schemas.openxmlformats.org/officeDocument/2006/relationships/image" Target="media/image598.png"/><Relationship Id="rId628" Type="http://schemas.openxmlformats.org/officeDocument/2006/relationships/image" Target="media/image599.png"/><Relationship Id="rId629" Type="http://schemas.openxmlformats.org/officeDocument/2006/relationships/image" Target="media/image600.png"/><Relationship Id="rId630" Type="http://schemas.openxmlformats.org/officeDocument/2006/relationships/image" Target="media/image601.png"/><Relationship Id="rId631" Type="http://schemas.openxmlformats.org/officeDocument/2006/relationships/image" Target="media/image602.png"/><Relationship Id="rId632" Type="http://schemas.openxmlformats.org/officeDocument/2006/relationships/image" Target="media/image603.png"/><Relationship Id="rId633" Type="http://schemas.openxmlformats.org/officeDocument/2006/relationships/image" Target="media/image604.png"/><Relationship Id="rId634" Type="http://schemas.openxmlformats.org/officeDocument/2006/relationships/image" Target="media/image605.png"/><Relationship Id="rId635" Type="http://schemas.openxmlformats.org/officeDocument/2006/relationships/image" Target="media/image606.png"/><Relationship Id="rId636" Type="http://schemas.openxmlformats.org/officeDocument/2006/relationships/image" Target="media/image607.png"/><Relationship Id="rId637" Type="http://schemas.openxmlformats.org/officeDocument/2006/relationships/image" Target="media/image608.png"/><Relationship Id="rId638" Type="http://schemas.openxmlformats.org/officeDocument/2006/relationships/image" Target="media/image609.png"/><Relationship Id="rId639" Type="http://schemas.openxmlformats.org/officeDocument/2006/relationships/image" Target="media/image610.png"/><Relationship Id="rId640" Type="http://schemas.openxmlformats.org/officeDocument/2006/relationships/image" Target="media/image611.png"/><Relationship Id="rId641" Type="http://schemas.openxmlformats.org/officeDocument/2006/relationships/image" Target="media/image612.png"/><Relationship Id="rId642" Type="http://schemas.openxmlformats.org/officeDocument/2006/relationships/image" Target="media/image613.png"/><Relationship Id="rId643" Type="http://schemas.openxmlformats.org/officeDocument/2006/relationships/image" Target="media/image614.png"/><Relationship Id="rId644" Type="http://schemas.openxmlformats.org/officeDocument/2006/relationships/image" Target="media/image615.png"/><Relationship Id="rId645" Type="http://schemas.openxmlformats.org/officeDocument/2006/relationships/image" Target="media/image616.png"/><Relationship Id="rId646" Type="http://schemas.openxmlformats.org/officeDocument/2006/relationships/image" Target="media/image617.png"/><Relationship Id="rId647" Type="http://schemas.openxmlformats.org/officeDocument/2006/relationships/image" Target="media/image618.png"/><Relationship Id="rId648" Type="http://schemas.openxmlformats.org/officeDocument/2006/relationships/image" Target="media/image619.png"/><Relationship Id="rId649" Type="http://schemas.openxmlformats.org/officeDocument/2006/relationships/image" Target="media/image620.png"/><Relationship Id="rId650" Type="http://schemas.openxmlformats.org/officeDocument/2006/relationships/image" Target="media/image621.png"/><Relationship Id="rId651" Type="http://schemas.openxmlformats.org/officeDocument/2006/relationships/image" Target="media/image622.png"/><Relationship Id="rId652" Type="http://schemas.openxmlformats.org/officeDocument/2006/relationships/image" Target="media/image623.png"/><Relationship Id="rId653" Type="http://schemas.openxmlformats.org/officeDocument/2006/relationships/image" Target="media/image624.png"/><Relationship Id="rId654" Type="http://schemas.openxmlformats.org/officeDocument/2006/relationships/image" Target="media/image625.png"/><Relationship Id="rId655" Type="http://schemas.openxmlformats.org/officeDocument/2006/relationships/image" Target="media/image626.png"/><Relationship Id="rId656" Type="http://schemas.openxmlformats.org/officeDocument/2006/relationships/image" Target="media/image627.png"/><Relationship Id="rId657" Type="http://schemas.openxmlformats.org/officeDocument/2006/relationships/image" Target="media/image628.png"/><Relationship Id="rId658" Type="http://schemas.openxmlformats.org/officeDocument/2006/relationships/image" Target="media/image629.png"/><Relationship Id="rId659" Type="http://schemas.openxmlformats.org/officeDocument/2006/relationships/image" Target="media/image630.png"/><Relationship Id="rId660" Type="http://schemas.openxmlformats.org/officeDocument/2006/relationships/image" Target="media/image631.png"/><Relationship Id="rId661" Type="http://schemas.openxmlformats.org/officeDocument/2006/relationships/image" Target="media/image632.png"/><Relationship Id="rId662" Type="http://schemas.openxmlformats.org/officeDocument/2006/relationships/image" Target="media/image633.png"/><Relationship Id="rId663" Type="http://schemas.openxmlformats.org/officeDocument/2006/relationships/image" Target="media/image634.png"/><Relationship Id="rId664" Type="http://schemas.openxmlformats.org/officeDocument/2006/relationships/image" Target="media/image635.png"/><Relationship Id="rId665" Type="http://schemas.openxmlformats.org/officeDocument/2006/relationships/image" Target="media/image636.png"/><Relationship Id="rId666" Type="http://schemas.openxmlformats.org/officeDocument/2006/relationships/image" Target="media/image637.png"/><Relationship Id="rId667" Type="http://schemas.openxmlformats.org/officeDocument/2006/relationships/image" Target="media/image638.png"/><Relationship Id="rId668" Type="http://schemas.openxmlformats.org/officeDocument/2006/relationships/image" Target="media/image639.png"/><Relationship Id="rId669" Type="http://schemas.openxmlformats.org/officeDocument/2006/relationships/image" Target="media/image640.png"/><Relationship Id="rId670" Type="http://schemas.openxmlformats.org/officeDocument/2006/relationships/image" Target="media/image641.png"/><Relationship Id="rId671" Type="http://schemas.openxmlformats.org/officeDocument/2006/relationships/image" Target="media/image642.png"/><Relationship Id="rId672" Type="http://schemas.openxmlformats.org/officeDocument/2006/relationships/image" Target="media/image643.png"/><Relationship Id="rId673" Type="http://schemas.openxmlformats.org/officeDocument/2006/relationships/image" Target="media/image644.png"/><Relationship Id="rId674" Type="http://schemas.openxmlformats.org/officeDocument/2006/relationships/image" Target="media/image645.png"/><Relationship Id="rId675" Type="http://schemas.openxmlformats.org/officeDocument/2006/relationships/image" Target="media/image646.png"/><Relationship Id="rId676" Type="http://schemas.openxmlformats.org/officeDocument/2006/relationships/image" Target="media/image647.png"/><Relationship Id="rId677" Type="http://schemas.openxmlformats.org/officeDocument/2006/relationships/image" Target="media/image648.png"/><Relationship Id="rId678" Type="http://schemas.openxmlformats.org/officeDocument/2006/relationships/image" Target="media/image649.png"/><Relationship Id="rId679" Type="http://schemas.openxmlformats.org/officeDocument/2006/relationships/image" Target="media/image650.png"/><Relationship Id="rId680" Type="http://schemas.openxmlformats.org/officeDocument/2006/relationships/image" Target="media/image651.png"/><Relationship Id="rId681" Type="http://schemas.openxmlformats.org/officeDocument/2006/relationships/image" Target="media/image652.png"/><Relationship Id="rId682" Type="http://schemas.openxmlformats.org/officeDocument/2006/relationships/image" Target="media/image653.png"/><Relationship Id="rId683" Type="http://schemas.openxmlformats.org/officeDocument/2006/relationships/image" Target="media/image654.png"/><Relationship Id="rId684" Type="http://schemas.openxmlformats.org/officeDocument/2006/relationships/image" Target="media/image655.png"/><Relationship Id="rId685" Type="http://schemas.openxmlformats.org/officeDocument/2006/relationships/image" Target="media/image656.png"/><Relationship Id="rId686" Type="http://schemas.openxmlformats.org/officeDocument/2006/relationships/image" Target="media/image657.png"/><Relationship Id="rId687" Type="http://schemas.openxmlformats.org/officeDocument/2006/relationships/image" Target="media/image658.png"/><Relationship Id="rId688" Type="http://schemas.openxmlformats.org/officeDocument/2006/relationships/image" Target="media/image659.png"/><Relationship Id="rId689" Type="http://schemas.openxmlformats.org/officeDocument/2006/relationships/image" Target="media/image660.png"/><Relationship Id="rId690" Type="http://schemas.openxmlformats.org/officeDocument/2006/relationships/image" Target="media/image661.png"/><Relationship Id="rId691" Type="http://schemas.openxmlformats.org/officeDocument/2006/relationships/image" Target="media/image662.png"/><Relationship Id="rId692" Type="http://schemas.openxmlformats.org/officeDocument/2006/relationships/image" Target="media/image663.png"/><Relationship Id="rId693" Type="http://schemas.openxmlformats.org/officeDocument/2006/relationships/image" Target="media/image664.png"/><Relationship Id="rId694" Type="http://schemas.openxmlformats.org/officeDocument/2006/relationships/image" Target="media/image665.png"/><Relationship Id="rId695" Type="http://schemas.openxmlformats.org/officeDocument/2006/relationships/image" Target="media/image666.png"/><Relationship Id="rId696" Type="http://schemas.openxmlformats.org/officeDocument/2006/relationships/image" Target="media/image667.png"/><Relationship Id="rId697" Type="http://schemas.openxmlformats.org/officeDocument/2006/relationships/image" Target="media/image668.png"/><Relationship Id="rId698" Type="http://schemas.openxmlformats.org/officeDocument/2006/relationships/image" Target="media/image669.png"/><Relationship Id="rId699" Type="http://schemas.openxmlformats.org/officeDocument/2006/relationships/image" Target="media/image670.png"/><Relationship Id="rId700" Type="http://schemas.openxmlformats.org/officeDocument/2006/relationships/image" Target="media/image671.png"/><Relationship Id="rId701" Type="http://schemas.openxmlformats.org/officeDocument/2006/relationships/image" Target="media/image672.png"/><Relationship Id="rId702" Type="http://schemas.openxmlformats.org/officeDocument/2006/relationships/image" Target="media/image673.png"/><Relationship Id="rId703" Type="http://schemas.openxmlformats.org/officeDocument/2006/relationships/image" Target="media/image674.png"/><Relationship Id="rId704" Type="http://schemas.openxmlformats.org/officeDocument/2006/relationships/image" Target="media/image675.png"/><Relationship Id="rId705" Type="http://schemas.openxmlformats.org/officeDocument/2006/relationships/image" Target="media/image676.png"/><Relationship Id="rId706" Type="http://schemas.openxmlformats.org/officeDocument/2006/relationships/image" Target="media/image677.png"/><Relationship Id="rId707" Type="http://schemas.openxmlformats.org/officeDocument/2006/relationships/image" Target="media/image678.png"/><Relationship Id="rId708" Type="http://schemas.openxmlformats.org/officeDocument/2006/relationships/image" Target="media/image679.png"/><Relationship Id="rId709" Type="http://schemas.openxmlformats.org/officeDocument/2006/relationships/image" Target="media/image680.png"/><Relationship Id="rId710" Type="http://schemas.openxmlformats.org/officeDocument/2006/relationships/image" Target="media/image681.png"/><Relationship Id="rId711" Type="http://schemas.openxmlformats.org/officeDocument/2006/relationships/image" Target="media/image682.png"/><Relationship Id="rId712" Type="http://schemas.openxmlformats.org/officeDocument/2006/relationships/image" Target="media/image683.png"/><Relationship Id="rId713" Type="http://schemas.openxmlformats.org/officeDocument/2006/relationships/image" Target="media/image684.png"/><Relationship Id="rId714" Type="http://schemas.openxmlformats.org/officeDocument/2006/relationships/image" Target="media/image685.png"/><Relationship Id="rId715" Type="http://schemas.openxmlformats.org/officeDocument/2006/relationships/image" Target="media/image686.png"/><Relationship Id="rId716" Type="http://schemas.openxmlformats.org/officeDocument/2006/relationships/image" Target="media/image687.png"/><Relationship Id="rId717" Type="http://schemas.openxmlformats.org/officeDocument/2006/relationships/image" Target="media/image688.png"/><Relationship Id="rId718" Type="http://schemas.openxmlformats.org/officeDocument/2006/relationships/image" Target="media/image689.png"/><Relationship Id="rId719" Type="http://schemas.openxmlformats.org/officeDocument/2006/relationships/image" Target="media/image690.png"/><Relationship Id="rId720" Type="http://schemas.openxmlformats.org/officeDocument/2006/relationships/image" Target="media/image691.png"/><Relationship Id="rId721" Type="http://schemas.openxmlformats.org/officeDocument/2006/relationships/image" Target="media/image692.png"/><Relationship Id="rId722" Type="http://schemas.openxmlformats.org/officeDocument/2006/relationships/image" Target="media/image693.png"/><Relationship Id="rId723" Type="http://schemas.openxmlformats.org/officeDocument/2006/relationships/image" Target="media/image694.png"/><Relationship Id="rId724" Type="http://schemas.openxmlformats.org/officeDocument/2006/relationships/image" Target="media/image695.png"/><Relationship Id="rId725" Type="http://schemas.openxmlformats.org/officeDocument/2006/relationships/image" Target="media/image696.png"/><Relationship Id="rId726" Type="http://schemas.openxmlformats.org/officeDocument/2006/relationships/image" Target="media/image697.png"/><Relationship Id="rId727" Type="http://schemas.openxmlformats.org/officeDocument/2006/relationships/image" Target="media/image698.png"/><Relationship Id="rId728" Type="http://schemas.openxmlformats.org/officeDocument/2006/relationships/image" Target="media/image699.png"/><Relationship Id="rId729" Type="http://schemas.openxmlformats.org/officeDocument/2006/relationships/image" Target="media/image700.png"/><Relationship Id="rId730" Type="http://schemas.openxmlformats.org/officeDocument/2006/relationships/image" Target="media/image701.png"/><Relationship Id="rId731" Type="http://schemas.openxmlformats.org/officeDocument/2006/relationships/image" Target="media/image702.png"/><Relationship Id="rId732" Type="http://schemas.openxmlformats.org/officeDocument/2006/relationships/image" Target="media/image703.png"/><Relationship Id="rId733" Type="http://schemas.openxmlformats.org/officeDocument/2006/relationships/image" Target="media/image704.png"/><Relationship Id="rId734" Type="http://schemas.openxmlformats.org/officeDocument/2006/relationships/image" Target="media/image705.png"/><Relationship Id="rId735" Type="http://schemas.openxmlformats.org/officeDocument/2006/relationships/image" Target="media/image706.png"/><Relationship Id="rId736" Type="http://schemas.openxmlformats.org/officeDocument/2006/relationships/image" Target="media/image707.png"/><Relationship Id="rId737" Type="http://schemas.openxmlformats.org/officeDocument/2006/relationships/image" Target="media/image708.png"/><Relationship Id="rId738" Type="http://schemas.openxmlformats.org/officeDocument/2006/relationships/image" Target="media/image709.png"/><Relationship Id="rId739" Type="http://schemas.openxmlformats.org/officeDocument/2006/relationships/image" Target="media/image710.png"/><Relationship Id="rId740" Type="http://schemas.openxmlformats.org/officeDocument/2006/relationships/image" Target="media/image711.png"/><Relationship Id="rId741" Type="http://schemas.openxmlformats.org/officeDocument/2006/relationships/image" Target="media/image712.png"/><Relationship Id="rId742" Type="http://schemas.openxmlformats.org/officeDocument/2006/relationships/image" Target="media/image713.png"/><Relationship Id="rId743" Type="http://schemas.openxmlformats.org/officeDocument/2006/relationships/image" Target="media/image714.png"/><Relationship Id="rId744" Type="http://schemas.openxmlformats.org/officeDocument/2006/relationships/image" Target="media/image715.png"/><Relationship Id="rId745" Type="http://schemas.openxmlformats.org/officeDocument/2006/relationships/image" Target="media/image716.png"/><Relationship Id="rId746" Type="http://schemas.openxmlformats.org/officeDocument/2006/relationships/image" Target="media/image717.png"/><Relationship Id="rId747" Type="http://schemas.openxmlformats.org/officeDocument/2006/relationships/image" Target="media/image718.png"/><Relationship Id="rId748" Type="http://schemas.openxmlformats.org/officeDocument/2006/relationships/image" Target="media/image719.png"/><Relationship Id="rId749" Type="http://schemas.openxmlformats.org/officeDocument/2006/relationships/image" Target="media/image720.jpeg"/><Relationship Id="rId750" Type="http://schemas.openxmlformats.org/officeDocument/2006/relationships/image" Target="media/image721.png"/><Relationship Id="rId133" Type="http://schemas.openxmlformats.org/officeDocument/2006/relationships/hyperlink" Target="http://www.sec.gov/Archives/edgar/data/1723935/000119312518056029/d494072dex32.htm" TargetMode="External"/><Relationship Id="rId134" Type="http://schemas.openxmlformats.org/officeDocument/2006/relationships/hyperlink" Target="http://www.sec.gov/Archives/edgar/data/1723935/000119312518073654/d494072dex43.htm" TargetMode="External"/><Relationship Id="rId135" Type="http://schemas.openxmlformats.org/officeDocument/2006/relationships/hyperlink" Target="http://www.sec.gov/Archives/edgar/data/1723935/000119312518073654/d494072dex42.htm" TargetMode="External"/><Relationship Id="rId136" Type="http://schemas.openxmlformats.org/officeDocument/2006/relationships/hyperlink" Target="http://www.sec.gov/Archives/edgar/data/0001723935/000156459020018336/stg-ex24_725.htm" TargetMode="External"/><Relationship Id="rId137" Type="http://schemas.openxmlformats.org/officeDocument/2006/relationships/hyperlink" Target="http://www.sec.gov/Archives/edgar/data/1723935/000119312518056029/d494072dex101.htm" TargetMode="External"/><Relationship Id="rId138" Type="http://schemas.openxmlformats.org/officeDocument/2006/relationships/hyperlink" Target="http://www.sec.gov/Archives/edgar/data/1723935/000119312518056029/d494072dex102.htm" TargetMode="External"/><Relationship Id="rId139" Type="http://schemas.openxmlformats.org/officeDocument/2006/relationships/hyperlink" Target="http://www.sec.gov/Archives/edgar/data/1723935/000119312518056029/d494072dex103.htm" TargetMode="External"/><Relationship Id="rId140" Type="http://schemas.openxmlformats.org/officeDocument/2006/relationships/hyperlink" Target="http://www.sec.gov/Archives/edgar/data/1723935/000119312518056029/d494072dex104.htm" TargetMode="External"/><Relationship Id="rId141" Type="http://schemas.openxmlformats.org/officeDocument/2006/relationships/hyperlink" Target="http://www.sec.gov/Archives/edgar/data/1723935/000119312518056029/d494072dex105.htm" TargetMode="External"/><Relationship Id="rId142" Type="http://schemas.openxmlformats.org/officeDocument/2006/relationships/hyperlink" Target="http://www.sec.gov/Archives/edgar/data/1723935/000119312518056029/d494072dex106.htm" TargetMode="External"/><Relationship Id="rId143" Type="http://schemas.openxmlformats.org/officeDocument/2006/relationships/hyperlink" Target="http://www.sec.gov/Archives/edgar/data/1723935/000119312518056029/d494072dex107.htm" TargetMode="External"/><Relationship Id="rId144" Type="http://schemas.openxmlformats.org/officeDocument/2006/relationships/hyperlink" Target="http://www.sec.gov/Archives/edgar/data/1723935/000119312518056029/d494072dex108.htm" TargetMode="External"/><Relationship Id="rId145" Type="http://schemas.openxmlformats.org/officeDocument/2006/relationships/hyperlink" Target="http://www.sec.gov/Archives/edgar/data/1723935/000119312518056029/d494072dex109.htm" TargetMode="External"/><Relationship Id="rId146" Type="http://schemas.openxmlformats.org/officeDocument/2006/relationships/hyperlink" Target="http://www.sec.gov/Archives/edgar/data/1723935/000119312518056029/d494072dex1010.htm" TargetMode="External"/><Relationship Id="rId147" Type="http://schemas.openxmlformats.org/officeDocument/2006/relationships/hyperlink" Target="http://www.sec.gov/Archives/edgar/data/1723935/000119312518056029/d494072dex1011.htm" TargetMode="External"/><Relationship Id="rId148" Type="http://schemas.openxmlformats.org/officeDocument/2006/relationships/hyperlink" Target="http://www.sec.gov/Archives/edgar/data/1723935/000095010318006368/dp89959_ex1001.htm" TargetMode="External"/><Relationship Id="rId149" Type="http://schemas.openxmlformats.org/officeDocument/2006/relationships/hyperlink" Target="http://www.sec.gov/Archives/edgar/data/1723935/000095010318006368/dp89959_ex1002.htm" TargetMode="External"/><Relationship Id="rId150" Type="http://schemas.openxmlformats.org/officeDocument/2006/relationships/hyperlink" Target="http://www.sec.gov/Archives/edgar/data/1723935/000095010318006368/dp89959_ex1003.htm" TargetMode="External"/><Relationship Id="rId151" Type="http://schemas.openxmlformats.org/officeDocument/2006/relationships/hyperlink" Target="http://www.sec.gov/Archives/edgar/data/1723935/000095010318006368/dp89959_ex1004.htm" TargetMode="External"/><Relationship Id="rId152" Type="http://schemas.openxmlformats.org/officeDocument/2006/relationships/hyperlink" Target="http://www.sec.gov/Archives/edgar/data/1723935/000095010318006368/dp89959_ex1005.htm" TargetMode="External"/><Relationship Id="rId153" Type="http://schemas.openxmlformats.org/officeDocument/2006/relationships/hyperlink" Target="http://www.sec.gov/Archives/edgar/data/1723935/000095010318006368/dp89959_ex1006.htm" TargetMode="External"/><Relationship Id="rId158" Type="http://schemas.openxmlformats.org/officeDocument/2006/relationships/hyperlink" Target="http://www.sec.gov/Archives/edgar/data/1723935/000119312518056029/d49407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2021-04-16T16:05:11Z</dcterms:created>
  <dcterms:modified xsi:type="dcterms:W3CDTF">2021-04-16T16:05:11Z</dcterms:modified>
</cp:coreProperties>
</file>