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New York</w:t>
            </w:r>
          </w:p>
        </w:tc>
        <w:tc>
          <w:tcPr>
            <w:tcW w:w="1360" w:type="dxa"/>
            <w:vAlign w:val="bottom"/>
          </w:tcPr>
          <w:p>
            <w:pPr>
              <w:ind w:left="480"/>
              <w:spacing w:after="0"/>
              <w:rPr>
                <w:sz w:val="20"/>
                <w:szCs w:val="20"/>
                <w:color w:val="auto"/>
              </w:rPr>
            </w:pPr>
            <w:r>
              <w:rPr>
                <w:rFonts w:ascii="Arial" w:cs="Arial" w:eastAsia="Arial" w:hAnsi="Arial"/>
                <w:sz w:val="18"/>
                <w:szCs w:val="18"/>
                <w:b w:val="1"/>
                <w:bCs w:val="1"/>
                <w:color w:val="auto"/>
              </w:rPr>
              <w:t>Paris</w:t>
            </w:r>
          </w:p>
        </w:tc>
      </w:tr>
      <w:tr>
        <w:trPr>
          <w:trHeight w:val="216"/>
        </w:trPr>
        <w:tc>
          <w:tcPr>
            <w:tcW w:w="6040" w:type="dxa"/>
            <w:vAlign w:val="bottom"/>
          </w:tcPr>
          <w:p>
            <w:pPr>
              <w:spacing w:after="0"/>
              <w:rPr>
                <w:sz w:val="18"/>
                <w:szCs w:val="18"/>
                <w:color w:val="auto"/>
              </w:rPr>
            </w:pPr>
          </w:p>
        </w:tc>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Northern California</w:t>
            </w:r>
          </w:p>
        </w:tc>
        <w:tc>
          <w:tcPr>
            <w:tcW w:w="1360" w:type="dxa"/>
            <w:vAlign w:val="bottom"/>
          </w:tcPr>
          <w:p>
            <w:pPr>
              <w:ind w:left="480"/>
              <w:spacing w:after="0"/>
              <w:rPr>
                <w:sz w:val="20"/>
                <w:szCs w:val="20"/>
                <w:color w:val="auto"/>
              </w:rPr>
            </w:pPr>
            <w:r>
              <w:rPr>
                <w:rFonts w:ascii="Arial" w:cs="Arial" w:eastAsia="Arial" w:hAnsi="Arial"/>
                <w:sz w:val="18"/>
                <w:szCs w:val="18"/>
                <w:b w:val="1"/>
                <w:bCs w:val="1"/>
                <w:color w:val="auto"/>
              </w:rPr>
              <w:t>Madrid</w:t>
            </w:r>
          </w:p>
        </w:tc>
      </w:tr>
      <w:tr>
        <w:trPr>
          <w:trHeight w:val="216"/>
        </w:trPr>
        <w:tc>
          <w:tcPr>
            <w:tcW w:w="6040" w:type="dxa"/>
            <w:vAlign w:val="bottom"/>
          </w:tcPr>
          <w:p>
            <w:pPr>
              <w:spacing w:after="0"/>
              <w:rPr>
                <w:sz w:val="18"/>
                <w:szCs w:val="18"/>
                <w:color w:val="auto"/>
              </w:rPr>
            </w:pPr>
          </w:p>
        </w:tc>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Washington DC</w:t>
            </w:r>
          </w:p>
        </w:tc>
        <w:tc>
          <w:tcPr>
            <w:tcW w:w="1360" w:type="dxa"/>
            <w:vAlign w:val="bottom"/>
          </w:tcPr>
          <w:p>
            <w:pPr>
              <w:ind w:left="480"/>
              <w:spacing w:after="0"/>
              <w:rPr>
                <w:sz w:val="20"/>
                <w:szCs w:val="20"/>
                <w:color w:val="auto"/>
              </w:rPr>
            </w:pPr>
            <w:r>
              <w:rPr>
                <w:rFonts w:ascii="Arial" w:cs="Arial" w:eastAsia="Arial" w:hAnsi="Arial"/>
                <w:sz w:val="18"/>
                <w:szCs w:val="18"/>
                <w:b w:val="1"/>
                <w:bCs w:val="1"/>
                <w:color w:val="auto"/>
              </w:rPr>
              <w:t>Tokyo</w:t>
            </w:r>
          </w:p>
        </w:tc>
      </w:tr>
      <w:tr>
        <w:trPr>
          <w:trHeight w:val="216"/>
        </w:trPr>
        <w:tc>
          <w:tcPr>
            <w:tcW w:w="6040" w:type="dxa"/>
            <w:vAlign w:val="bottom"/>
          </w:tcPr>
          <w:p>
            <w:pPr>
              <w:spacing w:after="0"/>
              <w:rPr>
                <w:sz w:val="18"/>
                <w:szCs w:val="18"/>
                <w:color w:val="auto"/>
              </w:rPr>
            </w:pPr>
          </w:p>
        </w:tc>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São Paulo</w:t>
            </w:r>
          </w:p>
        </w:tc>
        <w:tc>
          <w:tcPr>
            <w:tcW w:w="1360" w:type="dxa"/>
            <w:vAlign w:val="bottom"/>
          </w:tcPr>
          <w:p>
            <w:pPr>
              <w:ind w:left="480"/>
              <w:spacing w:after="0"/>
              <w:rPr>
                <w:sz w:val="20"/>
                <w:szCs w:val="20"/>
                <w:color w:val="auto"/>
              </w:rPr>
            </w:pPr>
            <w:r>
              <w:rPr>
                <w:rFonts w:ascii="Arial" w:cs="Arial" w:eastAsia="Arial" w:hAnsi="Arial"/>
                <w:sz w:val="18"/>
                <w:szCs w:val="18"/>
                <w:b w:val="1"/>
                <w:bCs w:val="1"/>
                <w:color w:val="auto"/>
              </w:rPr>
              <w:t>Beijing</w:t>
            </w:r>
          </w:p>
        </w:tc>
      </w:tr>
      <w:tr>
        <w:trPr>
          <w:trHeight w:val="234"/>
        </w:trPr>
        <w:tc>
          <w:tcPr>
            <w:tcW w:w="6040" w:type="dxa"/>
            <w:vAlign w:val="bottom"/>
          </w:tcPr>
          <w:p>
            <w:pPr>
              <w:spacing w:after="0"/>
              <w:rPr>
                <w:sz w:val="20"/>
                <w:szCs w:val="20"/>
                <w:color w:val="auto"/>
              </w:rPr>
            </w:pPr>
          </w:p>
        </w:tc>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London</w:t>
            </w:r>
          </w:p>
        </w:tc>
        <w:tc>
          <w:tcPr>
            <w:tcW w:w="1360" w:type="dxa"/>
            <w:vAlign w:val="bottom"/>
          </w:tcPr>
          <w:p>
            <w:pPr>
              <w:ind w:left="480"/>
              <w:spacing w:after="0"/>
              <w:rPr>
                <w:sz w:val="20"/>
                <w:szCs w:val="20"/>
                <w:color w:val="auto"/>
              </w:rPr>
            </w:pPr>
            <w:r>
              <w:rPr>
                <w:rFonts w:ascii="Arial" w:cs="Arial" w:eastAsia="Arial" w:hAnsi="Arial"/>
                <w:sz w:val="18"/>
                <w:szCs w:val="18"/>
                <w:b w:val="1"/>
                <w:bCs w:val="1"/>
                <w:color w:val="auto"/>
                <w:w w:val="88"/>
              </w:rPr>
              <w:t>Hong Kong</w:t>
            </w:r>
          </w:p>
        </w:tc>
      </w:tr>
      <w:tr>
        <w:trPr>
          <w:trHeight w:val="850"/>
        </w:trPr>
        <w:tc>
          <w:tcPr>
            <w:tcW w:w="604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2220" w:type="dxa"/>
            <w:vAlign w:val="bottom"/>
          </w:tcPr>
          <w:p>
            <w:pPr>
              <w:ind w:left="180"/>
              <w:spacing w:after="0"/>
              <w:rPr>
                <w:sz w:val="20"/>
                <w:szCs w:val="20"/>
                <w:color w:val="auto"/>
              </w:rPr>
            </w:pPr>
            <w:r>
              <w:rPr>
                <w:rFonts w:ascii="Arial" w:cs="Arial" w:eastAsia="Arial" w:hAnsi="Arial"/>
                <w:sz w:val="18"/>
                <w:szCs w:val="18"/>
                <w:color w:val="auto"/>
              </w:rPr>
              <w:t>86 10 8567 5000 tel</w:t>
            </w:r>
          </w:p>
        </w:tc>
        <w:tc>
          <w:tcPr>
            <w:tcW w:w="1360" w:type="dxa"/>
            <w:vAlign w:val="bottom"/>
          </w:tcPr>
          <w:p>
            <w:pPr>
              <w:spacing w:after="0"/>
              <w:rPr>
                <w:sz w:val="24"/>
                <w:szCs w:val="24"/>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2201 China World Office 2</w:t>
            </w:r>
          </w:p>
        </w:tc>
        <w:tc>
          <w:tcPr>
            <w:tcW w:w="2220" w:type="dxa"/>
            <w:vAlign w:val="bottom"/>
          </w:tcPr>
          <w:p>
            <w:pPr>
              <w:ind w:left="180"/>
              <w:spacing w:after="0"/>
              <w:rPr>
                <w:sz w:val="20"/>
                <w:szCs w:val="20"/>
                <w:color w:val="auto"/>
              </w:rPr>
            </w:pPr>
            <w:r>
              <w:rPr>
                <w:rFonts w:ascii="Arial" w:cs="Arial" w:eastAsia="Arial" w:hAnsi="Arial"/>
                <w:sz w:val="18"/>
                <w:szCs w:val="18"/>
                <w:color w:val="auto"/>
              </w:rPr>
              <w:t>86 10 8567 5123 fax</w:t>
            </w:r>
          </w:p>
        </w:tc>
        <w:tc>
          <w:tcPr>
            <w:tcW w:w="136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1 Jian Guo Men Wai Avenue</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Chaoyang District</w:t>
            </w: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Beijing 100004</w:t>
            </w: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73"/>
        </w:trPr>
        <w:tc>
          <w:tcPr>
            <w:tcW w:w="6040" w:type="dxa"/>
            <w:vAlign w:val="bottom"/>
          </w:tcPr>
          <w:p>
            <w:pPr>
              <w:spacing w:after="0"/>
              <w:rPr>
                <w:sz w:val="20"/>
                <w:szCs w:val="20"/>
                <w:color w:val="auto"/>
              </w:rPr>
            </w:pPr>
            <w:r>
              <w:rPr>
                <w:rFonts w:ascii="Arial" w:cs="Arial" w:eastAsia="Arial" w:hAnsi="Arial"/>
                <w:sz w:val="18"/>
                <w:szCs w:val="18"/>
                <w:color w:val="auto"/>
              </w:rPr>
              <w:t>December 13, 2017</w:t>
            </w: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6040" w:type="dxa"/>
            <w:vAlign w:val="bottom"/>
          </w:tcPr>
          <w:p>
            <w:pPr>
              <w:spacing w:after="0"/>
              <w:rPr>
                <w:sz w:val="20"/>
                <w:szCs w:val="20"/>
                <w:color w:val="auto"/>
              </w:rPr>
            </w:pPr>
            <w:r>
              <w:rPr>
                <w:rFonts w:ascii="Arial" w:cs="Arial" w:eastAsia="Arial" w:hAnsi="Arial"/>
                <w:sz w:val="20"/>
                <w:szCs w:val="20"/>
                <w:b w:val="1"/>
                <w:bCs w:val="1"/>
                <w:color w:val="auto"/>
              </w:rPr>
              <w:t xml:space="preserve">Re:   </w:t>
            </w:r>
            <w:r>
              <w:rPr>
                <w:rFonts w:ascii="Arial" w:cs="Arial" w:eastAsia="Arial" w:hAnsi="Arial"/>
                <w:sz w:val="17"/>
                <w:szCs w:val="17"/>
                <w:color w:val="auto"/>
              </w:rPr>
              <w:t>Sunlands Online Education Group</w:t>
            </w:r>
          </w:p>
        </w:tc>
        <w:tc>
          <w:tcPr>
            <w:tcW w:w="2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6040" w:type="dxa"/>
            <w:vAlign w:val="bottom"/>
          </w:tcPr>
          <w:p>
            <w:pPr>
              <w:ind w:left="540"/>
              <w:spacing w:after="0"/>
              <w:rPr>
                <w:sz w:val="20"/>
                <w:szCs w:val="20"/>
                <w:color w:val="auto"/>
              </w:rPr>
            </w:pPr>
            <w:r>
              <w:rPr>
                <w:rFonts w:ascii="Arial" w:cs="Arial" w:eastAsia="Arial" w:hAnsi="Arial"/>
                <w:sz w:val="18"/>
                <w:szCs w:val="18"/>
                <w:color w:val="auto"/>
                <w:w w:val="94"/>
              </w:rPr>
              <w:t>Confidential Submission of the Draft Registration Statement on Form F-1</w:t>
            </w:r>
          </w:p>
        </w:tc>
        <w:tc>
          <w:tcPr>
            <w:tcW w:w="22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-1799590</wp:posOffset>
            </wp:positionV>
            <wp:extent cx="1337310" cy="265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310" cy="26543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-1397000</wp:posOffset>
            </wp:positionV>
            <wp:extent cx="1877060" cy="480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7060" cy="48006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Confidential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Draft Registration Statement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4"/>
          <w:szCs w:val="24"/>
          <w:color w:val="auto"/>
        </w:rPr>
      </w:pPr>
    </w:p>
    <w:p>
      <w:pPr>
        <w:ind w:firstLine="440"/>
        <w:spacing w:after="0" w:line="256" w:lineRule="auto"/>
        <w:rPr>
          <w:sz w:val="20"/>
          <w:szCs w:val="20"/>
          <w:color w:val="auto"/>
        </w:rPr>
      </w:pPr>
      <w:r>
        <w:rPr>
          <w:rFonts w:ascii="Arial" w:cs="Arial" w:eastAsia="Arial" w:hAnsi="Arial"/>
          <w:sz w:val="18"/>
          <w:szCs w:val="18"/>
          <w:color w:val="auto"/>
        </w:rPr>
        <w:t>On behalf of Sunlands Online Education Group (the “</w:t>
      </w:r>
      <w:r>
        <w:rPr>
          <w:rFonts w:ascii="Arial" w:cs="Arial" w:eastAsia="Arial" w:hAnsi="Arial"/>
          <w:sz w:val="18"/>
          <w:szCs w:val="18"/>
          <w:b w:val="1"/>
          <w:bCs w:val="1"/>
          <w:color w:val="auto"/>
        </w:rPr>
        <w:t>Company</w:t>
      </w:r>
      <w:r>
        <w:rPr>
          <w:rFonts w:ascii="Arial" w:cs="Arial" w:eastAsia="Arial" w:hAnsi="Arial"/>
          <w:sz w:val="18"/>
          <w:szCs w:val="18"/>
          <w:color w:val="auto"/>
        </w:rPr>
        <w:t>”), a company incorporated under the laws of the Cayman Islands, we are submitting the Company’s draft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relating to a proposed initial public offering in the United States by the Company of the Company’s American Depositary Shares (“</w:t>
      </w:r>
      <w:r>
        <w:rPr>
          <w:rFonts w:ascii="Arial" w:cs="Arial" w:eastAsia="Arial" w:hAnsi="Arial"/>
          <w:sz w:val="18"/>
          <w:szCs w:val="18"/>
          <w:b w:val="1"/>
          <w:bCs w:val="1"/>
          <w:color w:val="auto"/>
        </w:rPr>
        <w:t>ADSs</w:t>
      </w:r>
      <w:r>
        <w:rPr>
          <w:rFonts w:ascii="Arial" w:cs="Arial" w:eastAsia="Arial" w:hAnsi="Arial"/>
          <w:sz w:val="18"/>
          <w:szCs w:val="18"/>
          <w:color w:val="auto"/>
        </w:rPr>
        <w:t>”) representing its ordinary shares. The ADSs are expected to be listed on the New York Stock Exchange. Subject to market conditions and the review of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the Company expects to file a preliminary prospectus with a price range in March 2018 and commence the offer in April 2018.</w:t>
      </w:r>
    </w:p>
    <w:p>
      <w:pPr>
        <w:spacing w:after="0" w:line="191" w:lineRule="exact"/>
        <w:rPr>
          <w:sz w:val="24"/>
          <w:szCs w:val="24"/>
          <w:color w:val="auto"/>
        </w:rPr>
      </w:pPr>
    </w:p>
    <w:p>
      <w:pPr>
        <w:ind w:right="140" w:firstLine="440"/>
        <w:spacing w:after="0" w:line="263"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In accordance with the procedures of the Commission for emerging growth companies, the enclosed draft Registration Statement is being submitted to the Staff in draft form and on a confidential basis.</w:t>
      </w:r>
    </w:p>
    <w:p>
      <w:pPr>
        <w:spacing w:after="0" w:line="184"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If you have any questions regarding this submission, please contact Li He at +86-10-8567-5005 (li.he@davispolk.com) or my colleague, Kevin Zhang at +86-10-8567-5022 (kevin.zhang@davispolk.com).</w:t>
      </w:r>
    </w:p>
    <w:p>
      <w:pPr>
        <w:spacing w:after="0" w:line="17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An affiliate of Davis Polk &amp; Wardwell </w:t>
      </w:r>
      <w:r>
        <w:rPr>
          <w:rFonts w:ascii="Arial" w:cs="Arial" w:eastAsia="Arial" w:hAnsi="Arial"/>
          <w:sz w:val="14"/>
          <w:szCs w:val="14"/>
          <w:color w:val="auto"/>
        </w:rPr>
        <w:t>LLP</w:t>
      </w:r>
      <w:r>
        <w:rPr>
          <w:rFonts w:ascii="Arial" w:cs="Arial" w:eastAsia="Arial" w:hAnsi="Arial"/>
          <w:sz w:val="18"/>
          <w:szCs w:val="18"/>
          <w:color w:val="auto"/>
        </w:rPr>
        <w:t xml:space="preserve"> with offices in:</w:t>
      </w:r>
    </w:p>
    <w:p>
      <w:pPr>
        <w:spacing w:after="0" w:line="225" w:lineRule="exact"/>
        <w:rPr>
          <w:sz w:val="24"/>
          <w:szCs w:val="24"/>
          <w:color w:val="auto"/>
        </w:rPr>
      </w:pPr>
    </w:p>
    <w:p>
      <w:pPr>
        <w:spacing w:after="0"/>
        <w:tabs>
          <w:tab w:leader="none" w:pos="1080" w:val="left"/>
          <w:tab w:leader="none" w:pos="1460" w:val="left"/>
          <w:tab w:leader="none" w:pos="2680" w:val="left"/>
          <w:tab w:leader="none" w:pos="3120" w:val="left"/>
          <w:tab w:leader="none" w:pos="4620" w:val="left"/>
          <w:tab w:leader="none" w:pos="5020" w:val="left"/>
          <w:tab w:leader="none" w:pos="5940" w:val="left"/>
          <w:tab w:leader="none" w:pos="6340" w:val="left"/>
          <w:tab w:leader="none" w:pos="7100" w:val="left"/>
          <w:tab w:leader="none" w:pos="7500" w:val="left"/>
          <w:tab w:leader="none" w:pos="8380" w:val="left"/>
          <w:tab w:leader="none" w:pos="8780" w:val="left"/>
          <w:tab w:leader="none" w:pos="9600" w:val="left"/>
          <w:tab w:leader="none" w:pos="10040" w:val="left"/>
        </w:tabs>
        <w:rPr>
          <w:sz w:val="20"/>
          <w:szCs w:val="20"/>
          <w:color w:val="auto"/>
        </w:rPr>
      </w:pPr>
      <w:r>
        <w:rPr>
          <w:rFonts w:ascii="Arial" w:cs="Arial" w:eastAsia="Arial" w:hAnsi="Arial"/>
          <w:sz w:val="18"/>
          <w:szCs w:val="18"/>
          <w:color w:val="auto"/>
        </w:rPr>
        <w:t>New York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Menlo Park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Washington DC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Paris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Tokyo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Beijing</w:t>
      </w:r>
    </w:p>
    <w:p>
      <w:pPr>
        <w:sectPr>
          <w:pgSz w:w="11900" w:h="16838" w:orient="portrait"/>
          <w:cols w:equalWidth="0" w:num="1">
            <w:col w:w="10920"/>
          </w:cols>
          <w:pgMar w:left="440" w:top="229" w:right="539" w:bottom="1440" w:gutter="0" w:footer="0" w:header="0"/>
        </w:sectPr>
      </w:pPr>
    </w:p>
    <w:bookmarkStart w:id="1" w:name="page2"/>
    <w:bookmarkEnd w:id="1"/>
    <w:p>
      <w:pPr>
        <w:ind w:left="4"/>
        <w:spacing w:after="0"/>
        <w:tabs>
          <w:tab w:leader="none" w:pos="5684" w:val="left"/>
          <w:tab w:leader="none" w:pos="95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December 13, 2017</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Yours 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Li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Li He</w:t>
      </w:r>
    </w:p>
    <w:p>
      <w:pPr>
        <w:spacing w:after="0" w:line="252" w:lineRule="exact"/>
        <w:rPr>
          <w:sz w:val="20"/>
          <w:szCs w:val="20"/>
          <w:color w:val="auto"/>
        </w:rPr>
      </w:pPr>
    </w:p>
    <w:p>
      <w:pPr>
        <w:ind w:left="444" w:right="7640" w:hanging="444"/>
        <w:spacing w:after="0" w:line="31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Mr. Tongbo Liu, Chief Executive Officer Mr. Yipeng Li, Chief Financial Officer Sunlands Online Education Group</w:t>
      </w:r>
    </w:p>
    <w:p>
      <w:pPr>
        <w:spacing w:after="0" w:line="148"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Mr. David Zhang, Esq.,</w:t>
      </w:r>
    </w:p>
    <w:p>
      <w:pPr>
        <w:spacing w:after="0" w:line="23"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Kirkland &amp; Ellis International LLP</w:t>
      </w:r>
    </w:p>
    <w:p>
      <w:pPr>
        <w:spacing w:after="0" w:line="210"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Deloitte Touche Tohmastu Certified Public Accountants LLP</w:t>
      </w:r>
    </w:p>
    <w:sectPr>
      <w:pgSz w:w="11900" w:h="16838" w:orient="portrait"/>
      <w:cols w:equalWidth="0" w:num="1">
        <w:col w:w="11024"/>
      </w:cols>
      <w:pgMar w:left="436"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2020-10-07T22:53:58Z</dcterms:created>
  <dcterms:modified xsi:type="dcterms:W3CDTF">2020-10-07T22:53:58Z</dcterms:modified>
</cp:coreProperties>
</file>