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320040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372110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3142615</wp:posOffset>
            </wp:positionH>
            <wp:positionV relativeFrom="paragraph">
              <wp:posOffset>178435</wp:posOffset>
            </wp:positionV>
            <wp:extent cx="85725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ISSUER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PURSUANT TO RULE 13a-16 OR 15d-16 OF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001-38423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3142615</wp:posOffset>
            </wp:positionH>
            <wp:positionV relativeFrom="paragraph">
              <wp:posOffset>156845</wp:posOffset>
            </wp:positionV>
            <wp:extent cx="85725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SUNLANDS TECHNOLOGY GROUP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3142615</wp:posOffset>
            </wp:positionH>
            <wp:positionV relativeFrom="paragraph">
              <wp:posOffset>141605</wp:posOffset>
            </wp:positionV>
            <wp:extent cx="857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Building 6, Chaolai Science Park, No. 36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Chuangyuan Road, Chaoyang District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Beijing, 100012, the 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+86-10-52413738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3142615</wp:posOffset>
            </wp:positionH>
            <wp:positionV relativeFrom="paragraph">
              <wp:posOffset>154305</wp:posOffset>
            </wp:positionV>
            <wp:extent cx="857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8460" w:val="left"/>
          <w:tab w:leader="none" w:pos="9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  <w:tab/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189230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342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600710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40"/>
          </w:cols>
          <w:pgMar w:left="320" w:top="894" w:right="739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9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426"/>
        </w:trPr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99.1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Press Release</w:t>
            </w:r>
          </w:p>
        </w:tc>
      </w:tr>
      <w:tr>
        <w:trPr>
          <w:trHeight w:val="553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536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40"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60" w:type="dxa"/>
            <w:vAlign w:val="bottom"/>
            <w:gridSpan w:val="2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Sunlands Technology Group</w:t>
            </w:r>
          </w:p>
        </w:tc>
      </w:tr>
      <w:tr>
        <w:trPr>
          <w:trHeight w:val="648"/>
        </w:trPr>
        <w:tc>
          <w:tcPr>
            <w:tcW w:w="3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 April 24, 2026</w:t>
            </w:r>
          </w:p>
        </w:tc>
        <w:tc>
          <w:tcPr>
            <w:tcW w:w="7660" w:type="dxa"/>
            <w:vAlign w:val="bottom"/>
            <w:gridSpan w:val="2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By:/s/ Tongbo Liu</w:t>
            </w:r>
          </w:p>
        </w:tc>
      </w:tr>
      <w:tr>
        <w:trPr>
          <w:trHeight w:val="191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top w:val="single" w:sz="8" w:color="auto"/>
            </w:tcBorders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 Tongbo Liu</w:t>
            </w:r>
          </w:p>
        </w:tc>
      </w:tr>
      <w:tr>
        <w:trPr>
          <w:trHeight w:val="23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   Chief Executive Officer</w:t>
            </w:r>
          </w:p>
        </w:tc>
      </w:tr>
      <w:tr>
        <w:trPr>
          <w:trHeight w:val="553"/>
        </w:trPr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536" w:right="3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5748655</wp:posOffset>
            </wp:positionH>
            <wp:positionV relativeFrom="paragraph">
              <wp:posOffset>294005</wp:posOffset>
            </wp:positionV>
            <wp:extent cx="1388745" cy="4368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43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333333"/>
        </w:rPr>
        <w:t>Sunlands Technology Group Files its Annual Report on Form 20-F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BEIJING, April 24, 2026 --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Sunlands Technology Group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(NYSE: STG) (“Sunlands” or the “Company”), a leader in China’s adult online education market and China’s adult personal interest learning market, today announced that it has filed its annual report on Form 20-F for the fiscal year ended December 31, 2025 with the U.S. Securities and Exchange Commission (the “SEC”) on April 24, 2026, U.S. Eastern Time.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annual report can be accessed on the Company’s investor relations website at https://ir.sunlands.com and on the SEC’s website at www.sec.gov. The Company will provide a hard copy of the annual report containing the audited consolidated financial statements, free of charge, to its shareholders and ADS holders upon request. Requests should be directed to sl-ir@sunlands.com.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Sunlands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Sunlands Technology Group (NYSE: STG) (“Sunlands” or the “Company”), formerly known as Sunlands Online Education Group, is a leader in China’s adult online education market and China’s adult personal interest learning market. With a one to many live streaming platform, Sunlands offers various degree- or diploma-oriented post-secondary courses as well as professional certification preparation, professional skills and interest courses. Students can access the Company’s services either through PC or mobile applications. The Company’s online platform cultivates a personalized, interactive learning environment by featuring a virtual learning community and a vast library of educational content offerings that adapt to the learning habits of its students. Sunlands offers a unique approach to education research and development that organizes subject content into Learning Outcome Trees, the Company’s proprietary knowledge management system. Sunlands has a deep understanding of the educational needs of its prospective students and offers solutions that help them achieve their goals.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 more information, please visit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FF"/>
        </w:rPr>
        <w:t>https://ir.sunlands.com.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investor and media inquiries, please contact: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333333"/>
        </w:rPr>
        <w:t>Sunlands Technology Group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333333"/>
        </w:rPr>
        <w:t>Investor Relations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333333"/>
        </w:rPr>
        <w:t>Email: sl-ir@sunlands.com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333333"/>
        </w:rPr>
        <w:t>SOURCE: Sunlands Technology Group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497205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2026-04-24T08:27:02Z</dcterms:created>
  <dcterms:modified xsi:type="dcterms:W3CDTF">2026-04-24T08:27:02Z</dcterms:modified>
</cp:coreProperties>
</file>