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181717"/>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181717"/>
        </w:rPr>
        <w:t>SECURITIES AND EXCHANGE COMMISSION</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81717"/>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81717"/>
        </w:rPr>
        <w:t>FORM 20-F</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181717"/>
        </w:rPr>
        <w:t>(Mark One)</w:t>
      </w:r>
    </w:p>
    <w:p>
      <w:pPr>
        <w:spacing w:after="0" w:line="63" w:lineRule="exact"/>
        <w:rPr>
          <w:sz w:val="24"/>
          <w:szCs w:val="24"/>
          <w:color w:val="auto"/>
        </w:rPr>
      </w:pPr>
    </w:p>
    <w:p>
      <w:pPr>
        <w:ind w:left="5480" w:right="1040" w:hanging="5472"/>
        <w:spacing w:after="0" w:line="294" w:lineRule="auto"/>
        <w:tabs>
          <w:tab w:leader="none" w:pos="359" w:val="left"/>
        </w:tabs>
        <w:numPr>
          <w:ilvl w:val="0"/>
          <w:numId w:val="1"/>
        </w:numPr>
        <w:rPr>
          <w:rFonts w:ascii="MS PGothic" w:cs="MS PGothic" w:eastAsia="MS PGothic" w:hAnsi="MS PGothic"/>
          <w:sz w:val="18"/>
          <w:szCs w:val="18"/>
          <w:color w:val="auto"/>
          <w:shd w:val="clear" w:color="auto" w:fill="181717"/>
        </w:rPr>
      </w:pPr>
      <w:r>
        <w:rPr>
          <w:rFonts w:ascii="Times New Roman" w:cs="Times New Roman" w:eastAsia="Times New Roman" w:hAnsi="Times New Roman"/>
          <w:sz w:val="18"/>
          <w:szCs w:val="18"/>
          <w:b w:val="1"/>
          <w:bCs w:val="1"/>
          <w:color w:val="181717"/>
        </w:rPr>
        <w:t>REGISTRATION STATEMENT PURSUANT TO SECTION 12(b) OR (g) OF THE SECURITIES EXCHANGE ACT OF 1934 OR</w:t>
      </w:r>
    </w:p>
    <w:p>
      <w:pPr>
        <w:spacing w:after="0" w:line="33" w:lineRule="exact"/>
        <w:rPr>
          <w:sz w:val="24"/>
          <w:szCs w:val="24"/>
          <w:color w:val="auto"/>
        </w:rPr>
      </w:pPr>
    </w:p>
    <w:p>
      <w:pPr>
        <w:ind w:left="3920" w:right="2080" w:hanging="3912"/>
        <w:spacing w:after="0" w:line="313" w:lineRule="auto"/>
        <w:tabs>
          <w:tab w:leader="none" w:pos="363" w:val="left"/>
        </w:tabs>
        <w:numPr>
          <w:ilvl w:val="0"/>
          <w:numId w:val="2"/>
        </w:numPr>
        <w:rPr>
          <w:rFonts w:ascii="MS PGothic" w:cs="MS PGothic" w:eastAsia="MS PGothic" w:hAnsi="MS PGothic"/>
          <w:sz w:val="18"/>
          <w:szCs w:val="18"/>
          <w:color w:val="auto"/>
          <w:shd w:val="clear" w:color="auto" w:fill="181717"/>
        </w:rPr>
      </w:pPr>
      <w:r>
        <w:rPr>
          <w:rFonts w:ascii="Times New Roman" w:cs="Times New Roman" w:eastAsia="Times New Roman" w:hAnsi="Times New Roman"/>
          <w:sz w:val="18"/>
          <w:szCs w:val="18"/>
          <w:b w:val="1"/>
          <w:bCs w:val="1"/>
          <w:color w:val="181717"/>
        </w:rPr>
        <w:t>ANNUAL REPORT PURSUANT TO SECTION 13 OR 15(d) OF THE SECURITIES EXCHANGE ACT OF 1934 For the fiscal year ended December 31, 2025</w:t>
      </w:r>
    </w:p>
    <w:p>
      <w:pPr>
        <w:ind w:left="5480"/>
        <w:spacing w:after="0"/>
        <w:rPr>
          <w:rFonts w:ascii="MS PGothic" w:cs="MS PGothic" w:eastAsia="MS PGothic" w:hAnsi="MS PGothic"/>
          <w:sz w:val="18"/>
          <w:szCs w:val="18"/>
          <w:color w:val="auto"/>
          <w:shd w:val="clear" w:color="auto" w:fill="181717"/>
        </w:rPr>
      </w:pPr>
      <w:r>
        <w:rPr>
          <w:rFonts w:ascii="Times New Roman" w:cs="Times New Roman" w:eastAsia="Times New Roman" w:hAnsi="Times New Roman"/>
          <w:sz w:val="18"/>
          <w:szCs w:val="18"/>
          <w:b w:val="1"/>
          <w:bCs w:val="1"/>
          <w:color w:val="181717"/>
        </w:rPr>
        <w:t>OR</w:t>
      </w:r>
    </w:p>
    <w:p>
      <w:pPr>
        <w:spacing w:after="0" w:line="63" w:lineRule="exact"/>
        <w:rPr>
          <w:sz w:val="24"/>
          <w:szCs w:val="24"/>
          <w:color w:val="auto"/>
        </w:rPr>
      </w:pPr>
    </w:p>
    <w:p>
      <w:pPr>
        <w:ind w:left="5480" w:right="1700" w:hanging="5472"/>
        <w:spacing w:after="0" w:line="294" w:lineRule="auto"/>
        <w:tabs>
          <w:tab w:leader="none" w:pos="359" w:val="left"/>
        </w:tabs>
        <w:numPr>
          <w:ilvl w:val="0"/>
          <w:numId w:val="3"/>
        </w:numPr>
        <w:rPr>
          <w:rFonts w:ascii="MS PGothic" w:cs="MS PGothic" w:eastAsia="MS PGothic" w:hAnsi="MS PGothic"/>
          <w:sz w:val="18"/>
          <w:szCs w:val="18"/>
          <w:color w:val="auto"/>
          <w:shd w:val="clear" w:color="auto" w:fill="181717"/>
        </w:rPr>
      </w:pPr>
      <w:r>
        <w:rPr>
          <w:rFonts w:ascii="Times New Roman" w:cs="Times New Roman" w:eastAsia="Times New Roman" w:hAnsi="Times New Roman"/>
          <w:sz w:val="18"/>
          <w:szCs w:val="18"/>
          <w:b w:val="1"/>
          <w:bCs w:val="1"/>
          <w:color w:val="181717"/>
        </w:rPr>
        <w:t>TRANSITION REPORT PURSUANT TO SECTION 13 OR 15(d) OF THE SECURITIES EXCHANGE ACT OF 1934 OR</w:t>
      </w:r>
    </w:p>
    <w:p>
      <w:pPr>
        <w:spacing w:after="0" w:line="32" w:lineRule="exact"/>
        <w:rPr>
          <w:rFonts w:ascii="MS PGothic" w:cs="MS PGothic" w:eastAsia="MS PGothic" w:hAnsi="MS PGothic"/>
          <w:sz w:val="18"/>
          <w:szCs w:val="18"/>
          <w:color w:val="auto"/>
          <w:shd w:val="clear" w:color="auto" w:fill="181717"/>
        </w:rPr>
      </w:pPr>
    </w:p>
    <w:p>
      <w:pPr>
        <w:ind w:left="3740" w:right="1260" w:hanging="3732"/>
        <w:spacing w:after="0" w:line="313" w:lineRule="auto"/>
        <w:tabs>
          <w:tab w:leader="none" w:pos="375" w:val="left"/>
        </w:tabs>
        <w:numPr>
          <w:ilvl w:val="0"/>
          <w:numId w:val="3"/>
        </w:numPr>
        <w:rPr>
          <w:rFonts w:ascii="MS PGothic" w:cs="MS PGothic" w:eastAsia="MS PGothic" w:hAnsi="MS PGothic"/>
          <w:sz w:val="18"/>
          <w:szCs w:val="18"/>
          <w:color w:val="auto"/>
          <w:shd w:val="clear" w:color="auto" w:fill="181717"/>
        </w:rPr>
      </w:pPr>
      <w:r>
        <w:rPr>
          <w:rFonts w:ascii="Times New Roman" w:cs="Times New Roman" w:eastAsia="Times New Roman" w:hAnsi="Times New Roman"/>
          <w:sz w:val="18"/>
          <w:szCs w:val="18"/>
          <w:b w:val="1"/>
          <w:bCs w:val="1"/>
          <w:color w:val="181717"/>
        </w:rPr>
        <w:t>SHELL COMPANY REPORT PURSUANT TO SECTION 13 OR 15(d) OF THE SECURITIES EXCHANGE ACT OF 1934 Date of event requiring this shell company report</w:t>
      </w:r>
    </w:p>
    <w:tbl>
      <w:tblPr>
        <w:tblLayout w:type="fixed"/>
        <w:tblInd w:w="3140" w:type="dxa"/>
        <w:tblCellMar>
          <w:top w:w="0" w:type="dxa"/>
          <w:left w:w="0" w:type="dxa"/>
          <w:bottom w:w="0" w:type="dxa"/>
          <w:right w:w="0" w:type="dxa"/>
        </w:tblCellMar>
      </w:tblPr>
      <w:tr>
        <w:trPr>
          <w:trHeight w:val="198"/>
        </w:trPr>
        <w:tc>
          <w:tcPr>
            <w:tcW w:w="24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120" w:type="dxa"/>
            <w:vAlign w:val="bottom"/>
            <w:tcBorders>
              <w:bottom w:val="single" w:sz="8" w:color="auto"/>
            </w:tcBorders>
          </w:tcPr>
          <w:p>
            <w:pPr>
              <w:spacing w:after="0"/>
              <w:rPr>
                <w:sz w:val="17"/>
                <w:szCs w:val="17"/>
                <w:color w:val="auto"/>
              </w:rPr>
            </w:pPr>
          </w:p>
        </w:tc>
        <w:tc>
          <w:tcPr>
            <w:tcW w:w="2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to</w:t>
            </w:r>
          </w:p>
        </w:tc>
        <w:tc>
          <w:tcPr>
            <w:tcW w:w="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91"/>
        </w:trPr>
        <w:tc>
          <w:tcPr>
            <w:tcW w:w="4400" w:type="dxa"/>
            <w:vAlign w:val="bottom"/>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Commission file number: 001-38423</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181717"/>
        </w:rPr>
        <w:t>Sunlands Technology Group</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181717"/>
        </w:rPr>
        <w:t>(Exact name of Registrant as specified in its charter)</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81717"/>
        </w:rPr>
        <w:t>N/A</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81717"/>
        </w:rPr>
        <w:t>(Translation of Registrant’s name into English)</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81717"/>
        </w:rPr>
        <w:t>Cayman Islands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81717"/>
        </w:rPr>
        <w:t>(Jurisdiction of incorporation or organization)</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81717"/>
        </w:rPr>
        <w:t>Building 6, Chaolai Science Park,</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181717"/>
        </w:rPr>
        <w:t>No. 36 Chuangyuan Road, Chaoyang District</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181717"/>
        </w:rPr>
        <w:t>Beijing, 100012, the People’s Republic of China</w:t>
      </w:r>
    </w:p>
    <w:p>
      <w:pPr>
        <w:spacing w:after="0" w:line="6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181717"/>
        </w:rPr>
        <w:t>(Address of principal executive offices)</w:t>
      </w:r>
    </w:p>
    <w:p>
      <w:pPr>
        <w:spacing w:after="0" w:line="5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181717"/>
        </w:rPr>
        <w:t>Tongbo Liu, Chief Executive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81717"/>
        </w:rPr>
        <w:t>Building 6, Chaolai Science Park,</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181717"/>
        </w:rPr>
        <w:t>No. 36 Chuangyuan Road, Chaoyang District,</w:t>
      </w:r>
    </w:p>
    <w:p>
      <w:pPr>
        <w:spacing w:after="0" w:line="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181717"/>
        </w:rPr>
        <w:t>Beijing, 100012, the People’s Republic of China</w:t>
      </w:r>
    </w:p>
    <w:p>
      <w:pPr>
        <w:spacing w:after="0" w:line="63"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181717"/>
        </w:rPr>
        <w:t>+86-10-52413738</w:t>
      </w:r>
    </w:p>
    <w:p>
      <w:pPr>
        <w:spacing w:after="0" w:line="6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181717"/>
        </w:rPr>
        <w:t>E-mail: liutongbo@sunlands.com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181717"/>
        </w:rPr>
        <w:t>(Name, Telephone, E-mail and/or Facsimile number and Address of Company Contact Person)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181717"/>
        </w:rPr>
        <w:t>Securities registered or to be registered pursuant to Section 12(b) of the Act:</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81717"/>
                <w:w w:val="96"/>
              </w:rPr>
              <w:t>Title of each class</w:t>
            </w:r>
          </w:p>
        </w:tc>
        <w:tc>
          <w:tcPr>
            <w:tcW w:w="180" w:type="dxa"/>
            <w:vAlign w:val="bottom"/>
          </w:tcPr>
          <w:p>
            <w:pPr>
              <w:spacing w:after="0"/>
              <w:rPr>
                <w:sz w:val="13"/>
                <w:szCs w:val="13"/>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181717"/>
                <w:w w:val="96"/>
              </w:rPr>
              <w:t>Trading Symbols</w:t>
            </w:r>
          </w:p>
        </w:tc>
        <w:tc>
          <w:tcPr>
            <w:tcW w:w="140" w:type="dxa"/>
            <w:vAlign w:val="bottom"/>
          </w:tcPr>
          <w:p>
            <w:pPr>
              <w:spacing w:after="0"/>
              <w:rPr>
                <w:sz w:val="13"/>
                <w:szCs w:val="13"/>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81717"/>
                <w:w w:val="97"/>
              </w:rPr>
              <w:t>Name of each exchange on which registered</w:t>
            </w:r>
          </w:p>
        </w:tc>
        <w:tc>
          <w:tcPr>
            <w:tcW w:w="0" w:type="dxa"/>
            <w:vAlign w:val="bottom"/>
          </w:tcPr>
          <w:p>
            <w:pPr>
              <w:spacing w:after="0"/>
              <w:rPr>
                <w:sz w:val="1"/>
                <w:szCs w:val="1"/>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81717"/>
                <w:w w:val="96"/>
              </w:rPr>
              <w:t>American depositary shares, each two ADSs represent one Class A ordinary</w:t>
            </w:r>
          </w:p>
        </w:tc>
        <w:tc>
          <w:tcPr>
            <w:tcW w:w="180" w:type="dxa"/>
            <w:vAlign w:val="bottom"/>
          </w:tcPr>
          <w:p>
            <w:pPr>
              <w:spacing w:after="0"/>
              <w:rPr>
                <w:sz w:val="24"/>
                <w:szCs w:val="24"/>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181717"/>
                <w:w w:val="92"/>
              </w:rPr>
              <w:t>STG</w:t>
            </w:r>
          </w:p>
        </w:tc>
        <w:tc>
          <w:tcPr>
            <w:tcW w:w="14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81717"/>
                <w:w w:val="96"/>
              </w:rPr>
              <w:t>The New York Stock Exchange</w:t>
            </w:r>
          </w:p>
        </w:tc>
        <w:tc>
          <w:tcPr>
            <w:tcW w:w="0" w:type="dxa"/>
            <w:vAlign w:val="bottom"/>
          </w:tcPr>
          <w:p>
            <w:pPr>
              <w:spacing w:after="0"/>
              <w:rPr>
                <w:sz w:val="1"/>
                <w:szCs w:val="1"/>
                <w:color w:val="auto"/>
              </w:rPr>
            </w:pPr>
          </w:p>
        </w:tc>
      </w:tr>
      <w:tr>
        <w:trPr>
          <w:trHeight w:val="112"/>
        </w:trPr>
        <w:tc>
          <w:tcPr>
            <w:tcW w:w="43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181717"/>
                <w:w w:val="92"/>
              </w:rPr>
              <w:t>share</w:t>
            </w:r>
            <w:r>
              <w:rPr>
                <w:rFonts w:ascii="Times New Roman" w:cs="Times New Roman" w:eastAsia="Times New Roman" w:hAnsi="Times New Roman"/>
                <w:sz w:val="13"/>
                <w:szCs w:val="13"/>
                <w:color w:val="181717"/>
                <w:w w:val="92"/>
              </w:rPr>
              <w:t>*</w:t>
            </w:r>
          </w:p>
        </w:tc>
        <w:tc>
          <w:tcPr>
            <w:tcW w:w="180" w:type="dxa"/>
            <w:vAlign w:val="bottom"/>
          </w:tcPr>
          <w:p>
            <w:pPr>
              <w:spacing w:after="0"/>
              <w:rPr>
                <w:sz w:val="9"/>
                <w:szCs w:val="9"/>
                <w:color w:val="auto"/>
              </w:rPr>
            </w:pPr>
          </w:p>
        </w:tc>
        <w:tc>
          <w:tcPr>
            <w:tcW w:w="2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3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181717"/>
                <w:w w:val="96"/>
              </w:rPr>
              <w:t xml:space="preserve">Class A ordinary shares, par value US$0.00005 per share </w:t>
            </w:r>
            <w:r>
              <w:rPr>
                <w:rFonts w:ascii="Times New Roman" w:cs="Times New Roman" w:eastAsia="Times New Roman" w:hAnsi="Times New Roman"/>
                <w:sz w:val="13"/>
                <w:szCs w:val="13"/>
                <w:color w:val="181717"/>
                <w:w w:val="96"/>
              </w:rPr>
              <w:t>**</w:t>
            </w:r>
          </w:p>
        </w:tc>
        <w:tc>
          <w:tcPr>
            <w:tcW w:w="1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19030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40" w:lineRule="exact"/>
        <w:rPr>
          <w:sz w:val="24"/>
          <w:szCs w:val="24"/>
          <w:color w:val="auto"/>
        </w:rPr>
      </w:pPr>
    </w:p>
    <w:p>
      <w:pPr>
        <w:ind w:left="380" w:right="300" w:hanging="372"/>
        <w:spacing w:after="0" w:line="281" w:lineRule="auto"/>
        <w:tabs>
          <w:tab w:leader="none" w:pos="366" w:val="left"/>
        </w:tabs>
        <w:numPr>
          <w:ilvl w:val="0"/>
          <w:numId w:val="4"/>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Effective from August 31, 2021, the ratio of ADSs representing the Class A ordinary shares changed from each 25 ADSs representing one Class A ordinary share to each two ADSs representing one Class A ordinary share.</w:t>
      </w:r>
    </w:p>
    <w:p>
      <w:pPr>
        <w:spacing w:after="0" w:line="1" w:lineRule="exact"/>
        <w:rPr>
          <w:sz w:val="24"/>
          <w:szCs w:val="24"/>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Not for trading, but only in connection with the listing of the American depositary shares on the 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181717"/>
        </w:rPr>
        <w:t>Securities registered or to be registered pursuant to Section 12(g) of the Act: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181717"/>
        </w:rPr>
        <w:t>None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81717"/>
        </w:rPr>
        <w:t>(Title of Class)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81717"/>
        </w:rPr>
        <w:t>Securities for which there is a reporting obligation pursuant to Section 15(d) of the Act: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181717"/>
        </w:rPr>
        <w:t>None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81717"/>
        </w:rPr>
        <w:t>(Title of Class)</w:t>
      </w:r>
    </w:p>
    <w:p>
      <w:pPr>
        <w:spacing w:after="0" w:line="4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181717"/>
        </w:rPr>
        <w:t>Indicate the number of outstanding shares of each of the issuer’s classes of capital or common stock as of the close of the period covered by the annual report.</w:t>
      </w:r>
    </w:p>
    <w:p>
      <w:pPr>
        <w:jc w:val="both"/>
        <w:ind w:firstLine="374"/>
        <w:spacing w:after="0" w:line="255" w:lineRule="auto"/>
        <w:rPr>
          <w:sz w:val="20"/>
          <w:szCs w:val="20"/>
          <w:color w:val="auto"/>
        </w:rPr>
      </w:pPr>
      <w:r>
        <w:rPr>
          <w:rFonts w:ascii="Times New Roman" w:cs="Times New Roman" w:eastAsia="Times New Roman" w:hAnsi="Times New Roman"/>
          <w:sz w:val="18"/>
          <w:szCs w:val="18"/>
          <w:color w:val="181717"/>
        </w:rPr>
        <w:t>There were 6,696,498 ordinary shares, comprised of (i) 2,538,047 Class A ordinary shares (excluding 5,200 Class A ordinary shares issued to our depositary bank for bulk issuance of ADSs reserved for future issuances upon the exercise or vesting of awards under our share incentive plans), par value $0.00005 per share; (ii) 826,389 Class B ordinary shares, par value $0.00005 per share and (iii) 3,332,062 Class C ordinary shares, par value $0.00005 per share, as of December 31, 2025.</w:t>
      </w:r>
    </w:p>
    <w:p>
      <w:pPr>
        <w:spacing w:after="0" w:line="3" w:lineRule="exact"/>
        <w:rPr>
          <w:sz w:val="20"/>
          <w:szCs w:val="20"/>
          <w:color w:val="auto"/>
        </w:rPr>
      </w:pPr>
    </w:p>
    <w:p>
      <w:pPr>
        <w:ind w:left="380"/>
        <w:spacing w:after="0" w:line="207" w:lineRule="exact"/>
        <w:tabs>
          <w:tab w:leader="none" w:pos="9580" w:val="left"/>
        </w:tabs>
        <w:rPr>
          <w:sz w:val="20"/>
          <w:szCs w:val="20"/>
          <w:color w:val="auto"/>
        </w:rPr>
      </w:pPr>
      <w:r>
        <w:rPr>
          <w:rFonts w:ascii="Times New Roman" w:cs="Times New Roman" w:eastAsia="Times New Roman" w:hAnsi="Times New Roman"/>
          <w:sz w:val="18"/>
          <w:szCs w:val="18"/>
          <w:color w:val="181717"/>
        </w:rPr>
        <w:t xml:space="preserve">Indicate by check mark if the registrant is a well-known seasoned issuer, as defined in Rule 405 of the Securities Act. Yes </w:t>
      </w:r>
      <w:r>
        <w:rPr>
          <w:rFonts w:ascii="MS PGothic" w:cs="MS PGothic" w:eastAsia="MS PGothic" w:hAnsi="MS PGothic"/>
          <w:sz w:val="18"/>
          <w:szCs w:val="18"/>
          <w:color w:val="181717"/>
        </w:rPr>
        <w:t>☐</w:t>
      </w:r>
      <w:r>
        <w:rPr>
          <w:rFonts w:ascii="Times New Roman" w:cs="Times New Roman" w:eastAsia="Times New Roman" w:hAnsi="Times New Roman"/>
          <w:sz w:val="18"/>
          <w:szCs w:val="18"/>
          <w:color w:val="181717"/>
        </w:rPr>
        <w:tab/>
        <w:t xml:space="preserve">No </w:t>
      </w:r>
      <w:r>
        <w:rPr>
          <w:rFonts w:ascii="MS PGothic" w:cs="MS PGothic" w:eastAsia="MS PGothic" w:hAnsi="MS PGothic"/>
          <w:sz w:val="18"/>
          <w:szCs w:val="18"/>
          <w:color w:val="181717"/>
        </w:rPr>
        <w:t>☒</w:t>
      </w:r>
    </w:p>
    <w:p>
      <w:pPr>
        <w:spacing w:after="0" w:line="64" w:lineRule="exact"/>
        <w:rPr>
          <w:sz w:val="20"/>
          <w:szCs w:val="20"/>
          <w:color w:val="auto"/>
        </w:rPr>
      </w:pPr>
    </w:p>
    <w:p>
      <w:pPr>
        <w:jc w:val="both"/>
        <w:ind w:firstLine="374"/>
        <w:spacing w:after="0" w:line="230" w:lineRule="exact"/>
        <w:rPr>
          <w:sz w:val="20"/>
          <w:szCs w:val="20"/>
          <w:color w:val="auto"/>
        </w:rPr>
      </w:pPr>
      <w:r>
        <w:rPr>
          <w:rFonts w:ascii="Times New Roman" w:cs="Times New Roman" w:eastAsia="Times New Roman" w:hAnsi="Times New Roman"/>
          <w:sz w:val="18"/>
          <w:szCs w:val="18"/>
          <w:color w:val="181717"/>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181717"/>
        </w:rPr>
        <w:t>☐</w:t>
      </w:r>
      <w:r>
        <w:rPr>
          <w:rFonts w:ascii="Times New Roman" w:cs="Times New Roman" w:eastAsia="Times New Roman" w:hAnsi="Times New Roman"/>
          <w:sz w:val="18"/>
          <w:szCs w:val="18"/>
          <w:color w:val="181717"/>
        </w:rPr>
        <w:t xml:space="preserve"> No </w:t>
      </w:r>
      <w:r>
        <w:rPr>
          <w:rFonts w:ascii="MS PGothic" w:cs="MS PGothic" w:eastAsia="MS PGothic" w:hAnsi="MS PGothic"/>
          <w:sz w:val="18"/>
          <w:szCs w:val="18"/>
          <w:color w:val="181717"/>
        </w:rPr>
        <w:t>☒</w:t>
      </w:r>
    </w:p>
    <w:p>
      <w:pPr>
        <w:ind w:firstLine="374"/>
        <w:spacing w:after="0" w:line="254" w:lineRule="auto"/>
        <w:rPr>
          <w:sz w:val="20"/>
          <w:szCs w:val="20"/>
          <w:color w:val="auto"/>
        </w:rPr>
      </w:pPr>
      <w:r>
        <w:rPr>
          <w:rFonts w:ascii="Times New Roman" w:cs="Times New Roman" w:eastAsia="Times New Roman" w:hAnsi="Times New Roman"/>
          <w:sz w:val="18"/>
          <w:szCs w:val="18"/>
          <w:color w:val="181717"/>
        </w:rPr>
        <w:t>Note – Checking the box above will not relieve any registrant required to file reports pursuant to Section 13 or 15(d) of the Securities Exchange Act of 1934 from their obligations under those Sections.</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181717"/>
        </w:rPr>
        <w:t>Indicate by check mark whether the registrant (1) has filed all reports required to be filed by Section 13 or 15(d) of the Securities Exchange Act of</w:t>
      </w:r>
    </w:p>
    <w:p>
      <w:pPr>
        <w:spacing w:after="0" w:line="27"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181717"/>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181717"/>
        </w:rPr>
        <w:t>☒</w:t>
      </w:r>
      <w:r>
        <w:rPr>
          <w:rFonts w:ascii="Times New Roman" w:cs="Times New Roman" w:eastAsia="Times New Roman" w:hAnsi="Times New Roman"/>
          <w:sz w:val="18"/>
          <w:szCs w:val="18"/>
          <w:color w:val="181717"/>
        </w:rPr>
        <w:t xml:space="preserve"> No </w:t>
      </w:r>
      <w:r>
        <w:rPr>
          <w:rFonts w:ascii="MS PGothic" w:cs="MS PGothic" w:eastAsia="MS PGothic" w:hAnsi="MS PGothic"/>
          <w:sz w:val="18"/>
          <w:szCs w:val="18"/>
          <w:color w:val="181717"/>
        </w:rPr>
        <w:t>☐</w:t>
      </w:r>
    </w:p>
    <w:p>
      <w:pPr>
        <w:spacing w:after="0" w:line="1" w:lineRule="exact"/>
        <w:rPr>
          <w:sz w:val="20"/>
          <w:szCs w:val="20"/>
          <w:color w:val="auto"/>
        </w:rPr>
      </w:pPr>
    </w:p>
    <w:p>
      <w:pPr>
        <w:jc w:val="both"/>
        <w:ind w:firstLine="374"/>
        <w:spacing w:after="0" w:line="225" w:lineRule="exact"/>
        <w:rPr>
          <w:sz w:val="20"/>
          <w:szCs w:val="20"/>
          <w:color w:val="auto"/>
        </w:rPr>
      </w:pPr>
      <w:r>
        <w:rPr>
          <w:rFonts w:ascii="Times New Roman" w:cs="Times New Roman" w:eastAsia="Times New Roman" w:hAnsi="Times New Roman"/>
          <w:sz w:val="18"/>
          <w:szCs w:val="18"/>
          <w:color w:val="181717"/>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181717"/>
        </w:rPr>
        <w:t>☒</w:t>
      </w:r>
      <w:r>
        <w:rPr>
          <w:rFonts w:ascii="Times New Roman" w:cs="Times New Roman" w:eastAsia="Times New Roman" w:hAnsi="Times New Roman"/>
          <w:sz w:val="18"/>
          <w:szCs w:val="18"/>
          <w:color w:val="181717"/>
        </w:rPr>
        <w:t xml:space="preserve"> No </w:t>
      </w:r>
      <w:r>
        <w:rPr>
          <w:rFonts w:ascii="MS PGothic" w:cs="MS PGothic" w:eastAsia="MS PGothic" w:hAnsi="MS PGothic"/>
          <w:sz w:val="18"/>
          <w:szCs w:val="18"/>
          <w:color w:val="181717"/>
        </w:rPr>
        <w:t>☐</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181717"/>
        </w:rPr>
        <w:t>Indicate by check mark whether the registrant is a large accelerated filer, an accelerated filer, a non-accelerated filer or an emerging growth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See definition of “accelerated filer,” “large accelerated filer,” and “emerging growth company” in Rule 12b-2 of the Exchange Act.</w:t>
      </w:r>
    </w:p>
    <w:p>
      <w:pPr>
        <w:sectPr>
          <w:pgSz w:w="11900" w:h="16838" w:orient="portrait"/>
          <w:cols w:equalWidth="0" w:num="1">
            <w:col w:w="11240"/>
          </w:cols>
          <w:pgMar w:left="320" w:top="1116" w:right="339" w:bottom="1440" w:gutter="0" w:footer="0" w:header="0"/>
        </w:sectPr>
      </w:pP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181717"/>
        </w:rPr>
        <w:t>Large Accelerated Filer</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r>
        <w:rPr>
          <w:rFonts w:ascii="MS PGothic" w:cs="MS PGothic" w:eastAsia="MS PGothic" w:hAnsi="MS PGothic"/>
          <w:sz w:val="16"/>
          <w:szCs w:val="16"/>
          <w:color w:val="181717"/>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81717"/>
        </w:rPr>
        <w:t>Accelerated Filer</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r>
        <w:rPr>
          <w:rFonts w:ascii="MS PGothic" w:cs="MS PGothic" w:eastAsia="MS PGothic" w:hAnsi="MS PGothic"/>
          <w:sz w:val="16"/>
          <w:szCs w:val="16"/>
          <w:color w:val="181717"/>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181717"/>
        </w:rPr>
        <w:t>Non-accelerated Filer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81717"/>
        </w:rPr>
        <w:t>Emerging growth company</w:t>
      </w:r>
    </w:p>
    <w:p>
      <w:pPr>
        <w:spacing w:after="0" w:line="20" w:lineRule="exact"/>
        <w:rPr>
          <w:sz w:val="20"/>
          <w:szCs w:val="20"/>
          <w:color w:val="auto"/>
        </w:rPr>
      </w:pPr>
      <w:r>
        <w:rPr>
          <w:sz w:val="20"/>
          <w:szCs w:val="20"/>
          <w:color w:val="auto"/>
        </w:rPr>
        <w:br w:type="column"/>
      </w:r>
    </w:p>
    <w:p>
      <w:pPr>
        <w:jc w:val="both"/>
        <w:spacing w:after="0" w:line="271" w:lineRule="exact"/>
        <w:rPr>
          <w:sz w:val="20"/>
          <w:szCs w:val="20"/>
          <w:color w:val="auto"/>
        </w:rPr>
      </w:pPr>
      <w:r>
        <w:rPr>
          <w:rFonts w:ascii="MS PGothic" w:cs="MS PGothic" w:eastAsia="MS PGothic" w:hAnsi="MS PGothic"/>
          <w:sz w:val="16"/>
          <w:szCs w:val="16"/>
          <w:color w:val="181717"/>
        </w:rPr>
        <w:t>☒ ☐</w:t>
      </w:r>
    </w:p>
    <w:p>
      <w:pPr>
        <w:spacing w:after="0" w:line="22" w:lineRule="exact"/>
        <w:rPr>
          <w:sz w:val="20"/>
          <w:szCs w:val="20"/>
          <w:color w:val="auto"/>
        </w:rPr>
      </w:pPr>
    </w:p>
    <w:p>
      <w:pPr>
        <w:sectPr>
          <w:pgSz w:w="11900" w:h="16838" w:orient="portrait"/>
          <w:cols w:equalWidth="0" w:num="6">
            <w:col w:w="2380" w:space="100"/>
            <w:col w:w="1520" w:space="720"/>
            <w:col w:w="1240" w:space="80"/>
            <w:col w:w="2260" w:space="720"/>
            <w:col w:w="1960" w:space="100"/>
            <w:col w:w="160"/>
          </w:cols>
          <w:pgMar w:left="320" w:top="1116" w:right="339" w:bottom="1440" w:gutter="0" w:footer="0" w:header="0"/>
          <w:type w:val="continuous"/>
        </w:sectPr>
      </w:pPr>
    </w:p>
    <w:p>
      <w:pPr>
        <w:jc w:val="both"/>
        <w:ind w:firstLine="374"/>
        <w:spacing w:after="0" w:line="232" w:lineRule="exact"/>
        <w:rPr>
          <w:sz w:val="20"/>
          <w:szCs w:val="20"/>
          <w:color w:val="auto"/>
        </w:rPr>
      </w:pPr>
      <w:r>
        <w:rPr>
          <w:rFonts w:ascii="Times New Roman" w:cs="Times New Roman" w:eastAsia="Times New Roman" w:hAnsi="Times New Roman"/>
          <w:sz w:val="18"/>
          <w:szCs w:val="18"/>
          <w:color w:val="181717"/>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8"/>
          <w:szCs w:val="18"/>
          <w:color w:val="181717"/>
        </w:rPr>
        <w:t>☐</w:t>
      </w:r>
    </w:p>
    <w:p>
      <w:pPr>
        <w:spacing w:after="0" w:line="1" w:lineRule="exact"/>
        <w:rPr>
          <w:sz w:val="20"/>
          <w:szCs w:val="20"/>
          <w:color w:val="auto"/>
        </w:rPr>
      </w:pPr>
    </w:p>
    <w:p>
      <w:pPr>
        <w:ind w:right="20" w:firstLine="382"/>
        <w:spacing w:after="0" w:line="254" w:lineRule="auto"/>
        <w:tabs>
          <w:tab w:leader="none" w:pos="514" w:val="left"/>
        </w:tabs>
        <w:numPr>
          <w:ilvl w:val="0"/>
          <w:numId w:val="5"/>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The term “new or revised financial accounting standard” refers to any update issued by the Financial Accounting Standards Board to its Accounting Standards Codification after April 5, 2012.</w:t>
      </w:r>
    </w:p>
    <w:p>
      <w:pPr>
        <w:spacing w:after="0" w:line="1" w:lineRule="exact"/>
        <w:rPr>
          <w:rFonts w:ascii="Times New Roman" w:cs="Times New Roman" w:eastAsia="Times New Roman" w:hAnsi="Times New Roman"/>
          <w:sz w:val="18"/>
          <w:szCs w:val="18"/>
          <w:color w:val="181717"/>
        </w:rPr>
      </w:pPr>
    </w:p>
    <w:p>
      <w:pPr>
        <w:jc w:val="both"/>
        <w:ind w:firstLine="374"/>
        <w:spacing w:after="0" w:line="232" w:lineRule="exact"/>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ind w:firstLine="374"/>
        <w:spacing w:after="0" w:line="230" w:lineRule="exact"/>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ind w:firstLine="374"/>
        <w:spacing w:after="0" w:line="230" w:lineRule="exact"/>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jc w:val="both"/>
        <w:ind w:left="380" w:right="1460"/>
        <w:spacing w:after="0" w:line="243" w:lineRule="exact"/>
        <w:rPr>
          <w:rFonts w:ascii="Times New Roman" w:cs="Times New Roman" w:eastAsia="Times New Roman" w:hAnsi="Times New Roman"/>
          <w:sz w:val="18"/>
          <w:szCs w:val="18"/>
          <w:color w:val="181717"/>
        </w:rPr>
      </w:pPr>
      <w:r>
        <w:rPr>
          <w:rFonts w:ascii="Times New Roman" w:cs="Times New Roman" w:eastAsia="Times New Roman" w:hAnsi="Times New Roman"/>
          <w:sz w:val="17"/>
          <w:szCs w:val="17"/>
          <w:color w:val="181717"/>
        </w:rPr>
        <w:t xml:space="preserve">Indicate by check mark which basis of accounting the registrant has used to prepare the financial statements included in this filing: </w:t>
      </w:r>
      <w:r>
        <w:rPr>
          <w:rFonts w:ascii="MS PGothic" w:cs="MS PGothic" w:eastAsia="MS PGothic" w:hAnsi="MS PGothic"/>
          <w:sz w:val="17"/>
          <w:szCs w:val="17"/>
          <w:color w:val="181717"/>
        </w:rPr>
        <w:t>☒</w:t>
      </w:r>
      <w:r>
        <w:rPr>
          <w:rFonts w:ascii="Times New Roman" w:cs="Times New Roman" w:eastAsia="Times New Roman" w:hAnsi="Times New Roman"/>
          <w:sz w:val="17"/>
          <w:szCs w:val="17"/>
          <w:color w:val="181717"/>
        </w:rPr>
        <w:t xml:space="preserve"> U.S. GAAP </w:t>
      </w:r>
      <w:r>
        <w:rPr>
          <w:rFonts w:ascii="MS PGothic" w:cs="MS PGothic" w:eastAsia="MS PGothic" w:hAnsi="MS PGothic"/>
          <w:sz w:val="17"/>
          <w:szCs w:val="17"/>
          <w:color w:val="181717"/>
        </w:rPr>
        <w:t>☐</w:t>
      </w:r>
      <w:r>
        <w:rPr>
          <w:rFonts w:ascii="Times New Roman" w:cs="Times New Roman" w:eastAsia="Times New Roman" w:hAnsi="Times New Roman"/>
          <w:sz w:val="17"/>
          <w:szCs w:val="17"/>
          <w:color w:val="181717"/>
        </w:rPr>
        <w:t xml:space="preserve"> International Financial Reporting Standards as issued by the International Accounting Standards Board </w:t>
      </w:r>
      <w:r>
        <w:rPr>
          <w:rFonts w:ascii="MS PGothic" w:cs="MS PGothic" w:eastAsia="MS PGothic" w:hAnsi="MS PGothic"/>
          <w:sz w:val="17"/>
          <w:szCs w:val="17"/>
          <w:color w:val="181717"/>
        </w:rPr>
        <w:t>☐</w:t>
      </w:r>
      <w:r>
        <w:rPr>
          <w:rFonts w:ascii="Times New Roman" w:cs="Times New Roman" w:eastAsia="Times New Roman" w:hAnsi="Times New Roman"/>
          <w:sz w:val="17"/>
          <w:szCs w:val="17"/>
          <w:color w:val="181717"/>
        </w:rPr>
        <w:t xml:space="preserve"> Other</w:t>
      </w:r>
    </w:p>
    <w:p>
      <w:pPr>
        <w:ind w:firstLine="374"/>
        <w:spacing w:after="0" w:line="249" w:lineRule="auto"/>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If “Other” has been checked in response to the previous question, indicate by check mark which financial statement item the registrant has elected to follow.</w:t>
      </w:r>
    </w:p>
    <w:p>
      <w:pPr>
        <w:spacing w:after="0" w:line="2" w:lineRule="exact"/>
        <w:rPr>
          <w:sz w:val="20"/>
          <w:szCs w:val="20"/>
          <w:color w:val="auto"/>
        </w:rPr>
      </w:pPr>
    </w:p>
    <w:p>
      <w:pPr>
        <w:ind w:left="640" w:hanging="258"/>
        <w:spacing w:after="0" w:line="207" w:lineRule="exact"/>
        <w:tabs>
          <w:tab w:leader="none" w:pos="640" w:val="left"/>
        </w:tabs>
        <w:numPr>
          <w:ilvl w:val="0"/>
          <w:numId w:val="6"/>
        </w:numPr>
        <w:rPr>
          <w:rFonts w:ascii="MS PGothic" w:cs="MS PGothic" w:eastAsia="MS PGothic" w:hAnsi="MS PGothic"/>
          <w:sz w:val="18"/>
          <w:szCs w:val="18"/>
          <w:color w:val="181717"/>
        </w:rPr>
      </w:pPr>
      <w:r>
        <w:rPr>
          <w:rFonts w:ascii="Times New Roman" w:cs="Times New Roman" w:eastAsia="Times New Roman" w:hAnsi="Times New Roman"/>
          <w:sz w:val="18"/>
          <w:szCs w:val="18"/>
          <w:color w:val="181717"/>
        </w:rPr>
        <w:t xml:space="preserve">Item 17  </w:t>
      </w:r>
      <w:r>
        <w:rPr>
          <w:rFonts w:ascii="MS PGothic" w:cs="MS PGothic" w:eastAsia="MS PGothic" w:hAnsi="MS PGothic"/>
          <w:sz w:val="18"/>
          <w:szCs w:val="18"/>
          <w:color w:val="181717"/>
        </w:rPr>
        <w:t>☐</w:t>
      </w:r>
      <w:r>
        <w:rPr>
          <w:rFonts w:ascii="Times New Roman" w:cs="Times New Roman" w:eastAsia="Times New Roman" w:hAnsi="Times New Roman"/>
          <w:sz w:val="18"/>
          <w:szCs w:val="18"/>
          <w:color w:val="181717"/>
        </w:rPr>
        <w:t xml:space="preserve"> Item 18</w:t>
      </w:r>
    </w:p>
    <w:p>
      <w:pPr>
        <w:spacing w:after="0" w:line="58" w:lineRule="exact"/>
        <w:rPr>
          <w:sz w:val="20"/>
          <w:szCs w:val="20"/>
          <w:color w:val="auto"/>
        </w:rPr>
      </w:pPr>
    </w:p>
    <w:p>
      <w:pPr>
        <w:ind w:firstLine="374"/>
        <w:spacing w:after="0" w:line="232" w:lineRule="exact"/>
        <w:rPr>
          <w:sz w:val="20"/>
          <w:szCs w:val="20"/>
          <w:color w:val="auto"/>
        </w:rPr>
      </w:pPr>
      <w:r>
        <w:rPr>
          <w:rFonts w:ascii="Times New Roman" w:cs="Times New Roman" w:eastAsia="Times New Roman" w:hAnsi="Times New Roman"/>
          <w:sz w:val="18"/>
          <w:szCs w:val="18"/>
          <w:color w:val="181717"/>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181717"/>
        </w:rPr>
        <w:t>☐</w:t>
      </w:r>
      <w:r>
        <w:rPr>
          <w:rFonts w:ascii="Times New Roman" w:cs="Times New Roman" w:eastAsia="Times New Roman" w:hAnsi="Times New Roman"/>
          <w:sz w:val="18"/>
          <w:szCs w:val="18"/>
          <w:color w:val="181717"/>
        </w:rPr>
        <w:t xml:space="preserve"> No </w:t>
      </w:r>
      <w:r>
        <w:rPr>
          <w:rFonts w:ascii="MS PGothic" w:cs="MS PGothic" w:eastAsia="MS PGothic" w:hAnsi="MS PGothic"/>
          <w:sz w:val="18"/>
          <w:szCs w:val="18"/>
          <w:color w:val="181717"/>
        </w:rPr>
        <w:t>☒</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181717"/>
        </w:rPr>
        <w:t>(APPLICABLE ONLY TO ISSUERS INVOLVED IN BANKRUPTCY PROCEEDINGS DURING THE PAST FIVE YEARS)</w:t>
      </w:r>
    </w:p>
    <w:p>
      <w:pPr>
        <w:spacing w:after="0" w:line="17" w:lineRule="exact"/>
        <w:rPr>
          <w:sz w:val="20"/>
          <w:szCs w:val="20"/>
          <w:color w:val="auto"/>
        </w:rPr>
      </w:pPr>
    </w:p>
    <w:p>
      <w:pPr>
        <w:ind w:firstLine="374"/>
        <w:spacing w:after="0" w:line="239" w:lineRule="exact"/>
        <w:rPr>
          <w:sz w:val="20"/>
          <w:szCs w:val="20"/>
          <w:color w:val="auto"/>
        </w:rPr>
      </w:pPr>
      <w:r>
        <w:rPr>
          <w:rFonts w:ascii="Times New Roman" w:cs="Times New Roman" w:eastAsia="Times New Roman" w:hAnsi="Times New Roman"/>
          <w:sz w:val="18"/>
          <w:szCs w:val="18"/>
          <w:color w:val="181717"/>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181717"/>
        </w:rPr>
        <w:t>☐</w:t>
      </w:r>
      <w:r>
        <w:rPr>
          <w:rFonts w:ascii="Times New Roman" w:cs="Times New Roman" w:eastAsia="Times New Roman" w:hAnsi="Times New Roman"/>
          <w:sz w:val="18"/>
          <w:szCs w:val="18"/>
          <w:color w:val="181717"/>
        </w:rPr>
        <w:t xml:space="preserve"> No </w:t>
      </w:r>
      <w:r>
        <w:rPr>
          <w:rFonts w:ascii="MS PGothic" w:cs="MS PGothic" w:eastAsia="MS PGothic" w:hAnsi="MS PGothic"/>
          <w:sz w:val="18"/>
          <w:szCs w:val="18"/>
          <w:color w:val="18171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1576070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3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181717"/>
              </w:rPr>
              <w:t>TABLE OF CONTENTS</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A3E0"/>
                <w:w w:val="98"/>
              </w:rPr>
              <w:t>Introduction</w:t>
            </w:r>
          </w:p>
        </w:tc>
        <w:tc>
          <w:tcPr>
            <w:tcW w:w="460" w:type="dxa"/>
            <w:vAlign w:val="bottom"/>
            <w:vMerge w:val="restart"/>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181717"/>
              </w:rPr>
              <w:t>Page</w:t>
            </w:r>
          </w:p>
        </w:tc>
        <w:tc>
          <w:tcPr>
            <w:tcW w:w="0" w:type="dxa"/>
            <w:vAlign w:val="bottom"/>
          </w:tcPr>
          <w:p>
            <w:pPr>
              <w:spacing w:after="0"/>
              <w:rPr>
                <w:sz w:val="1"/>
                <w:szCs w:val="1"/>
                <w:color w:val="auto"/>
              </w:rPr>
            </w:pPr>
          </w:p>
        </w:tc>
      </w:tr>
      <w:tr>
        <w:trPr>
          <w:trHeight w:val="174"/>
        </w:trPr>
        <w:tc>
          <w:tcPr>
            <w:tcW w:w="900" w:type="dxa"/>
            <w:vAlign w:val="bottom"/>
            <w:tcBorders>
              <w:bottom w:val="single" w:sz="8" w:color="00A3E0"/>
            </w:tcBorders>
            <w:gridSpan w:val="4"/>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181717"/>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9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A3E0"/>
              </w:rPr>
              <w:t>Forward-Looking Information</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2</w:t>
            </w:r>
          </w:p>
        </w:tc>
        <w:tc>
          <w:tcPr>
            <w:tcW w:w="0" w:type="dxa"/>
            <w:vAlign w:val="bottom"/>
          </w:tcPr>
          <w:p>
            <w:pPr>
              <w:spacing w:after="0"/>
              <w:rPr>
                <w:sz w:val="1"/>
                <w:szCs w:val="1"/>
                <w:color w:val="auto"/>
              </w:rPr>
            </w:pPr>
          </w:p>
        </w:tc>
      </w:tr>
      <w:tr>
        <w:trPr>
          <w:trHeight w:val="412"/>
        </w:trPr>
        <w:tc>
          <w:tcPr>
            <w:tcW w:w="1360" w:type="dxa"/>
            <w:vAlign w:val="bottom"/>
            <w:tcBorders>
              <w:top w:val="single" w:sz="8" w:color="00A3E0"/>
            </w:tcBorders>
            <w:gridSpan w:val="5"/>
          </w:tcPr>
          <w:p>
            <w:pPr>
              <w:spacing w:after="0"/>
              <w:rPr>
                <w:sz w:val="20"/>
                <w:szCs w:val="20"/>
                <w:color w:val="auto"/>
              </w:rPr>
            </w:pPr>
            <w:r>
              <w:rPr>
                <w:rFonts w:ascii="Times New Roman" w:cs="Times New Roman" w:eastAsia="Times New Roman" w:hAnsi="Times New Roman"/>
                <w:sz w:val="18"/>
                <w:szCs w:val="18"/>
                <w:color w:val="00A3E0"/>
              </w:rPr>
              <w:t>Part I</w:t>
            </w:r>
          </w:p>
        </w:tc>
        <w:tc>
          <w:tcPr>
            <w:tcW w:w="580" w:type="dxa"/>
            <w:vAlign w:val="bottom"/>
            <w:tcBorders>
              <w:top w:val="single" w:sz="8" w:color="00A3E0"/>
            </w:tcBorders>
          </w:tcPr>
          <w:p>
            <w:pPr>
              <w:spacing w:after="0"/>
              <w:rPr>
                <w:sz w:val="24"/>
                <w:szCs w:val="24"/>
                <w:color w:val="auto"/>
              </w:rPr>
            </w:pPr>
          </w:p>
        </w:tc>
        <w:tc>
          <w:tcPr>
            <w:tcW w:w="220" w:type="dxa"/>
            <w:vAlign w:val="bottom"/>
            <w:tcBorders>
              <w:top w:val="single" w:sz="8" w:color="00A3E0"/>
            </w:tcBorders>
          </w:tcPr>
          <w:p>
            <w:pPr>
              <w:spacing w:after="0"/>
              <w:rPr>
                <w:sz w:val="24"/>
                <w:szCs w:val="24"/>
                <w:color w:val="auto"/>
              </w:rPr>
            </w:pPr>
          </w:p>
        </w:tc>
        <w:tc>
          <w:tcPr>
            <w:tcW w:w="40" w:type="dxa"/>
            <w:vAlign w:val="bottom"/>
            <w:tcBorders>
              <w:top w:val="single" w:sz="8" w:color="00A3E0"/>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81717"/>
              </w:rPr>
              <w:t>3</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shd w:val="clear" w:color="auto" w:fill="00A3E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Identity of Directors, Senior Management and Advisers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3</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2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tcBorders>
              <w:right w:val="single" w:sz="8" w:color="00A3E0"/>
            </w:tcBorders>
            <w:gridSpan w:val="2"/>
            <w:shd w:val="clear" w:color="auto" w:fill="00A3E0"/>
          </w:tcPr>
          <w:p>
            <w:pPr>
              <w:spacing w:after="0" w:line="20" w:lineRule="exact"/>
              <w:rPr>
                <w:sz w:val="1"/>
                <w:szCs w:val="1"/>
                <w:color w:val="auto"/>
              </w:rPr>
            </w:pPr>
          </w:p>
        </w:tc>
        <w:tc>
          <w:tcPr>
            <w:tcW w:w="1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shd w:val="clear" w:color="auto" w:fill="00A3E0"/>
          </w:tcPr>
          <w:p>
            <w:pPr>
              <w:spacing w:after="0" w:line="20" w:lineRule="exact"/>
              <w:rPr>
                <w:sz w:val="1"/>
                <w:szCs w:val="1"/>
                <w:color w:val="auto"/>
              </w:rPr>
            </w:pPr>
          </w:p>
        </w:tc>
        <w:tc>
          <w:tcPr>
            <w:tcW w:w="100" w:type="dxa"/>
            <w:vAlign w:val="bottom"/>
            <w:tcBorders>
              <w:left w:val="single" w:sz="8" w:color="00A3E0"/>
              <w:right w:val="single" w:sz="8" w:color="00A3E0"/>
            </w:tcBorders>
            <w:shd w:val="clear" w:color="auto" w:fill="00A3E0"/>
          </w:tcPr>
          <w:p>
            <w:pPr>
              <w:spacing w:after="0" w:line="20" w:lineRule="exact"/>
              <w:rPr>
                <w:sz w:val="1"/>
                <w:szCs w:val="1"/>
                <w:color w:val="auto"/>
              </w:rPr>
            </w:pPr>
          </w:p>
        </w:tc>
        <w:tc>
          <w:tcPr>
            <w:tcW w:w="60" w:type="dxa"/>
            <w:vAlign w:val="bottom"/>
            <w:tcBorders>
              <w:right w:val="single" w:sz="8" w:color="00A3E0"/>
            </w:tcBorders>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340" w:type="dxa"/>
            <w:vAlign w:val="bottom"/>
            <w:tcBorders>
              <w:left w:val="single" w:sz="8" w:color="00A3E0"/>
              <w:right w:val="single" w:sz="8" w:color="00A3E0"/>
            </w:tcBorders>
            <w:shd w:val="clear" w:color="auto" w:fill="00A3E0"/>
          </w:tcPr>
          <w:p>
            <w:pPr>
              <w:spacing w:after="0" w:line="20" w:lineRule="exact"/>
              <w:rPr>
                <w:sz w:val="1"/>
                <w:szCs w:val="1"/>
                <w:color w:val="auto"/>
              </w:rPr>
            </w:pPr>
          </w:p>
        </w:tc>
        <w:tc>
          <w:tcPr>
            <w:tcW w:w="420" w:type="dxa"/>
            <w:vAlign w:val="bottom"/>
            <w:tcBorders>
              <w:left w:val="single" w:sz="8" w:color="00A3E0"/>
            </w:tcBorders>
            <w:shd w:val="clear" w:color="auto" w:fill="00A3E0"/>
          </w:tcPr>
          <w:p>
            <w:pPr>
              <w:spacing w:after="0" w:line="20" w:lineRule="exact"/>
              <w:rPr>
                <w:sz w:val="1"/>
                <w:szCs w:val="1"/>
                <w:color w:val="auto"/>
              </w:rPr>
            </w:pPr>
          </w:p>
        </w:tc>
        <w:tc>
          <w:tcPr>
            <w:tcW w:w="360" w:type="dxa"/>
            <w:vAlign w:val="bottom"/>
            <w:shd w:val="clear" w:color="auto" w:fill="00A3E0"/>
          </w:tcPr>
          <w:p>
            <w:pPr>
              <w:spacing w:after="0" w:line="20" w:lineRule="exact"/>
              <w:rPr>
                <w:sz w:val="1"/>
                <w:szCs w:val="1"/>
                <w:color w:val="auto"/>
              </w:rPr>
            </w:pPr>
          </w:p>
        </w:tc>
        <w:tc>
          <w:tcPr>
            <w:tcW w:w="460" w:type="dxa"/>
            <w:vAlign w:val="bottom"/>
            <w:tcBorders>
              <w:left w:val="single" w:sz="8" w:color="00A3E0"/>
            </w:tcBorders>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200" w:type="dxa"/>
            <w:vAlign w:val="bottom"/>
            <w:tcBorders>
              <w:right w:val="single" w:sz="8" w:color="00A3E0"/>
            </w:tcBorders>
            <w:shd w:val="clear" w:color="auto" w:fill="00A3E0"/>
          </w:tcPr>
          <w:p>
            <w:pPr>
              <w:spacing w:after="0" w:line="20" w:lineRule="exact"/>
              <w:rPr>
                <w:sz w:val="1"/>
                <w:szCs w:val="1"/>
                <w:color w:val="auto"/>
              </w:rPr>
            </w:pPr>
          </w:p>
        </w:tc>
        <w:tc>
          <w:tcPr>
            <w:tcW w:w="120" w:type="dxa"/>
            <w:vAlign w:val="bottom"/>
            <w:shd w:val="clear" w:color="auto" w:fill="00A3E0"/>
          </w:tcPr>
          <w:p>
            <w:pPr>
              <w:spacing w:after="0" w:line="20" w:lineRule="exact"/>
              <w:rPr>
                <w:sz w:val="1"/>
                <w:szCs w:val="1"/>
                <w:color w:val="auto"/>
              </w:rPr>
            </w:pPr>
          </w:p>
        </w:tc>
        <w:tc>
          <w:tcPr>
            <w:tcW w:w="120" w:type="dxa"/>
            <w:vAlign w:val="bottom"/>
            <w:shd w:val="clear" w:color="auto" w:fill="00A3E0"/>
          </w:tcPr>
          <w:p>
            <w:pPr>
              <w:spacing w:after="0" w:line="20" w:lineRule="exact"/>
              <w:rPr>
                <w:sz w:val="1"/>
                <w:szCs w:val="1"/>
                <w:color w:val="auto"/>
              </w:rPr>
            </w:pPr>
          </w:p>
        </w:tc>
        <w:tc>
          <w:tcPr>
            <w:tcW w:w="160" w:type="dxa"/>
            <w:vAlign w:val="bottom"/>
            <w:shd w:val="clear" w:color="auto" w:fill="00A3E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2.</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Offer Statistics and Expected Timetable</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3</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2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tcBorders>
              <w:right w:val="single" w:sz="8" w:color="00A3E0"/>
            </w:tcBorders>
            <w:gridSpan w:val="2"/>
            <w:shd w:val="clear" w:color="auto" w:fill="00A3E0"/>
          </w:tcPr>
          <w:p>
            <w:pPr>
              <w:spacing w:after="0" w:line="20" w:lineRule="exact"/>
              <w:rPr>
                <w:sz w:val="1"/>
                <w:szCs w:val="1"/>
                <w:color w:val="auto"/>
              </w:rPr>
            </w:pPr>
          </w:p>
        </w:tc>
        <w:tc>
          <w:tcPr>
            <w:tcW w:w="1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shd w:val="clear" w:color="auto" w:fill="00A3E0"/>
          </w:tcPr>
          <w:p>
            <w:pPr>
              <w:spacing w:after="0" w:line="20" w:lineRule="exact"/>
              <w:rPr>
                <w:sz w:val="1"/>
                <w:szCs w:val="1"/>
                <w:color w:val="auto"/>
              </w:rPr>
            </w:pPr>
          </w:p>
        </w:tc>
        <w:tc>
          <w:tcPr>
            <w:tcW w:w="100" w:type="dxa"/>
            <w:vAlign w:val="bottom"/>
            <w:tcBorders>
              <w:left w:val="single" w:sz="8" w:color="00A3E0"/>
              <w:right w:val="single" w:sz="8" w:color="00A3E0"/>
            </w:tcBorders>
            <w:shd w:val="clear" w:color="auto" w:fill="00A3E0"/>
          </w:tcPr>
          <w:p>
            <w:pPr>
              <w:spacing w:after="0" w:line="20" w:lineRule="exact"/>
              <w:rPr>
                <w:sz w:val="1"/>
                <w:szCs w:val="1"/>
                <w:color w:val="auto"/>
              </w:rPr>
            </w:pPr>
          </w:p>
        </w:tc>
        <w:tc>
          <w:tcPr>
            <w:tcW w:w="60" w:type="dxa"/>
            <w:vAlign w:val="bottom"/>
            <w:tcBorders>
              <w:right w:val="single" w:sz="8" w:color="00A3E0"/>
            </w:tcBorders>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340" w:type="dxa"/>
            <w:vAlign w:val="bottom"/>
            <w:tcBorders>
              <w:left w:val="single" w:sz="8" w:color="00A3E0"/>
              <w:right w:val="single" w:sz="8" w:color="00A3E0"/>
            </w:tcBorders>
            <w:shd w:val="clear" w:color="auto" w:fill="00A3E0"/>
          </w:tcPr>
          <w:p>
            <w:pPr>
              <w:spacing w:after="0" w:line="20" w:lineRule="exact"/>
              <w:rPr>
                <w:sz w:val="1"/>
                <w:szCs w:val="1"/>
                <w:color w:val="auto"/>
              </w:rPr>
            </w:pPr>
          </w:p>
        </w:tc>
        <w:tc>
          <w:tcPr>
            <w:tcW w:w="420" w:type="dxa"/>
            <w:vAlign w:val="bottom"/>
            <w:tcBorders>
              <w:left w:val="single" w:sz="8" w:color="00A3E0"/>
            </w:tcBorders>
            <w:shd w:val="clear" w:color="auto" w:fill="00A3E0"/>
          </w:tcPr>
          <w:p>
            <w:pPr>
              <w:spacing w:after="0" w:line="20" w:lineRule="exact"/>
              <w:rPr>
                <w:sz w:val="1"/>
                <w:szCs w:val="1"/>
                <w:color w:val="auto"/>
              </w:rPr>
            </w:pPr>
          </w:p>
        </w:tc>
        <w:tc>
          <w:tcPr>
            <w:tcW w:w="360" w:type="dxa"/>
            <w:vAlign w:val="bottom"/>
            <w:shd w:val="clear" w:color="auto" w:fill="00A3E0"/>
          </w:tcPr>
          <w:p>
            <w:pPr>
              <w:spacing w:after="0" w:line="20" w:lineRule="exact"/>
              <w:rPr>
                <w:sz w:val="1"/>
                <w:szCs w:val="1"/>
                <w:color w:val="auto"/>
              </w:rPr>
            </w:pPr>
          </w:p>
        </w:tc>
        <w:tc>
          <w:tcPr>
            <w:tcW w:w="460" w:type="dxa"/>
            <w:vAlign w:val="bottom"/>
            <w:tcBorders>
              <w:left w:val="single" w:sz="8" w:color="00A3E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3.</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Key Information</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3</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2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tcBorders>
              <w:right w:val="single" w:sz="8" w:color="00A3E0"/>
            </w:tcBorders>
            <w:gridSpan w:val="2"/>
            <w:shd w:val="clear" w:color="auto" w:fill="00A3E0"/>
          </w:tcPr>
          <w:p>
            <w:pPr>
              <w:spacing w:after="0" w:line="20" w:lineRule="exact"/>
              <w:rPr>
                <w:sz w:val="1"/>
                <w:szCs w:val="1"/>
                <w:color w:val="auto"/>
              </w:rPr>
            </w:pPr>
          </w:p>
        </w:tc>
        <w:tc>
          <w:tcPr>
            <w:tcW w:w="120" w:type="dxa"/>
            <w:vAlign w:val="bottom"/>
            <w:tcBorders>
              <w:right w:val="single" w:sz="8" w:color="0000EE"/>
            </w:tcBorders>
            <w:shd w:val="clear" w:color="auto" w:fill="00A3E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4.</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Information on the Company</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55</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2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tcBorders>
              <w:right w:val="single" w:sz="8" w:color="00A3E0"/>
            </w:tcBorders>
            <w:gridSpan w:val="2"/>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00" w:type="dxa"/>
            <w:vAlign w:val="bottom"/>
            <w:tcBorders>
              <w:left w:val="single" w:sz="8" w:color="00A3E0"/>
              <w:right w:val="single" w:sz="8" w:color="00A3E0"/>
            </w:tcBorders>
            <w:shd w:val="clear" w:color="auto" w:fill="00A3E0"/>
          </w:tcPr>
          <w:p>
            <w:pPr>
              <w:spacing w:after="0" w:line="20" w:lineRule="exact"/>
              <w:rPr>
                <w:sz w:val="1"/>
                <w:szCs w:val="1"/>
                <w:color w:val="auto"/>
              </w:rPr>
            </w:pPr>
          </w:p>
        </w:tc>
        <w:tc>
          <w:tcPr>
            <w:tcW w:w="60" w:type="dxa"/>
            <w:vAlign w:val="bottom"/>
            <w:tcBorders>
              <w:right w:val="single" w:sz="8" w:color="00A3E0"/>
            </w:tcBorders>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340" w:type="dxa"/>
            <w:vAlign w:val="bottom"/>
            <w:tcBorders>
              <w:left w:val="single" w:sz="8" w:color="00A3E0"/>
              <w:right w:val="single" w:sz="8" w:color="00A3E0"/>
            </w:tcBorders>
            <w:shd w:val="clear" w:color="auto" w:fill="00A3E0"/>
          </w:tcPr>
          <w:p>
            <w:pPr>
              <w:spacing w:after="0" w:line="20" w:lineRule="exact"/>
              <w:rPr>
                <w:sz w:val="1"/>
                <w:szCs w:val="1"/>
                <w:color w:val="auto"/>
              </w:rPr>
            </w:pPr>
          </w:p>
        </w:tc>
        <w:tc>
          <w:tcPr>
            <w:tcW w:w="420" w:type="dxa"/>
            <w:vAlign w:val="bottom"/>
            <w:tcBorders>
              <w:left w:val="single" w:sz="8" w:color="00A3E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4A.</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Unresolved Staff Comments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82</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2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tcBorders>
              <w:right w:val="single" w:sz="8" w:color="00A3E0"/>
            </w:tcBorders>
            <w:gridSpan w:val="2"/>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00" w:type="dxa"/>
            <w:vAlign w:val="bottom"/>
            <w:tcBorders>
              <w:left w:val="single" w:sz="8" w:color="00A3E0"/>
              <w:right w:val="single" w:sz="8" w:color="00A3E0"/>
            </w:tcBorders>
            <w:shd w:val="clear" w:color="auto" w:fill="00A3E0"/>
          </w:tcPr>
          <w:p>
            <w:pPr>
              <w:spacing w:after="0" w:line="20" w:lineRule="exact"/>
              <w:rPr>
                <w:sz w:val="1"/>
                <w:szCs w:val="1"/>
                <w:color w:val="auto"/>
              </w:rPr>
            </w:pPr>
          </w:p>
        </w:tc>
        <w:tc>
          <w:tcPr>
            <w:tcW w:w="60" w:type="dxa"/>
            <w:vAlign w:val="bottom"/>
            <w:tcBorders>
              <w:right w:val="single" w:sz="8" w:color="00A3E0"/>
            </w:tcBorders>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340" w:type="dxa"/>
            <w:vAlign w:val="bottom"/>
            <w:tcBorders>
              <w:left w:val="single" w:sz="8" w:color="00A3E0"/>
              <w:right w:val="single" w:sz="8" w:color="0000EE"/>
            </w:tcBorders>
            <w:shd w:val="clear" w:color="auto" w:fill="00A3E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5.</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Operating and Financial Review and Prospects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82</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2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tcBorders>
              <w:right w:val="single" w:sz="8" w:color="00A3E0"/>
            </w:tcBorders>
            <w:gridSpan w:val="2"/>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00" w:type="dxa"/>
            <w:vAlign w:val="bottom"/>
            <w:tcBorders>
              <w:left w:val="single" w:sz="8" w:color="00A3E0"/>
              <w:right w:val="single" w:sz="8" w:color="00A3E0"/>
            </w:tcBorders>
            <w:shd w:val="clear" w:color="auto" w:fill="00A3E0"/>
          </w:tcPr>
          <w:p>
            <w:pPr>
              <w:spacing w:after="0" w:line="20" w:lineRule="exact"/>
              <w:rPr>
                <w:sz w:val="1"/>
                <w:szCs w:val="1"/>
                <w:color w:val="auto"/>
              </w:rPr>
            </w:pPr>
          </w:p>
        </w:tc>
        <w:tc>
          <w:tcPr>
            <w:tcW w:w="60" w:type="dxa"/>
            <w:vAlign w:val="bottom"/>
            <w:tcBorders>
              <w:right w:val="single" w:sz="8" w:color="00A3E0"/>
            </w:tcBorders>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760" w:type="dxa"/>
            <w:vAlign w:val="bottom"/>
            <w:tcBorders>
              <w:left w:val="single" w:sz="8" w:color="00A3E0"/>
            </w:tcBorders>
            <w:gridSpan w:val="2"/>
            <w:shd w:val="clear" w:color="auto" w:fill="00A3E0"/>
          </w:tcPr>
          <w:p>
            <w:pPr>
              <w:spacing w:after="0" w:line="20" w:lineRule="exact"/>
              <w:rPr>
                <w:sz w:val="1"/>
                <w:szCs w:val="1"/>
                <w:color w:val="auto"/>
              </w:rPr>
            </w:pPr>
          </w:p>
        </w:tc>
        <w:tc>
          <w:tcPr>
            <w:tcW w:w="360" w:type="dxa"/>
            <w:vAlign w:val="bottom"/>
            <w:shd w:val="clear" w:color="auto" w:fill="00A3E0"/>
          </w:tcPr>
          <w:p>
            <w:pPr>
              <w:spacing w:after="0" w:line="20" w:lineRule="exact"/>
              <w:rPr>
                <w:sz w:val="1"/>
                <w:szCs w:val="1"/>
                <w:color w:val="auto"/>
              </w:rPr>
            </w:pPr>
          </w:p>
        </w:tc>
        <w:tc>
          <w:tcPr>
            <w:tcW w:w="460" w:type="dxa"/>
            <w:vAlign w:val="bottom"/>
            <w:tcBorders>
              <w:left w:val="single" w:sz="8" w:color="00A3E0"/>
            </w:tcBorders>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6.</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Directors, Senior Management and Employees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96</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2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tcBorders>
              <w:right w:val="single" w:sz="8" w:color="00A3E0"/>
            </w:tcBorders>
            <w:gridSpan w:val="2"/>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00" w:type="dxa"/>
            <w:vAlign w:val="bottom"/>
            <w:tcBorders>
              <w:left w:val="single" w:sz="8" w:color="00A3E0"/>
              <w:right w:val="single" w:sz="8" w:color="00A3E0"/>
            </w:tcBorders>
            <w:shd w:val="clear" w:color="auto" w:fill="00A3E0"/>
          </w:tcPr>
          <w:p>
            <w:pPr>
              <w:spacing w:after="0" w:line="20" w:lineRule="exact"/>
              <w:rPr>
                <w:sz w:val="1"/>
                <w:szCs w:val="1"/>
                <w:color w:val="auto"/>
              </w:rPr>
            </w:pPr>
          </w:p>
        </w:tc>
        <w:tc>
          <w:tcPr>
            <w:tcW w:w="60" w:type="dxa"/>
            <w:vAlign w:val="bottom"/>
            <w:tcBorders>
              <w:right w:val="single" w:sz="8" w:color="00A3E0"/>
            </w:tcBorders>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760" w:type="dxa"/>
            <w:vAlign w:val="bottom"/>
            <w:tcBorders>
              <w:left w:val="single" w:sz="8" w:color="00A3E0"/>
            </w:tcBorders>
            <w:gridSpan w:val="2"/>
            <w:shd w:val="clear" w:color="auto" w:fill="00A3E0"/>
          </w:tcPr>
          <w:p>
            <w:pPr>
              <w:spacing w:after="0" w:line="20" w:lineRule="exact"/>
              <w:rPr>
                <w:sz w:val="1"/>
                <w:szCs w:val="1"/>
                <w:color w:val="auto"/>
              </w:rPr>
            </w:pPr>
          </w:p>
        </w:tc>
        <w:tc>
          <w:tcPr>
            <w:tcW w:w="360" w:type="dxa"/>
            <w:vAlign w:val="bottom"/>
            <w:shd w:val="clear" w:color="auto" w:fill="00A3E0"/>
          </w:tcPr>
          <w:p>
            <w:pPr>
              <w:spacing w:after="0" w:line="20" w:lineRule="exact"/>
              <w:rPr>
                <w:sz w:val="1"/>
                <w:szCs w:val="1"/>
                <w:color w:val="auto"/>
              </w:rPr>
            </w:pPr>
          </w:p>
        </w:tc>
        <w:tc>
          <w:tcPr>
            <w:tcW w:w="460" w:type="dxa"/>
            <w:vAlign w:val="bottom"/>
            <w:tcBorders>
              <w:left w:val="single" w:sz="8" w:color="00A3E0"/>
            </w:tcBorders>
            <w:shd w:val="clear" w:color="auto" w:fill="00A3E0"/>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7.</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Major Shareholders and Related Party Transactions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103</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2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tcBorders>
              <w:right w:val="single" w:sz="8" w:color="00A3E0"/>
            </w:tcBorders>
            <w:gridSpan w:val="2"/>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00" w:type="dxa"/>
            <w:vAlign w:val="bottom"/>
            <w:tcBorders>
              <w:left w:val="single" w:sz="8" w:color="00A3E0"/>
              <w:right w:val="single" w:sz="8" w:color="00A3E0"/>
            </w:tcBorders>
            <w:shd w:val="clear" w:color="auto" w:fill="00A3E0"/>
          </w:tcPr>
          <w:p>
            <w:pPr>
              <w:spacing w:after="0" w:line="20" w:lineRule="exact"/>
              <w:rPr>
                <w:sz w:val="1"/>
                <w:szCs w:val="1"/>
                <w:color w:val="auto"/>
              </w:rPr>
            </w:pPr>
          </w:p>
        </w:tc>
        <w:tc>
          <w:tcPr>
            <w:tcW w:w="60" w:type="dxa"/>
            <w:vAlign w:val="bottom"/>
            <w:tcBorders>
              <w:right w:val="single" w:sz="8" w:color="00A3E0"/>
            </w:tcBorders>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760" w:type="dxa"/>
            <w:vAlign w:val="bottom"/>
            <w:tcBorders>
              <w:left w:val="single" w:sz="8" w:color="00A3E0"/>
            </w:tcBorders>
            <w:gridSpan w:val="2"/>
            <w:shd w:val="clear" w:color="auto" w:fill="00A3E0"/>
          </w:tcPr>
          <w:p>
            <w:pPr>
              <w:spacing w:after="0" w:line="20" w:lineRule="exact"/>
              <w:rPr>
                <w:sz w:val="1"/>
                <w:szCs w:val="1"/>
                <w:color w:val="auto"/>
              </w:rPr>
            </w:pPr>
          </w:p>
        </w:tc>
        <w:tc>
          <w:tcPr>
            <w:tcW w:w="360" w:type="dxa"/>
            <w:vAlign w:val="bottom"/>
            <w:shd w:val="clear" w:color="auto" w:fill="00A3E0"/>
          </w:tcPr>
          <w:p>
            <w:pPr>
              <w:spacing w:after="0" w:line="20" w:lineRule="exact"/>
              <w:rPr>
                <w:sz w:val="1"/>
                <w:szCs w:val="1"/>
                <w:color w:val="auto"/>
              </w:rPr>
            </w:pPr>
          </w:p>
        </w:tc>
        <w:tc>
          <w:tcPr>
            <w:tcW w:w="460" w:type="dxa"/>
            <w:vAlign w:val="bottom"/>
            <w:tcBorders>
              <w:left w:val="single" w:sz="8" w:color="00A3E0"/>
            </w:tcBorders>
            <w:shd w:val="clear" w:color="auto" w:fill="00A3E0"/>
          </w:tcPr>
          <w:p>
            <w:pPr>
              <w:spacing w:after="0" w:line="20" w:lineRule="exact"/>
              <w:rPr>
                <w:sz w:val="1"/>
                <w:szCs w:val="1"/>
                <w:color w:val="auto"/>
              </w:rPr>
            </w:pPr>
          </w:p>
        </w:tc>
        <w:tc>
          <w:tcPr>
            <w:tcW w:w="280" w:type="dxa"/>
            <w:vAlign w:val="bottom"/>
            <w:tcBorders>
              <w:left w:val="single" w:sz="8" w:color="00A3E0"/>
              <w:right w:val="single" w:sz="8" w:color="00A3E0"/>
            </w:tcBorders>
            <w:gridSpan w:val="2"/>
            <w:shd w:val="clear" w:color="auto" w:fill="00A3E0"/>
          </w:tcPr>
          <w:p>
            <w:pPr>
              <w:spacing w:after="0" w:line="20" w:lineRule="exact"/>
              <w:rPr>
                <w:sz w:val="1"/>
                <w:szCs w:val="1"/>
                <w:color w:val="auto"/>
              </w:rPr>
            </w:pPr>
          </w:p>
        </w:tc>
        <w:tc>
          <w:tcPr>
            <w:tcW w:w="120" w:type="dxa"/>
            <w:vAlign w:val="bottom"/>
            <w:shd w:val="clear" w:color="auto" w:fill="00A3E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8.</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Financial Information</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103</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2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tcBorders>
              <w:right w:val="single" w:sz="8" w:color="00A3E0"/>
            </w:tcBorders>
            <w:gridSpan w:val="2"/>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00" w:type="dxa"/>
            <w:vAlign w:val="bottom"/>
            <w:tcBorders>
              <w:left w:val="single" w:sz="8" w:color="00A3E0"/>
              <w:right w:val="single" w:sz="8" w:color="0000EE"/>
            </w:tcBorders>
            <w:shd w:val="clear" w:color="auto" w:fill="00A3E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9.</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The Offer and Listing</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104</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2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tcBorders>
              <w:right w:val="single" w:sz="8" w:color="00A3E0"/>
            </w:tcBorders>
            <w:gridSpan w:val="2"/>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00" w:type="dxa"/>
            <w:vAlign w:val="bottom"/>
            <w:tcBorders>
              <w:left w:val="single" w:sz="8" w:color="00A3E0"/>
              <w:right w:val="single" w:sz="8" w:color="0000EE"/>
            </w:tcBorders>
            <w:shd w:val="clear" w:color="auto" w:fill="00A3E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10.</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Additional Information</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104</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2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tcBorders>
              <w:right w:val="single" w:sz="8" w:color="00A3E0"/>
            </w:tcBorders>
            <w:gridSpan w:val="2"/>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60" w:type="dxa"/>
            <w:vAlign w:val="bottom"/>
            <w:tcBorders>
              <w:left w:val="single" w:sz="8" w:color="00A3E0"/>
              <w:right w:val="single" w:sz="8" w:color="00A3E0"/>
            </w:tcBorders>
            <w:gridSpan w:val="2"/>
            <w:shd w:val="clear" w:color="auto" w:fill="00A3E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11.</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Quantitative and Qualitative Disclosures about Market Risk</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112</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2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tcBorders>
              <w:right w:val="single" w:sz="8" w:color="00A3E0"/>
            </w:tcBorders>
            <w:gridSpan w:val="2"/>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60" w:type="dxa"/>
            <w:vAlign w:val="bottom"/>
            <w:tcBorders>
              <w:left w:val="single" w:sz="8" w:color="00A3E0"/>
              <w:right w:val="single" w:sz="8" w:color="00A3E0"/>
            </w:tcBorders>
            <w:gridSpan w:val="2"/>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760" w:type="dxa"/>
            <w:vAlign w:val="bottom"/>
            <w:tcBorders>
              <w:left w:val="single" w:sz="8" w:color="00A3E0"/>
            </w:tcBorders>
            <w:gridSpan w:val="2"/>
            <w:shd w:val="clear" w:color="auto" w:fill="00A3E0"/>
          </w:tcPr>
          <w:p>
            <w:pPr>
              <w:spacing w:after="0" w:line="20" w:lineRule="exact"/>
              <w:rPr>
                <w:sz w:val="1"/>
                <w:szCs w:val="1"/>
                <w:color w:val="auto"/>
              </w:rPr>
            </w:pPr>
          </w:p>
        </w:tc>
        <w:tc>
          <w:tcPr>
            <w:tcW w:w="360" w:type="dxa"/>
            <w:vAlign w:val="bottom"/>
            <w:shd w:val="clear" w:color="auto" w:fill="00A3E0"/>
          </w:tcPr>
          <w:p>
            <w:pPr>
              <w:spacing w:after="0" w:line="20" w:lineRule="exact"/>
              <w:rPr>
                <w:sz w:val="1"/>
                <w:szCs w:val="1"/>
                <w:color w:val="auto"/>
              </w:rPr>
            </w:pPr>
          </w:p>
        </w:tc>
        <w:tc>
          <w:tcPr>
            <w:tcW w:w="460" w:type="dxa"/>
            <w:vAlign w:val="bottom"/>
            <w:tcBorders>
              <w:left w:val="single" w:sz="8" w:color="00A3E0"/>
            </w:tcBorders>
            <w:shd w:val="clear" w:color="auto" w:fill="00A3E0"/>
          </w:tcPr>
          <w:p>
            <w:pPr>
              <w:spacing w:after="0" w:line="20" w:lineRule="exact"/>
              <w:rPr>
                <w:sz w:val="1"/>
                <w:szCs w:val="1"/>
                <w:color w:val="auto"/>
              </w:rPr>
            </w:pPr>
          </w:p>
        </w:tc>
        <w:tc>
          <w:tcPr>
            <w:tcW w:w="280" w:type="dxa"/>
            <w:vAlign w:val="bottom"/>
            <w:tcBorders>
              <w:left w:val="single" w:sz="8" w:color="00A3E0"/>
              <w:right w:val="single" w:sz="8" w:color="00A3E0"/>
            </w:tcBorders>
            <w:gridSpan w:val="2"/>
            <w:shd w:val="clear" w:color="auto" w:fill="00A3E0"/>
          </w:tcPr>
          <w:p>
            <w:pPr>
              <w:spacing w:after="0" w:line="20" w:lineRule="exact"/>
              <w:rPr>
                <w:sz w:val="1"/>
                <w:szCs w:val="1"/>
                <w:color w:val="auto"/>
              </w:rPr>
            </w:pPr>
          </w:p>
        </w:tc>
        <w:tc>
          <w:tcPr>
            <w:tcW w:w="240" w:type="dxa"/>
            <w:vAlign w:val="bottom"/>
            <w:gridSpan w:val="2"/>
            <w:shd w:val="clear" w:color="auto" w:fill="00A3E0"/>
          </w:tcPr>
          <w:p>
            <w:pPr>
              <w:spacing w:after="0" w:line="20" w:lineRule="exact"/>
              <w:rPr>
                <w:sz w:val="1"/>
                <w:szCs w:val="1"/>
                <w:color w:val="auto"/>
              </w:rPr>
            </w:pPr>
          </w:p>
        </w:tc>
        <w:tc>
          <w:tcPr>
            <w:tcW w:w="480" w:type="dxa"/>
            <w:vAlign w:val="bottom"/>
            <w:gridSpan w:val="2"/>
            <w:shd w:val="clear" w:color="auto" w:fill="00A3E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12.</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Description of Securities other than Equity Securities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113</w:t>
            </w:r>
          </w:p>
        </w:tc>
        <w:tc>
          <w:tcPr>
            <w:tcW w:w="0" w:type="dxa"/>
            <w:vAlign w:val="bottom"/>
          </w:tcPr>
          <w:p>
            <w:pPr>
              <w:spacing w:after="0"/>
              <w:rPr>
                <w:sz w:val="1"/>
                <w:szCs w:val="1"/>
                <w:color w:val="auto"/>
              </w:rPr>
            </w:pPr>
          </w:p>
        </w:tc>
      </w:tr>
      <w:tr>
        <w:trPr>
          <w:trHeight w:val="412"/>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00A3E0"/>
              </w:rPr>
              <w:t>Part II</w:t>
            </w:r>
          </w:p>
        </w:tc>
        <w:tc>
          <w:tcPr>
            <w:tcW w:w="580" w:type="dxa"/>
            <w:vAlign w:val="bottom"/>
            <w:tcBorders>
              <w:top w:val="single" w:sz="8" w:color="00A3E0"/>
            </w:tcBorders>
          </w:tcPr>
          <w:p>
            <w:pPr>
              <w:spacing w:after="0"/>
              <w:rPr>
                <w:sz w:val="24"/>
                <w:szCs w:val="24"/>
                <w:color w:val="auto"/>
              </w:rPr>
            </w:pPr>
          </w:p>
        </w:tc>
        <w:tc>
          <w:tcPr>
            <w:tcW w:w="220" w:type="dxa"/>
            <w:vAlign w:val="bottom"/>
            <w:tcBorders>
              <w:top w:val="single" w:sz="8" w:color="00A3E0"/>
            </w:tcBorders>
          </w:tcPr>
          <w:p>
            <w:pPr>
              <w:spacing w:after="0"/>
              <w:rPr>
                <w:sz w:val="24"/>
                <w:szCs w:val="24"/>
                <w:color w:val="auto"/>
              </w:rPr>
            </w:pPr>
          </w:p>
        </w:tc>
        <w:tc>
          <w:tcPr>
            <w:tcW w:w="40" w:type="dxa"/>
            <w:vAlign w:val="bottom"/>
            <w:tcBorders>
              <w:top w:val="single" w:sz="8" w:color="00A3E0"/>
            </w:tcBorders>
          </w:tcPr>
          <w:p>
            <w:pPr>
              <w:spacing w:after="0"/>
              <w:rPr>
                <w:sz w:val="24"/>
                <w:szCs w:val="24"/>
                <w:color w:val="auto"/>
              </w:rPr>
            </w:pPr>
          </w:p>
        </w:tc>
        <w:tc>
          <w:tcPr>
            <w:tcW w:w="240" w:type="dxa"/>
            <w:vAlign w:val="bottom"/>
            <w:tcBorders>
              <w:top w:val="single" w:sz="8" w:color="00A3E0"/>
            </w:tcBorders>
          </w:tcPr>
          <w:p>
            <w:pPr>
              <w:spacing w:after="0"/>
              <w:rPr>
                <w:sz w:val="24"/>
                <w:szCs w:val="24"/>
                <w:color w:val="auto"/>
              </w:rPr>
            </w:pPr>
          </w:p>
        </w:tc>
        <w:tc>
          <w:tcPr>
            <w:tcW w:w="120" w:type="dxa"/>
            <w:vAlign w:val="bottom"/>
            <w:tcBorders>
              <w:top w:val="single" w:sz="8" w:color="00A3E0"/>
            </w:tcBorders>
          </w:tcPr>
          <w:p>
            <w:pPr>
              <w:spacing w:after="0"/>
              <w:rPr>
                <w:sz w:val="24"/>
                <w:szCs w:val="24"/>
                <w:color w:val="auto"/>
              </w:rPr>
            </w:pPr>
          </w:p>
        </w:tc>
        <w:tc>
          <w:tcPr>
            <w:tcW w:w="280" w:type="dxa"/>
            <w:vAlign w:val="bottom"/>
            <w:tcBorders>
              <w:top w:val="single" w:sz="8" w:color="00A3E0"/>
            </w:tcBorders>
          </w:tcPr>
          <w:p>
            <w:pPr>
              <w:spacing w:after="0"/>
              <w:rPr>
                <w:sz w:val="24"/>
                <w:szCs w:val="24"/>
                <w:color w:val="auto"/>
              </w:rPr>
            </w:pPr>
          </w:p>
        </w:tc>
        <w:tc>
          <w:tcPr>
            <w:tcW w:w="100" w:type="dxa"/>
            <w:vAlign w:val="bottom"/>
            <w:tcBorders>
              <w:top w:val="single" w:sz="8" w:color="00A3E0"/>
            </w:tcBorders>
          </w:tcPr>
          <w:p>
            <w:pPr>
              <w:spacing w:after="0"/>
              <w:rPr>
                <w:sz w:val="24"/>
                <w:szCs w:val="24"/>
                <w:color w:val="auto"/>
              </w:rPr>
            </w:pPr>
          </w:p>
        </w:tc>
        <w:tc>
          <w:tcPr>
            <w:tcW w:w="60" w:type="dxa"/>
            <w:vAlign w:val="bottom"/>
            <w:tcBorders>
              <w:top w:val="single" w:sz="8" w:color="00A3E0"/>
            </w:tcBorders>
          </w:tcPr>
          <w:p>
            <w:pPr>
              <w:spacing w:after="0"/>
              <w:rPr>
                <w:sz w:val="24"/>
                <w:szCs w:val="24"/>
                <w:color w:val="auto"/>
              </w:rPr>
            </w:pPr>
          </w:p>
        </w:tc>
        <w:tc>
          <w:tcPr>
            <w:tcW w:w="80" w:type="dxa"/>
            <w:vAlign w:val="bottom"/>
            <w:tcBorders>
              <w:top w:val="single" w:sz="8" w:color="00A3E0"/>
            </w:tcBorders>
          </w:tcPr>
          <w:p>
            <w:pPr>
              <w:spacing w:after="0"/>
              <w:rPr>
                <w:sz w:val="24"/>
                <w:szCs w:val="24"/>
                <w:color w:val="auto"/>
              </w:rPr>
            </w:pPr>
          </w:p>
        </w:tc>
        <w:tc>
          <w:tcPr>
            <w:tcW w:w="340" w:type="dxa"/>
            <w:vAlign w:val="bottom"/>
            <w:tcBorders>
              <w:top w:val="single" w:sz="8" w:color="00A3E0"/>
            </w:tcBorders>
          </w:tcPr>
          <w:p>
            <w:pPr>
              <w:spacing w:after="0"/>
              <w:rPr>
                <w:sz w:val="24"/>
                <w:szCs w:val="24"/>
                <w:color w:val="auto"/>
              </w:rPr>
            </w:pPr>
          </w:p>
        </w:tc>
        <w:tc>
          <w:tcPr>
            <w:tcW w:w="420" w:type="dxa"/>
            <w:vAlign w:val="bottom"/>
            <w:tcBorders>
              <w:top w:val="single" w:sz="8" w:color="00A3E0"/>
            </w:tcBorders>
          </w:tcPr>
          <w:p>
            <w:pPr>
              <w:spacing w:after="0"/>
              <w:rPr>
                <w:sz w:val="24"/>
                <w:szCs w:val="24"/>
                <w:color w:val="auto"/>
              </w:rPr>
            </w:pPr>
          </w:p>
        </w:tc>
        <w:tc>
          <w:tcPr>
            <w:tcW w:w="360" w:type="dxa"/>
            <w:vAlign w:val="bottom"/>
            <w:tcBorders>
              <w:top w:val="single" w:sz="8" w:color="00A3E0"/>
            </w:tcBorders>
          </w:tcPr>
          <w:p>
            <w:pPr>
              <w:spacing w:after="0"/>
              <w:rPr>
                <w:sz w:val="24"/>
                <w:szCs w:val="24"/>
                <w:color w:val="auto"/>
              </w:rPr>
            </w:pPr>
          </w:p>
        </w:tc>
        <w:tc>
          <w:tcPr>
            <w:tcW w:w="460" w:type="dxa"/>
            <w:vAlign w:val="bottom"/>
            <w:tcBorders>
              <w:top w:val="single" w:sz="8" w:color="00A3E0"/>
            </w:tcBorders>
          </w:tcPr>
          <w:p>
            <w:pPr>
              <w:spacing w:after="0"/>
              <w:rPr>
                <w:sz w:val="24"/>
                <w:szCs w:val="24"/>
                <w:color w:val="auto"/>
              </w:rPr>
            </w:pPr>
          </w:p>
        </w:tc>
        <w:tc>
          <w:tcPr>
            <w:tcW w:w="80" w:type="dxa"/>
            <w:vAlign w:val="bottom"/>
            <w:tcBorders>
              <w:top w:val="single" w:sz="8" w:color="00A3E0"/>
            </w:tcBorders>
          </w:tcPr>
          <w:p>
            <w:pPr>
              <w:spacing w:after="0"/>
              <w:rPr>
                <w:sz w:val="24"/>
                <w:szCs w:val="24"/>
                <w:color w:val="auto"/>
              </w:rPr>
            </w:pPr>
          </w:p>
        </w:tc>
        <w:tc>
          <w:tcPr>
            <w:tcW w:w="200" w:type="dxa"/>
            <w:vAlign w:val="bottom"/>
            <w:tcBorders>
              <w:top w:val="single" w:sz="8" w:color="00A3E0"/>
            </w:tcBorders>
          </w:tcPr>
          <w:p>
            <w:pPr>
              <w:spacing w:after="0"/>
              <w:rPr>
                <w:sz w:val="24"/>
                <w:szCs w:val="24"/>
                <w:color w:val="auto"/>
              </w:rPr>
            </w:pPr>
          </w:p>
        </w:tc>
        <w:tc>
          <w:tcPr>
            <w:tcW w:w="120" w:type="dxa"/>
            <w:vAlign w:val="bottom"/>
            <w:tcBorders>
              <w:top w:val="single" w:sz="8" w:color="00A3E0"/>
            </w:tcBorders>
          </w:tcPr>
          <w:p>
            <w:pPr>
              <w:spacing w:after="0"/>
              <w:rPr>
                <w:sz w:val="24"/>
                <w:szCs w:val="24"/>
                <w:color w:val="auto"/>
              </w:rPr>
            </w:pPr>
          </w:p>
        </w:tc>
        <w:tc>
          <w:tcPr>
            <w:tcW w:w="120" w:type="dxa"/>
            <w:vAlign w:val="bottom"/>
            <w:tcBorders>
              <w:top w:val="single" w:sz="8" w:color="00A3E0"/>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81717"/>
              </w:rPr>
              <w:t>115</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gridSpan w:val="2"/>
            <w:shd w:val="clear" w:color="auto" w:fill="00A3E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13.</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Defaults, Dividend Arrearages and Delinquencies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115</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2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tcBorders>
              <w:right w:val="single" w:sz="8" w:color="00A3E0"/>
            </w:tcBorders>
            <w:gridSpan w:val="2"/>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60" w:type="dxa"/>
            <w:vAlign w:val="bottom"/>
            <w:tcBorders>
              <w:left w:val="single" w:sz="8" w:color="00A3E0"/>
              <w:right w:val="single" w:sz="8" w:color="00A3E0"/>
            </w:tcBorders>
            <w:gridSpan w:val="2"/>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760" w:type="dxa"/>
            <w:vAlign w:val="bottom"/>
            <w:tcBorders>
              <w:left w:val="single" w:sz="8" w:color="00A3E0"/>
            </w:tcBorders>
            <w:gridSpan w:val="2"/>
            <w:shd w:val="clear" w:color="auto" w:fill="00A3E0"/>
          </w:tcPr>
          <w:p>
            <w:pPr>
              <w:spacing w:after="0" w:line="20" w:lineRule="exact"/>
              <w:rPr>
                <w:sz w:val="1"/>
                <w:szCs w:val="1"/>
                <w:color w:val="auto"/>
              </w:rPr>
            </w:pPr>
          </w:p>
        </w:tc>
        <w:tc>
          <w:tcPr>
            <w:tcW w:w="360" w:type="dxa"/>
            <w:vAlign w:val="bottom"/>
            <w:shd w:val="clear" w:color="auto" w:fill="00A3E0"/>
          </w:tcPr>
          <w:p>
            <w:pPr>
              <w:spacing w:after="0" w:line="20" w:lineRule="exact"/>
              <w:rPr>
                <w:sz w:val="1"/>
                <w:szCs w:val="1"/>
                <w:color w:val="auto"/>
              </w:rPr>
            </w:pPr>
          </w:p>
        </w:tc>
        <w:tc>
          <w:tcPr>
            <w:tcW w:w="460" w:type="dxa"/>
            <w:vAlign w:val="bottom"/>
            <w:tcBorders>
              <w:left w:val="single" w:sz="8" w:color="00A3E0"/>
            </w:tcBorders>
            <w:shd w:val="clear" w:color="auto" w:fill="00A3E0"/>
          </w:tcPr>
          <w:p>
            <w:pPr>
              <w:spacing w:after="0" w:line="20" w:lineRule="exact"/>
              <w:rPr>
                <w:sz w:val="1"/>
                <w:szCs w:val="1"/>
                <w:color w:val="auto"/>
              </w:rPr>
            </w:pPr>
          </w:p>
        </w:tc>
        <w:tc>
          <w:tcPr>
            <w:tcW w:w="280" w:type="dxa"/>
            <w:vAlign w:val="bottom"/>
            <w:tcBorders>
              <w:left w:val="single" w:sz="8" w:color="00A3E0"/>
              <w:right w:val="single" w:sz="8" w:color="0000EE"/>
            </w:tcBorders>
            <w:gridSpan w:val="2"/>
            <w:shd w:val="clear" w:color="auto" w:fill="00A3E0"/>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14.</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Material Modifications to the Rights of Security Holders and Use of Proceeds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116</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2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tcBorders>
              <w:right w:val="single" w:sz="8" w:color="00A3E0"/>
            </w:tcBorders>
            <w:gridSpan w:val="2"/>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60" w:type="dxa"/>
            <w:vAlign w:val="bottom"/>
            <w:tcBorders>
              <w:left w:val="single" w:sz="8" w:color="00A3E0"/>
              <w:right w:val="single" w:sz="8" w:color="00A3E0"/>
            </w:tcBorders>
            <w:gridSpan w:val="2"/>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760" w:type="dxa"/>
            <w:vAlign w:val="bottom"/>
            <w:tcBorders>
              <w:left w:val="single" w:sz="8" w:color="00A3E0"/>
            </w:tcBorders>
            <w:gridSpan w:val="2"/>
            <w:shd w:val="clear" w:color="auto" w:fill="00A3E0"/>
          </w:tcPr>
          <w:p>
            <w:pPr>
              <w:spacing w:after="0" w:line="20" w:lineRule="exact"/>
              <w:rPr>
                <w:sz w:val="1"/>
                <w:szCs w:val="1"/>
                <w:color w:val="auto"/>
              </w:rPr>
            </w:pPr>
          </w:p>
        </w:tc>
        <w:tc>
          <w:tcPr>
            <w:tcW w:w="360" w:type="dxa"/>
            <w:vAlign w:val="bottom"/>
            <w:shd w:val="clear" w:color="auto" w:fill="00A3E0"/>
          </w:tcPr>
          <w:p>
            <w:pPr>
              <w:spacing w:after="0" w:line="20" w:lineRule="exact"/>
              <w:rPr>
                <w:sz w:val="1"/>
                <w:szCs w:val="1"/>
                <w:color w:val="auto"/>
              </w:rPr>
            </w:pPr>
          </w:p>
        </w:tc>
        <w:tc>
          <w:tcPr>
            <w:tcW w:w="460" w:type="dxa"/>
            <w:vAlign w:val="bottom"/>
            <w:tcBorders>
              <w:left w:val="single" w:sz="8" w:color="00A3E0"/>
            </w:tcBorders>
            <w:shd w:val="clear" w:color="auto" w:fill="00A3E0"/>
          </w:tcPr>
          <w:p>
            <w:pPr>
              <w:spacing w:after="0" w:line="20" w:lineRule="exact"/>
              <w:rPr>
                <w:sz w:val="1"/>
                <w:szCs w:val="1"/>
                <w:color w:val="auto"/>
              </w:rPr>
            </w:pPr>
          </w:p>
        </w:tc>
        <w:tc>
          <w:tcPr>
            <w:tcW w:w="1160" w:type="dxa"/>
            <w:vAlign w:val="bottom"/>
            <w:tcBorders>
              <w:left w:val="single" w:sz="8" w:color="00A3E0"/>
              <w:right w:val="single" w:sz="8" w:color="00A3E0"/>
            </w:tcBorders>
            <w:gridSpan w:val="7"/>
            <w:shd w:val="clear" w:color="auto" w:fill="00A3E0"/>
          </w:tcPr>
          <w:p>
            <w:pPr>
              <w:spacing w:after="0" w:line="20" w:lineRule="exact"/>
              <w:rPr>
                <w:sz w:val="1"/>
                <w:szCs w:val="1"/>
                <w:color w:val="auto"/>
              </w:rPr>
            </w:pPr>
          </w:p>
        </w:tc>
        <w:tc>
          <w:tcPr>
            <w:tcW w:w="460" w:type="dxa"/>
            <w:vAlign w:val="bottom"/>
            <w:shd w:val="clear" w:color="auto" w:fill="00A3E0"/>
          </w:tcPr>
          <w:p>
            <w:pPr>
              <w:spacing w:after="0" w:line="20" w:lineRule="exact"/>
              <w:rPr>
                <w:sz w:val="1"/>
                <w:szCs w:val="1"/>
                <w:color w:val="auto"/>
              </w:rPr>
            </w:pPr>
          </w:p>
        </w:tc>
        <w:tc>
          <w:tcPr>
            <w:tcW w:w="100" w:type="dxa"/>
            <w:vAlign w:val="bottom"/>
            <w:shd w:val="clear" w:color="auto" w:fill="00A3E0"/>
          </w:tcPr>
          <w:p>
            <w:pPr>
              <w:spacing w:after="0" w:line="20" w:lineRule="exact"/>
              <w:rPr>
                <w:sz w:val="1"/>
                <w:szCs w:val="1"/>
                <w:color w:val="auto"/>
              </w:rPr>
            </w:pPr>
          </w:p>
        </w:tc>
        <w:tc>
          <w:tcPr>
            <w:tcW w:w="560" w:type="dxa"/>
            <w:vAlign w:val="bottom"/>
            <w:shd w:val="clear" w:color="auto" w:fill="00A3E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15.</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Controls and Procedures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116</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220" w:type="dxa"/>
            <w:vAlign w:val="bottom"/>
            <w:tcBorders>
              <w:right w:val="single" w:sz="8" w:color="00A3E0"/>
            </w:tcBorders>
            <w:shd w:val="clear" w:color="auto" w:fill="00A3E0"/>
          </w:tcPr>
          <w:p>
            <w:pPr>
              <w:spacing w:after="0" w:line="20" w:lineRule="exact"/>
              <w:rPr>
                <w:sz w:val="1"/>
                <w:szCs w:val="1"/>
                <w:color w:val="auto"/>
              </w:rPr>
            </w:pPr>
          </w:p>
        </w:tc>
        <w:tc>
          <w:tcPr>
            <w:tcW w:w="280" w:type="dxa"/>
            <w:vAlign w:val="bottom"/>
            <w:tcBorders>
              <w:right w:val="single" w:sz="8" w:color="00A3E0"/>
            </w:tcBorders>
            <w:gridSpan w:val="2"/>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60" w:type="dxa"/>
            <w:vAlign w:val="bottom"/>
            <w:tcBorders>
              <w:left w:val="single" w:sz="8" w:color="00A3E0"/>
              <w:right w:val="single" w:sz="8" w:color="00A3E0"/>
            </w:tcBorders>
            <w:gridSpan w:val="2"/>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760" w:type="dxa"/>
            <w:vAlign w:val="bottom"/>
            <w:tcBorders>
              <w:left w:val="single" w:sz="8" w:color="00A3E0"/>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16.</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[Reserved]</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117</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220" w:type="dxa"/>
            <w:vAlign w:val="bottom"/>
            <w:tcBorders>
              <w:right w:val="single" w:sz="8" w:color="0000EE"/>
            </w:tcBorders>
            <w:shd w:val="clear" w:color="auto" w:fill="00A3E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16.A.</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Audit Committee Financial Expert</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117</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500" w:type="dxa"/>
            <w:vAlign w:val="bottom"/>
            <w:tcBorders>
              <w:right w:val="single" w:sz="8" w:color="00A3E0"/>
            </w:tcBorders>
            <w:gridSpan w:val="3"/>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60" w:type="dxa"/>
            <w:vAlign w:val="bottom"/>
            <w:tcBorders>
              <w:left w:val="single" w:sz="8" w:color="00A3E0"/>
              <w:right w:val="single" w:sz="8" w:color="00A3E0"/>
            </w:tcBorders>
            <w:gridSpan w:val="2"/>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760" w:type="dxa"/>
            <w:vAlign w:val="bottom"/>
            <w:tcBorders>
              <w:left w:val="single" w:sz="8" w:color="00A3E0"/>
            </w:tcBorders>
            <w:gridSpan w:val="2"/>
            <w:shd w:val="clear" w:color="auto" w:fill="00A3E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16.B.</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Code of Ethics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117</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500" w:type="dxa"/>
            <w:vAlign w:val="bottom"/>
            <w:tcBorders>
              <w:right w:val="single" w:sz="8" w:color="0000EE"/>
            </w:tcBorders>
            <w:gridSpan w:val="3"/>
            <w:shd w:val="clear" w:color="auto" w:fill="00A3E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16.C.</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Principal Accountant Fees and Services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117</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500" w:type="dxa"/>
            <w:vAlign w:val="bottom"/>
            <w:tcBorders>
              <w:right w:val="single" w:sz="8" w:color="00A3E0"/>
            </w:tcBorders>
            <w:gridSpan w:val="3"/>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60" w:type="dxa"/>
            <w:vAlign w:val="bottom"/>
            <w:tcBorders>
              <w:left w:val="single" w:sz="8" w:color="00A3E0"/>
              <w:right w:val="single" w:sz="8" w:color="00A3E0"/>
            </w:tcBorders>
            <w:gridSpan w:val="2"/>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1120" w:type="dxa"/>
            <w:vAlign w:val="bottom"/>
            <w:tcBorders>
              <w:left w:val="single" w:sz="8" w:color="00A3E0"/>
            </w:tcBorders>
            <w:gridSpan w:val="3"/>
            <w:shd w:val="clear" w:color="auto" w:fill="00A3E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16.D.</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Exemptions from the Listing Standards for Audit Committees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117</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500" w:type="dxa"/>
            <w:vAlign w:val="bottom"/>
            <w:tcBorders>
              <w:right w:val="single" w:sz="8" w:color="00A3E0"/>
            </w:tcBorders>
            <w:gridSpan w:val="3"/>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60" w:type="dxa"/>
            <w:vAlign w:val="bottom"/>
            <w:tcBorders>
              <w:left w:val="single" w:sz="8" w:color="00A3E0"/>
              <w:right w:val="single" w:sz="8" w:color="00A3E0"/>
            </w:tcBorders>
            <w:gridSpan w:val="2"/>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1580" w:type="dxa"/>
            <w:vAlign w:val="bottom"/>
            <w:tcBorders>
              <w:left w:val="single" w:sz="8" w:color="00A3E0"/>
            </w:tcBorders>
            <w:gridSpan w:val="4"/>
            <w:shd w:val="clear" w:color="auto" w:fill="00A3E0"/>
          </w:tcPr>
          <w:p>
            <w:pPr>
              <w:spacing w:after="0" w:line="20" w:lineRule="exact"/>
              <w:rPr>
                <w:sz w:val="1"/>
                <w:szCs w:val="1"/>
                <w:color w:val="auto"/>
              </w:rPr>
            </w:pPr>
          </w:p>
        </w:tc>
        <w:tc>
          <w:tcPr>
            <w:tcW w:w="1160" w:type="dxa"/>
            <w:vAlign w:val="bottom"/>
            <w:tcBorders>
              <w:left w:val="single" w:sz="8" w:color="00A3E0"/>
              <w:right w:val="single" w:sz="8" w:color="0000EE"/>
            </w:tcBorders>
            <w:gridSpan w:val="7"/>
            <w:shd w:val="clear" w:color="auto" w:fill="00A3E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16.E.</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Purchases of Equity Securities by the Issuer and Affiliated Purchasers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117</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500" w:type="dxa"/>
            <w:vAlign w:val="bottom"/>
            <w:tcBorders>
              <w:right w:val="single" w:sz="8" w:color="00A3E0"/>
            </w:tcBorders>
            <w:gridSpan w:val="3"/>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60" w:type="dxa"/>
            <w:vAlign w:val="bottom"/>
            <w:tcBorders>
              <w:left w:val="single" w:sz="8" w:color="00A3E0"/>
              <w:right w:val="single" w:sz="8" w:color="00A3E0"/>
            </w:tcBorders>
            <w:gridSpan w:val="2"/>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1580" w:type="dxa"/>
            <w:vAlign w:val="bottom"/>
            <w:tcBorders>
              <w:left w:val="single" w:sz="8" w:color="00A3E0"/>
            </w:tcBorders>
            <w:gridSpan w:val="4"/>
            <w:shd w:val="clear" w:color="auto" w:fill="00A3E0"/>
          </w:tcPr>
          <w:p>
            <w:pPr>
              <w:spacing w:after="0" w:line="20" w:lineRule="exact"/>
              <w:rPr>
                <w:sz w:val="1"/>
                <w:szCs w:val="1"/>
                <w:color w:val="auto"/>
              </w:rPr>
            </w:pPr>
          </w:p>
        </w:tc>
        <w:tc>
          <w:tcPr>
            <w:tcW w:w="1620" w:type="dxa"/>
            <w:vAlign w:val="bottom"/>
            <w:tcBorders>
              <w:left w:val="single" w:sz="8" w:color="00A3E0"/>
            </w:tcBorders>
            <w:gridSpan w:val="8"/>
            <w:shd w:val="clear" w:color="auto" w:fill="00A3E0"/>
          </w:tcPr>
          <w:p>
            <w:pPr>
              <w:spacing w:after="0" w:line="20" w:lineRule="exact"/>
              <w:rPr>
                <w:sz w:val="1"/>
                <w:szCs w:val="1"/>
                <w:color w:val="auto"/>
              </w:rPr>
            </w:pPr>
          </w:p>
        </w:tc>
        <w:tc>
          <w:tcPr>
            <w:tcW w:w="100" w:type="dxa"/>
            <w:vAlign w:val="bottom"/>
            <w:shd w:val="clear" w:color="auto" w:fill="00A3E0"/>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16.F.</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Change in Registrant’s Certifying Accountant</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118</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500" w:type="dxa"/>
            <w:vAlign w:val="bottom"/>
            <w:tcBorders>
              <w:right w:val="single" w:sz="8" w:color="00A3E0"/>
            </w:tcBorders>
            <w:gridSpan w:val="3"/>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60" w:type="dxa"/>
            <w:vAlign w:val="bottom"/>
            <w:tcBorders>
              <w:left w:val="single" w:sz="8" w:color="00A3E0"/>
              <w:right w:val="single" w:sz="8" w:color="00A3E0"/>
            </w:tcBorders>
            <w:gridSpan w:val="2"/>
            <w:shd w:val="clear" w:color="auto" w:fill="00A3E0"/>
          </w:tcPr>
          <w:p>
            <w:pPr>
              <w:spacing w:after="0" w:line="20" w:lineRule="exact"/>
              <w:rPr>
                <w:sz w:val="1"/>
                <w:szCs w:val="1"/>
                <w:color w:val="auto"/>
              </w:rPr>
            </w:pPr>
          </w:p>
        </w:tc>
        <w:tc>
          <w:tcPr>
            <w:tcW w:w="80" w:type="dxa"/>
            <w:vAlign w:val="bottom"/>
            <w:tcBorders>
              <w:left w:val="single" w:sz="8" w:color="00A3E0"/>
            </w:tcBorders>
            <w:shd w:val="clear" w:color="auto" w:fill="00A3E0"/>
          </w:tcPr>
          <w:p>
            <w:pPr>
              <w:spacing w:after="0" w:line="20" w:lineRule="exact"/>
              <w:rPr>
                <w:sz w:val="1"/>
                <w:szCs w:val="1"/>
                <w:color w:val="auto"/>
              </w:rPr>
            </w:pPr>
          </w:p>
        </w:tc>
        <w:tc>
          <w:tcPr>
            <w:tcW w:w="1580" w:type="dxa"/>
            <w:vAlign w:val="bottom"/>
            <w:tcBorders>
              <w:left w:val="single" w:sz="8" w:color="00A3E0"/>
            </w:tcBorders>
            <w:gridSpan w:val="4"/>
            <w:shd w:val="clear" w:color="auto" w:fill="00A3E0"/>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16.G.</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Corporate Governance</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118</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500" w:type="dxa"/>
            <w:vAlign w:val="bottom"/>
            <w:tcBorders>
              <w:right w:val="single" w:sz="8" w:color="00A3E0"/>
            </w:tcBorders>
            <w:gridSpan w:val="3"/>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60" w:type="dxa"/>
            <w:vAlign w:val="bottom"/>
            <w:tcBorders>
              <w:left w:val="single" w:sz="8" w:color="00A3E0"/>
              <w:right w:val="single" w:sz="8" w:color="0000EE"/>
            </w:tcBorders>
            <w:gridSpan w:val="2"/>
            <w:shd w:val="clear" w:color="auto" w:fill="00A3E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1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16.H.</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Mine Safety Disclosure</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118</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500" w:type="dxa"/>
            <w:vAlign w:val="bottom"/>
            <w:tcBorders>
              <w:right w:val="single" w:sz="8" w:color="00A3E0"/>
            </w:tcBorders>
            <w:gridSpan w:val="3"/>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160" w:type="dxa"/>
            <w:vAlign w:val="bottom"/>
            <w:tcBorders>
              <w:left w:val="single" w:sz="8" w:color="00A3E0"/>
              <w:right w:val="single" w:sz="8" w:color="00A3E0"/>
            </w:tcBorders>
            <w:gridSpan w:val="2"/>
            <w:shd w:val="clear" w:color="auto" w:fill="00A3E0"/>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0" w:type="dxa"/>
            <w:vAlign w:val="bottom"/>
            <w:gridSpan w:val="1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16.I.</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Disclosure Regarding Foreign Jurisdictions that Prevent Inspections.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118</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500" w:type="dxa"/>
            <w:vAlign w:val="bottom"/>
            <w:tcBorders>
              <w:right w:val="single" w:sz="8" w:color="00A3E0"/>
            </w:tcBorders>
            <w:gridSpan w:val="3"/>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240" w:type="dxa"/>
            <w:vAlign w:val="bottom"/>
            <w:tcBorders>
              <w:left w:val="single" w:sz="8" w:color="00A3E0"/>
            </w:tcBorders>
            <w:gridSpan w:val="3"/>
            <w:shd w:val="clear" w:color="auto" w:fill="00A3E0"/>
          </w:tcPr>
          <w:p>
            <w:pPr>
              <w:spacing w:after="0" w:line="20" w:lineRule="exact"/>
              <w:rPr>
                <w:sz w:val="1"/>
                <w:szCs w:val="1"/>
                <w:color w:val="auto"/>
              </w:rPr>
            </w:pPr>
          </w:p>
        </w:tc>
        <w:tc>
          <w:tcPr>
            <w:tcW w:w="3200" w:type="dxa"/>
            <w:vAlign w:val="bottom"/>
            <w:tcBorders>
              <w:left w:val="single" w:sz="8" w:color="00A3E0"/>
            </w:tcBorders>
            <w:gridSpan w:val="12"/>
            <w:shd w:val="clear" w:color="auto" w:fill="00A3E0"/>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16.J.</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Insider Trading Policies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119</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500" w:type="dxa"/>
            <w:vAlign w:val="bottom"/>
            <w:tcBorders>
              <w:right w:val="single" w:sz="8" w:color="00A3E0"/>
            </w:tcBorders>
            <w:gridSpan w:val="3"/>
            <w:shd w:val="clear" w:color="auto" w:fill="00A3E0"/>
          </w:tcPr>
          <w:p>
            <w:pPr>
              <w:spacing w:after="0" w:line="20" w:lineRule="exact"/>
              <w:rPr>
                <w:sz w:val="1"/>
                <w:szCs w:val="1"/>
                <w:color w:val="auto"/>
              </w:rPr>
            </w:pPr>
          </w:p>
        </w:tc>
        <w:tc>
          <w:tcPr>
            <w:tcW w:w="400" w:type="dxa"/>
            <w:vAlign w:val="bottom"/>
            <w:gridSpan w:val="2"/>
            <w:shd w:val="clear" w:color="auto" w:fill="00A3E0"/>
          </w:tcPr>
          <w:p>
            <w:pPr>
              <w:spacing w:after="0" w:line="20" w:lineRule="exact"/>
              <w:rPr>
                <w:sz w:val="1"/>
                <w:szCs w:val="1"/>
                <w:color w:val="auto"/>
              </w:rPr>
            </w:pPr>
          </w:p>
        </w:tc>
        <w:tc>
          <w:tcPr>
            <w:tcW w:w="240" w:type="dxa"/>
            <w:vAlign w:val="bottom"/>
            <w:tcBorders>
              <w:left w:val="single" w:sz="8" w:color="00A3E0"/>
            </w:tcBorders>
            <w:gridSpan w:val="3"/>
            <w:shd w:val="clear" w:color="auto" w:fill="00A3E0"/>
          </w:tcPr>
          <w:p>
            <w:pPr>
              <w:spacing w:after="0" w:line="20" w:lineRule="exact"/>
              <w:rPr>
                <w:sz w:val="1"/>
                <w:szCs w:val="1"/>
                <w:color w:val="auto"/>
              </w:rPr>
            </w:pPr>
          </w:p>
        </w:tc>
        <w:tc>
          <w:tcPr>
            <w:tcW w:w="6880" w:type="dxa"/>
            <w:vAlign w:val="bottom"/>
            <w:gridSpan w:val="1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16.K.</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Cybersecurity</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119</w:t>
            </w:r>
          </w:p>
        </w:tc>
        <w:tc>
          <w:tcPr>
            <w:tcW w:w="0" w:type="dxa"/>
            <w:vAlign w:val="bottom"/>
          </w:tcPr>
          <w:p>
            <w:pPr>
              <w:spacing w:after="0"/>
              <w:rPr>
                <w:sz w:val="1"/>
                <w:szCs w:val="1"/>
                <w:color w:val="auto"/>
              </w:rPr>
            </w:pPr>
          </w:p>
        </w:tc>
      </w:tr>
      <w:tr>
        <w:trPr>
          <w:trHeight w:val="412"/>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00A3E0"/>
              </w:rPr>
              <w:t>Part III</w:t>
            </w:r>
          </w:p>
        </w:tc>
        <w:tc>
          <w:tcPr>
            <w:tcW w:w="580" w:type="dxa"/>
            <w:vAlign w:val="bottom"/>
            <w:tcBorders>
              <w:top w:val="single" w:sz="8" w:color="00A3E0"/>
            </w:tcBorders>
          </w:tcPr>
          <w:p>
            <w:pPr>
              <w:spacing w:after="0"/>
              <w:rPr>
                <w:sz w:val="24"/>
                <w:szCs w:val="24"/>
                <w:color w:val="auto"/>
              </w:rPr>
            </w:pPr>
          </w:p>
        </w:tc>
        <w:tc>
          <w:tcPr>
            <w:tcW w:w="220" w:type="dxa"/>
            <w:vAlign w:val="bottom"/>
            <w:tcBorders>
              <w:top w:val="single" w:sz="8" w:color="00A3E0"/>
            </w:tcBorders>
          </w:tcPr>
          <w:p>
            <w:pPr>
              <w:spacing w:after="0"/>
              <w:rPr>
                <w:sz w:val="24"/>
                <w:szCs w:val="24"/>
                <w:color w:val="auto"/>
              </w:rPr>
            </w:pPr>
          </w:p>
        </w:tc>
        <w:tc>
          <w:tcPr>
            <w:tcW w:w="40" w:type="dxa"/>
            <w:vAlign w:val="bottom"/>
            <w:tcBorders>
              <w:top w:val="single" w:sz="8" w:color="00A3E0"/>
            </w:tcBorders>
          </w:tcPr>
          <w:p>
            <w:pPr>
              <w:spacing w:after="0"/>
              <w:rPr>
                <w:sz w:val="24"/>
                <w:szCs w:val="24"/>
                <w:color w:val="auto"/>
              </w:rPr>
            </w:pPr>
          </w:p>
        </w:tc>
        <w:tc>
          <w:tcPr>
            <w:tcW w:w="240" w:type="dxa"/>
            <w:vAlign w:val="bottom"/>
            <w:tcBorders>
              <w:top w:val="single" w:sz="8" w:color="00A3E0"/>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81717"/>
              </w:rPr>
              <w:t>120</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gridSpan w:val="3"/>
            <w:shd w:val="clear" w:color="auto" w:fill="00A3E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7120" w:type="dxa"/>
            <w:vAlign w:val="bottom"/>
            <w:gridSpan w:val="18"/>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17.</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Financial Statements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120</w:t>
            </w:r>
          </w:p>
        </w:tc>
        <w:tc>
          <w:tcPr>
            <w:tcW w:w="0" w:type="dxa"/>
            <w:vAlign w:val="bottom"/>
          </w:tcPr>
          <w:p>
            <w:pPr>
              <w:spacing w:after="0"/>
              <w:rPr>
                <w:sz w:val="1"/>
                <w:szCs w:val="1"/>
                <w:color w:val="auto"/>
              </w:rPr>
            </w:pPr>
          </w:p>
        </w:tc>
      </w:tr>
      <w:tr>
        <w:trPr>
          <w:trHeight w:val="20"/>
        </w:trPr>
        <w:tc>
          <w:tcPr>
            <w:tcW w:w="1360" w:type="dxa"/>
            <w:vAlign w:val="bottom"/>
            <w:tcBorders>
              <w:right w:val="single" w:sz="8" w:color="0000EE"/>
            </w:tcBorders>
            <w:gridSpan w:val="5"/>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900" w:type="dxa"/>
            <w:vAlign w:val="bottom"/>
            <w:gridSpan w:val="5"/>
            <w:shd w:val="clear" w:color="auto" w:fill="00A3E0"/>
          </w:tcPr>
          <w:p>
            <w:pPr>
              <w:spacing w:after="0" w:line="20" w:lineRule="exact"/>
              <w:rPr>
                <w:sz w:val="1"/>
                <w:szCs w:val="1"/>
                <w:color w:val="auto"/>
              </w:rPr>
            </w:pPr>
          </w:p>
        </w:tc>
        <w:tc>
          <w:tcPr>
            <w:tcW w:w="7120" w:type="dxa"/>
            <w:vAlign w:val="bottom"/>
            <w:tcBorders>
              <w:left w:val="single" w:sz="8" w:color="0000EE"/>
            </w:tcBorders>
            <w:gridSpan w:val="18"/>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18.</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Financial Statements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120</w:t>
            </w:r>
          </w:p>
        </w:tc>
        <w:tc>
          <w:tcPr>
            <w:tcW w:w="0" w:type="dxa"/>
            <w:vAlign w:val="bottom"/>
          </w:tcPr>
          <w:p>
            <w:pPr>
              <w:spacing w:after="0"/>
              <w:rPr>
                <w:sz w:val="1"/>
                <w:szCs w:val="1"/>
                <w:color w:val="auto"/>
              </w:rPr>
            </w:pPr>
          </w:p>
        </w:tc>
      </w:tr>
      <w:tr>
        <w:trPr>
          <w:trHeight w:val="20"/>
        </w:trPr>
        <w:tc>
          <w:tcPr>
            <w:tcW w:w="1360" w:type="dxa"/>
            <w:vAlign w:val="bottom"/>
            <w:tcBorders>
              <w:right w:val="single" w:sz="8" w:color="0000EE"/>
            </w:tcBorders>
            <w:gridSpan w:val="5"/>
          </w:tcPr>
          <w:p>
            <w:pPr>
              <w:spacing w:after="0" w:line="20" w:lineRule="exact"/>
              <w:rPr>
                <w:sz w:val="1"/>
                <w:szCs w:val="1"/>
                <w:color w:val="auto"/>
              </w:rPr>
            </w:pPr>
          </w:p>
        </w:tc>
        <w:tc>
          <w:tcPr>
            <w:tcW w:w="580" w:type="dxa"/>
            <w:vAlign w:val="bottom"/>
            <w:shd w:val="clear" w:color="auto" w:fill="00A3E0"/>
          </w:tcPr>
          <w:p>
            <w:pPr>
              <w:spacing w:after="0" w:line="20" w:lineRule="exact"/>
              <w:rPr>
                <w:sz w:val="1"/>
                <w:szCs w:val="1"/>
                <w:color w:val="auto"/>
              </w:rPr>
            </w:pPr>
          </w:p>
        </w:tc>
        <w:tc>
          <w:tcPr>
            <w:tcW w:w="900" w:type="dxa"/>
            <w:vAlign w:val="bottom"/>
            <w:gridSpan w:val="5"/>
            <w:shd w:val="clear" w:color="auto" w:fill="00A3E0"/>
          </w:tcPr>
          <w:p>
            <w:pPr>
              <w:spacing w:after="0" w:line="20" w:lineRule="exact"/>
              <w:rPr>
                <w:sz w:val="1"/>
                <w:szCs w:val="1"/>
                <w:color w:val="auto"/>
              </w:rPr>
            </w:pPr>
          </w:p>
        </w:tc>
        <w:tc>
          <w:tcPr>
            <w:tcW w:w="7120" w:type="dxa"/>
            <w:vAlign w:val="bottom"/>
            <w:gridSpan w:val="18"/>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181717"/>
              </w:rPr>
              <w:t>Item 19.</w:t>
            </w:r>
          </w:p>
        </w:tc>
        <w:tc>
          <w:tcPr>
            <w:tcW w:w="86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A3E0"/>
              </w:rPr>
              <w:t>Exhibits</w:t>
            </w:r>
          </w:p>
        </w:tc>
        <w:tc>
          <w:tcPr>
            <w:tcW w:w="1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181717"/>
              </w:rPr>
              <w:t>120</w:t>
            </w:r>
          </w:p>
        </w:tc>
        <w:tc>
          <w:tcPr>
            <w:tcW w:w="0" w:type="dxa"/>
            <w:vAlign w:val="bottom"/>
          </w:tcPr>
          <w:p>
            <w:pPr>
              <w:spacing w:after="0"/>
              <w:rPr>
                <w:sz w:val="1"/>
                <w:szCs w:val="1"/>
                <w:color w:val="auto"/>
              </w:rPr>
            </w:pPr>
          </w:p>
        </w:tc>
      </w:tr>
      <w:tr>
        <w:trPr>
          <w:trHeight w:val="1323"/>
        </w:trPr>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80" w:type="dxa"/>
            <w:vAlign w:val="bottom"/>
            <w:tcBorders>
              <w:top w:val="single" w:sz="8" w:color="00A3E0"/>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ind w:left="490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Except where the context otherwise indicates and for the purpose of this annual report only:</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the American depositary shares, each two ADSs representing one of our Class A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 to the People’s Republic of China, and only in the context of describing PRC laws, regulations and other legal or tax matters in this annual report, excludes Taiwan, Hong Kong and Macau;</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Class A ordinary shares, par value US$0.00005 per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Class B ordinary shares, par value US$0.00005 per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ordinary shares” refers to Class C ordinary shares, par value US$0.00005 per share;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billings” for a given period refers to the total amount of cash received for the sale of course packages net of the total amount of refunds in such period;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refers to Sunlands Technology Group, its subsidiaries, the consolidated variable interest entities and their respective subsidiaries;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students” for a given period refers to the total number of orders placed by students which remain in their respective service periods;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student enrollments” for a given period refers to the total number of orders placed by students that newly enroll in at least one course during that period (including those students that enroll and then terminate their enrollment with the Group and excluding those students that enroll in low-priced short courses designed to improve customer experience);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Class A ordinary shares, Class B ordinary shares and Class C ordinary shares, par value of US$0.00005 per share;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the People’s Republic of China;</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period” for a given student refers to the period covered by the contract between the Group and such student pursuant to which such student can attend the Group’s courses;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“student loan coverage ratio” is calculated by dividing the amount of tuitions financed by student loans by gross billings. For the purposes of calculating student loan coverage ratios for a particular period, (i) the amount of tuitions financed by student loans is the total value of orders financed by student loans less (a) the amount of loan refunds made during that period; and (b) the interest payments that the Group made to the credit providers on the loans during that period; and (ii) the value of an order financed by student loans included the amount of down payments made by a student; in 2025, the down payments made by students accounted for approximately 10.4% of the total value of orders financed by student loans;</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“U.S. dollars” refers to the legal currency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or “our” refers to Sunlands Technology Group, a Cayman Islands exempted company previously known as Sunlands Online Education Group, and its subsidiaries;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entities” or “VIEs” refers to Wuhan Xiaoyan Technology Co., Ltd., or Wuhan Xiaoyan, and Beijing Lingding Management Consulting Co., Ltd., or Beijing Lingding, for which we are considered the primary beneficiary of the such entities for accounting purposes through certain contractual arrangements. See “Item 4. Information on the Company—4.A. History and Development of the Company.”</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annual report contains information and statistics relating to China’s economy and its education industry derived from various publications issued by market research companies and PRC governmental entities, which have not been independently verified by us. The information in such sources may not be consistent with other information compiled in or outside China.</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involve risks and uncertainties.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“likely to” or other similar expressions. We have based these forward-looking statements largely on the Group’s current expectations and projections about future events and financial trends that we believe may affect Group’s financial condition, results of operations, business strategy and financial needs. These forward-looking statements include, but are not limited to, statements about:</w:t>
      </w:r>
    </w:p>
    <w:p>
      <w:pPr>
        <w:spacing w:after="0" w:line="72"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goals and growth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expectations regarding demand for and market acceptance of the Group’s brand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ability to retain and increase the Group’s student enrollments;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ability to offer new courses and educational content;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ability to engage, train and retain new faculty members;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future business development, results of operations and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ability to maintain and improve technology infrastructure necessary to operate the Group’s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online education industry in China;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the Group’s corporate structure, business and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 in China;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11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 to in this annual report and have filed as exhibits to this annual report completely and with the understanding that the Group’s actual future results may be materially different from and worse than what the Group expects. Other sections of this annual report discuss factors which could adversely impact the Group’s business and financial performance. Moreover, the Group operates in an evolving environment. New risk factors and uncertainties emerge from time to time and it is not possible for our management to predict all risk factors and uncertainties, nor can we assess the impact of all factors on the Group’s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any forward-looking statements, whether as a result of new information, future events or otherwise, after the date on which the statements are made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81717"/>
        </w:rPr>
        <w:t>ITEM 3. 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Sunlands Technology Group is a Cayman Islands holding company that does not conduct operations by itself. The Group’s operations in China are conducted through our PRC subsidiaries and the consolidated variable interest entities, or the VIEs. However, we and our direct and indirect subsidiaries do not, and it is virtually impossible for them to, have any equity interests in the VIEs in practice as current PRC laws and regulations restrict foreign investment in companies that engage in value-added telecommunication services. As a result, we depend on certain contractual arrangements with the VIEs to operate a significant portion of the Group’s business. This structure allows us to be considered the primary beneficiary of the VIEs for accounting purposes, which serves as the basis for consolidating the VIEs’ operating results in the Group’s financial statements under U.S. GAAP. The VIEs are owned by certain nominee shareholders, not us. Most of the nominee shareholders of the VIEs are also beneficial owners of our company. Investors in the ADSs are purchasing equity securities of a Cayman Islands holding company rather than equity securities issued by our subsidiaries and the VIEs. Investors who are non-PRC residents may never directly hold equity interests in the VIEs under current PRC laws and regulations. As used in this annual report, “we,” “us,” “our company” or “our” refers to Sunlands Technology Group and its subsidiaries. “Variable interest entities” or “VIEs” refers to Wuhan Xiaoyan Technology Co., Ltd., or Wuhan Xiaoyan, and Beijing Lingding Management Consulting Co., Ltd., or Beijing Lingding. The VIEs primarily conduct operations in China. The VIEs are consolidated for accounting purposes but are not entities in which we own equity.</w:t>
      </w:r>
    </w:p>
    <w:p>
      <w:pPr>
        <w:spacing w:after="0" w:line="8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chart illustrates the Group’s organizational structure, including our significant subsidiaries as “significant” is defined under Section 1-02 of Regulation S-X under the Securities Act and certain other subsidiaries and certain VIE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563235" cy="3411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63235"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————Equity interest</w:t>
      </w:r>
    </w:p>
    <w:p>
      <w:pPr>
        <w:spacing w:after="0" w:line="117" w:lineRule="exact"/>
        <w:rPr>
          <w:sz w:val="20"/>
          <w:szCs w:val="20"/>
          <w:color w:val="auto"/>
        </w:rPr>
      </w:pPr>
    </w:p>
    <w:p>
      <w:pPr>
        <w:ind w:left="380"/>
        <w:spacing w:after="0"/>
        <w:tabs>
          <w:tab w:leader="none" w:pos="1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Contractual arrangements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Group’s corporate structure involves unique risks to investors in the ADSs. In 2023, 2024 and 2025, the amount of revenues generated by the VIEs accounted for 63.4%, 83.9% and 48.5%, respectively, of the Group’s total net revenues. As of December 31, 2024 and 2025, the total assets of the VIEs, excluding amounts due from other consolidated entities in the Group, equaled to 21.4% and 3.3% of the Group’s consolidated total assets as of the same dates, respectively. As of the date of this annual report, to the best knowledge of our directors and management, the VIE agreements have not been tested in a court of law in the PRC. If the PRC government deems that our contractual arrangements with the VIEs do not comply with PRC regulatory restrictions on foreign investment in the relevant industries, or if these regulations or the interpretation of existing regulations change in the future, we could be subject to material penalties or be forced to relinquish our contractual interests in those operations or otherwise significantly change the Group’s corporate structure. We and our investors face significant uncertainty about potential future actions by the PRC government that could affect the legality and enforceability of the contractual arrangements with the VIEs and, consequently, significantly affect our ability to consolidate the financial results of the VIEs and the financial performance of the Group as a whole. The ADSs may decline in value or become worthless if we are unable to effectively enforce our contractual control rights over the assets and operations of the VIEs that conduct a significant portion of the Group’s business in China. See “Item 3. Key Information—3.D. Risk Factors—Risks Related to Our Corporate Structure” for detailed discussion.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and Corporate Structure</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are a Cayman Islands exempted company and currently conduct substantially all business operations in the PRC through our subsidiaries incorporated in the PRC and the contractual arrangements among our PRC subsidiaries and the VIEs. It is the VIEs that hold key operating licenses, provide services to customers, and enter into contracts with suppliers. We operate the Group’s business this way because PRC laws and regulations restrict foreign investment in companies that engage in value-added telecommunication services. These contractual arrangements entered into with the VIEs allow us to (i) direct the activities of the VIEs that most significantly impact the VIEs’ economic performance, (ii) receive substantially all of the economic benefits of the VIEs, and (iii) have an exclusive option to purchase all or part of the equity interests in the VIEs when and to the extent permitted by PRC law. The VIE structure is used to provide investors with exposure to foreign investment in China-based companies where PRC law restricts direct foreign investment in such operating companies in the PRC. These contractual arrangements include the operating agreements, equity pledge agreements, exclusive purchase option agreements, shareholder voting right trust agreements, loan agreements, and cooperation agreements, as the case may be. As a result of these contractual arrangements, we are considered the primary beneficiary of the VIEs for accounting purposes and are able to consolidate their operating results in the Group’s financial statements under U.S. GAAP.</w:t>
      </w:r>
    </w:p>
    <w:p>
      <w:pPr>
        <w:spacing w:after="0" w:line="84"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It is important to note that investors in the ADSs are purchasing equity securities of a Cayman Islands holding company rather than equity securities issued by our subsidiaries and the VIEs. More specifically, investors in the ADSs or our ordinary shares would not be holding any ownership interest, directly or indirectly, in the VIEs under current PRC laws and regulations as investors would only have the contractual relationship with the operating entities in the PRC. Neither such investors nor the holding company itself have an equity ownership in, direct investment in, or control of, through such ownership or investment, the VIEs. Investors who are non-PRC residents may never directly hold equity interests in the VIEs under current PRC laws and regulations. We do not have any equity interests in the VIEs who are owned by certain nominee shareholders. Any of such nominee shareholders could breach their contractual arrangements with us by, among other things, failing to conduct their operations in an acceptable manner or taking other actions that are detrimental to our interests. In the event that the shareholders of the VIEs breach the terms of these contractual arrangements and voluntarily liquidate the VIEs, or the VIEs declare bankruptcy and all or part of their assets become subject to liens or rights of third-party creditors, or are otherwise disposed of without our consent, we may be unable to conduct some or all business operations or otherwise benefit from the assets held by the VIEs and their shareholders, which could have a material adverse effect on the Group’s business, financial condition and results of operations. As a result, the contractual arrangements may be less effective than direct ownership, and we could face heightened challenges, risks and costs in enforcing these contractual arrangements due to legal uncertainties and jurisdictional limits, because there are uncertainties regarding the interpretation and application of current and future PRC laws, regulations, and rules relating to the legality and enforceability of these contractual arrangements. If the PRC government finds such agreements to be illegal, we could be subject to severe penalties or be forced to relinquish our interests in the VIEs.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Consolidated VIEs and Their Shareholders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Currently, the Group’s online education service business in China is operated partially through the VIEs and their subsidiaries due to PRC legal restrictions on foreign ownership in value-added telecommunication services and other internet related business, and we are considered the primary beneficiary of each of the VIEs for accounting purposes through a series of contractual arrangements.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August 2017 and March 2023, Wuhan Studyvip Online Education Co. Limited, or Wuhan Zhibo, a wholly-owned subsidiary of us, entered into a series of contractual arrangements with Beijing Yuanchilaxiang Education Technology Co., Ltd (formerly known as “Beijing Shangde Online Education Technology Co., Ltd.”), or Beijing Sunlands, as well as its shareholders and, where applicable, its operating subsidiaries pursuant to which we became the primary beneficiary of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Beijing Sunlands for accounting purposes. In December 2025, Wuhan Zhibo terminated those contractual arrangements with Beijing Sunlands and the other relevant parties, and Beijing Sunlands became a wholly-owned subsidiary of Wuhan Zhibo.</w:t>
      </w:r>
    </w:p>
    <w:p>
      <w:pPr>
        <w:spacing w:after="0" w:line="5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wholly-owned subsidiaries have entered into a series of contractual arrangements with the VIEs, their shareholders and operating subsidiaries, where applicable, respectively. Through such contractual agreements, our wholly-owned subsidiaries are able to (i) direct the activities of the VIEs that most significantly impact the VIEs’ economic performance, (ii) receive substantially all of the economic benefits of the VIEs, and (iii) have an exclusive option to purchase all or part of the equity interests in the VIEs when and to the extent permitted by PRC law. The Group is therefore considered the primary beneficiaries of the VIEs and their subsidiaries for accounting purposes and are able to consolidate their operating results in the Group’s financial statements under U.S. GAAP.</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sets forth the principal terms of the contractual arrangements entered into among our subsidiaries, the relevant VIEs and their respective shareholders and, where applicable, subsidiaries.</w:t>
      </w:r>
    </w:p>
    <w:p>
      <w:pPr>
        <w:spacing w:after="0" w:line="5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Exclusive Technical Consultation and Service Agreement. </w:t>
      </w:r>
      <w:r>
        <w:rPr>
          <w:rFonts w:ascii="Times New Roman" w:cs="Times New Roman" w:eastAsia="Times New Roman" w:hAnsi="Times New Roman"/>
          <w:sz w:val="18"/>
          <w:szCs w:val="18"/>
          <w:color w:val="auto"/>
        </w:rPr>
        <w:t>Under the exclusive technical consultation and service agreement among Wuhan Zhibo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VIEs, Wuhan Zhibo has the exclusive right to provide, among other things, technical consultation and services to the VIEs and their subsidiaries, and the VIEs and their subsidiaries agree to accept all the consultation and services provided by Wuhan Zhibo. Without Wuhan Zhibo’s prior written consent, the VIEs and their subsidiaries are prohibited from engaging any third party to provide any services contemplated by this agreement. In addition, Wuhan Zhibo has exclusive and proprietary ownership, rights and interests in any and all intellectual properties arising out of or created during the performance of this agreement. The VIEs and their subsidiaries agree to pay a quarterly service fee to Wuhan Zhibo at an aggregate amount of a certain percentage ranging from 10% to 100% of monthly revenue of the VIEs and their subsidiaries. Unless terminated by Wuhan Zhibo, this agreement will remain effective until the dissolution of the VIEs and their subsidiaries. Without Wuhan Zhibo’s prior written consent, the VIEs and their subsidiaries do not have the right to terminate this exclusive technical consultation and service agreement.</w:t>
      </w:r>
    </w:p>
    <w:p>
      <w:pPr>
        <w:spacing w:after="0" w:line="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Operation Agreement. </w:t>
      </w:r>
      <w:r>
        <w:rPr>
          <w:rFonts w:ascii="Times New Roman" w:cs="Times New Roman" w:eastAsia="Times New Roman" w:hAnsi="Times New Roman"/>
          <w:sz w:val="18"/>
          <w:szCs w:val="18"/>
          <w:color w:val="auto"/>
        </w:rPr>
        <w:t>Under the business operation agreement, each of the VIEs, their subsidiaries and their shareholders confirmed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agreed that, without Wuhan Zhibo’s prior written consent, they shall not make any transaction that has a material adverse effect on the assets, business, personnel, obligations, rights or operations of the VIEs and their subsidiaries, including but not limited to sale or purchase of any assets or rights exceeding RMB50,000, incurrence of any encumbrance on any of their assets, including intellectual property rights, in favor of a third party, amendment of their articles of association or business scope, or change of their normal operation procedures. The VIEs, their subsidiaries and their shareholders shall accept and execute opinions and instructions of Wuhan Zhibo in connection with the employee engagement and dismissal, daily operations and financial management systems. The shareholders of the VIEs shall elect or appoint the candidates recommended by Wuhan Zhibo as the VIEs’ respective directors and supervisors, and procure the appointment of the VIEs’ respective chairman of the board and senior management pursuant to Wuhan Zhibo’s designation. The agreement also provides that if any of the agreements among Wuhan Zhibo, the VIEs and their subsidiaries is terminated, Wuhan Zhibo is entitled to terminate all of the other agreements among itself, the VIEs and their subsidiaries. This agreement will remain binding until dissolution of the VIEs and all the subsidiaries of the VIEs.</w:t>
      </w:r>
    </w:p>
    <w:p>
      <w:pPr>
        <w:spacing w:after="0" w:line="7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Interest Pledge Agreement. </w:t>
      </w:r>
      <w:r>
        <w:rPr>
          <w:rFonts w:ascii="Times New Roman" w:cs="Times New Roman" w:eastAsia="Times New Roman" w:hAnsi="Times New Roman"/>
          <w:sz w:val="18"/>
          <w:szCs w:val="18"/>
          <w:color w:val="auto"/>
        </w:rPr>
        <w:t>Under the equity interest pledge agreement among Wuhan Zhibo, the shareholders of the VIEs and the VIEs,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of the VIEs pledged all of their respective equity interests in the VIEs to Wuhan Zhibo as security for performance of the obligations of the VIEs and their shareholders under the exclusive technical consultation and service agreement, the option agreement and the business operation agreement. The shareholders of the VIEs shall instruct respective VIEs not to distribute any dividends and shall not approve any profit distribution plan. If any of the specified events of default occurs, Wuhan Zhibo may exercise the right to enforce the pledges after giving a notice of default to the shareholders of the VIEs. Wuhan Zhibo may assign any and all of its rights and obligations under the equity interest pledge agreement to its designee(s) at any time. The equity interest pledge agreement is binding on the shareholders of the VIEs and their successors.</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 Agreement. </w:t>
      </w:r>
      <w:r>
        <w:rPr>
          <w:rFonts w:ascii="Times New Roman" w:cs="Times New Roman" w:eastAsia="Times New Roman" w:hAnsi="Times New Roman"/>
          <w:sz w:val="18"/>
          <w:szCs w:val="18"/>
          <w:color w:val="auto"/>
        </w:rPr>
        <w:t>Pursuant to the option agreement among Wuhan Zhibo, the shareholders of the VIEs and the VIEs, each of the shareholders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irrevocably granted Wuhan Zhibo a right to purchase, or designate a third party to purchase, equity interests in the VIEs then held by each shareholder at once or at multiple times at any time in part or in whole at Wuhan Zhibo’s sole and absolute discretion to the extent permitted by PRC law. The shareholders of the VIEs shall promptly surrender all considerations they received from the exercise of the options to Wuhan Zhibo or the designated third party free of charge. Without Wuhan Zhibo’s prior written consent, the shareholders of the VIEs shall not, individually or collectively, make or procure the VIEs to make in any transaction or conduct that has a material adverse effect on the assets, liabilities, operations, equity and other legal rights of the VIEs. Without Wuhan Zhibo’s prior written consent, the VIEs shall not enter into any contract exceeding RMB50,000, except the contracts in the ordinary course of the business. The VIEs shall not be dissolved or liquidated without prior written consent by Wuhan Zhibo. The shareholders of the VIEs waive their rights of pre-emption in regard to the transfer of equity interest by any other shareholder of the VIEs to Wuhan Zhibo as instructed.</w:t>
      </w:r>
    </w:p>
    <w:p>
      <w:pPr>
        <w:spacing w:after="0" w:line="80"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Powers of Attorney. </w:t>
      </w:r>
      <w:r>
        <w:rPr>
          <w:rFonts w:ascii="Times New Roman" w:cs="Times New Roman" w:eastAsia="Times New Roman" w:hAnsi="Times New Roman"/>
          <w:sz w:val="18"/>
          <w:szCs w:val="18"/>
          <w:color w:val="auto"/>
        </w:rPr>
        <w:t>Pursuant to the powers of attorney executed by the shareholders of the VIEs, the shareholders of the VIEs each irrevocably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Wuhan Zhibo to act on their respective behalf as exclusive agent and attorney with</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respect to all rights of shareholders concerning all equity interests held by each of them in the VIEs, including but not limited to propose to convene shareholder meetings, accept any notice with respect to the convening and proceeding of the shareholder meeting, attend shareholder meetings, sign the shareholders resolutions on their behalf, exercise all the shareholder’s rights according to laws and regulations and the VIEs’ articles of association (including but not limited to voting rights and the sale transfer, pledge or dispose of all equity interests held in part or in whole) and designate and appoint on their respective behalf the president, directors, supervisors, chief executive officer, chief financial officer and other senior management members of the VIEs.</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in case where shareholders have spouses, the spouses of the shareholders of the VIEs also executed spousal consent letters to confirm that the equity interests of the VIEs are the own property of the shareholders and shall not constitute the jointly possessed property of the couples, and irrevocably waived any potential right or interest that may be granted by operation of applicable law in connection with the equity interests of the VIEs held by the shareholders.</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 result of the contractual arrangements above, our wholly-owned subsidiaries bear the economic risks and receive the economic benefits of the VIEs, hold the power in directing the significant activities of the VIEs, and are the primary beneficiary of the VIEs for accounting purposes. Therefore, we have consolidated the financial results of the VIEs and their subsidiaries in the Group’s consolidated financial statements.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the opinion of Tian Yuan Law Firm, our PRC legal counsel, (i) the contractual arrangements among our wholly-owned PRC subsidiaries, the VIEs, the VIEs’ respective shareholders and the VIEs’ respective subsidiaries are valid, binding and enforceable under the PRC laws and regulations currently in effect; and (ii) the ownership structures of the VIEs and our WFOEs under the contractual arrangements aforesaid currently are not in violation of applicable PRC laws and regulations currently in effect.</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However, these contractual arrangements may not be as effective in providing control as direct ownership. There are uncertainties regarding the interpretation and application of current or future PRC laws and regulations. Accordingly, Chinese regulatory authorities may take a view that is contrary to the opinion of our PRC legal counsel. For a description of the risks related to our corporate structure, please see “Item 3. Key Information—3.D. Risk Factors—Risks Related to Our Corporate Structure.”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and Approvals</w:t>
      </w:r>
    </w:p>
    <w:p>
      <w:pPr>
        <w:spacing w:after="0" w:line="22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As advised by Tian Yuan Law Firm, our PRC legal counsel, except for the filings associated with our mobile apps under Notice on the Filing of Mobile Internet Apps, we believe our PRC subsidiaries and the VIEs have obtained all licenses and approvals explicitly required and necessary for the Group’s operations in China; however, a number of the Group’s operating entities currently do not hold certain licenses and approvals or complete certain regulatory filings which are not explicitly required under the current PRC laws and regulations to date for their business operations but may be required in the future if the PRC regulatory authorities change their views as to the interpretation and implementation of such laws and regulations. To the extent such licenses, approvals or filings are required, the Group’s failure to secure such licenses, permits or filings in a timely manner, or at all, could have a material adverse impact on its business operations. These licenses, approvals or filings include the filings associated with our mobile apps under the Opinions on Guiding and Regulating the Orderly and Healthy Development of Educational Mobile Apps, the Private School Operating Permit, the License for Online Transmission of Audio-Visual Programs, the Internet Publishing License, the Value-Added Telecommunications Business Operating License, the License for the Production and Operation of Radio and Television Program, the Internet News Information License, the Publication License, and the filing as a live-streaming platform. For details, see “Item 3. Key Information—3.D. Risk Factors—Risks Related to the Group’s Business—The Group faces risks associated with the lack of a private school operating permit for online education services as well as uncertainties surrounding PRC laws and regulations governing the education industry in general, including the Law for Promoting Private Education and its Implementation Rules,” “Item 3. Key Information —3.D. Risk Factors—Risks Related to the Group’s Business—The Group faces regulatory risks and uncertainties with respect to the licensing requirement for the online transmission of internet audio-visual programs,” “Item 3. Key Information—3.D. Risk Factors—Risks Related to the Group’s Business—The failure to obtain and maintain other approvals, licenses, permits or filings applicable to the Group’s business could have a material adverse impact on the Group’s business, financial conditions and results of operations,” and “Item 3. Key Information—3.D. Risk Factors—Risks Related to the Group’s Business—The Group is subject to a variety of laws and other obligations regarding data protection, and any failure to comply with applicable laws and obligations could have a material adverse effect on the Group’s business, financial condition and results of operations.”</w:t>
      </w:r>
    </w:p>
    <w:p>
      <w:pPr>
        <w:spacing w:after="0" w:line="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list of licenses and approvals, subject to further renewal, that our PRC subsidiaries and the VIEs are explicitly required to obtain and necessary to carry out the Group’s operations in China as of the date of this annual report and none of such licenses and approvals obtained had been denied or rescinded.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 w:type="dxa"/>
            <w:vAlign w:val="bottom"/>
          </w:tcPr>
          <w:p>
            <w:pPr>
              <w:spacing w:after="0"/>
              <w:rPr>
                <w:sz w:val="21"/>
                <w:szCs w:val="21"/>
                <w:color w:val="auto"/>
              </w:rPr>
            </w:pP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200" w:type="dxa"/>
            <w:vAlign w:val="bottom"/>
          </w:tcPr>
          <w:p>
            <w:pPr>
              <w:spacing w:after="0"/>
              <w:rPr>
                <w:sz w:val="21"/>
                <w:szCs w:val="21"/>
                <w:color w:val="auto"/>
              </w:rPr>
            </w:pP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Entity Holding the License</w:t>
            </w:r>
          </w:p>
        </w:tc>
        <w:tc>
          <w:tcPr>
            <w:tcW w:w="200" w:type="dxa"/>
            <w:vAlign w:val="bottom"/>
          </w:tcPr>
          <w:p>
            <w:pPr>
              <w:spacing w:after="0"/>
              <w:rPr>
                <w:sz w:val="21"/>
                <w:szCs w:val="21"/>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00" w:type="dxa"/>
            <w:vAlign w:val="bottom"/>
          </w:tcPr>
          <w:p>
            <w:pPr>
              <w:spacing w:after="0"/>
              <w:rPr>
                <w:sz w:val="21"/>
                <w:szCs w:val="21"/>
                <w:color w:val="auto"/>
              </w:rPr>
            </w:pPr>
          </w:p>
        </w:tc>
      </w:tr>
      <w:tr>
        <w:trPr>
          <w:trHeight w:val="414"/>
        </w:trPr>
        <w:tc>
          <w:tcPr>
            <w:tcW w:w="1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Value-added telecommunications business license (ICP certificate)</w:t>
            </w:r>
          </w:p>
        </w:tc>
        <w:tc>
          <w:tcPr>
            <w:tcW w:w="20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Beijing Odysseus Education Technology Co., Ltd. (Subsidiary</w:t>
            </w:r>
          </w:p>
        </w:tc>
        <w:tc>
          <w:tcPr>
            <w:tcW w:w="2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Obtained</w:t>
            </w:r>
          </w:p>
        </w:tc>
      </w:tr>
      <w:tr>
        <w:trPr>
          <w:trHeight w:val="234"/>
        </w:trPr>
        <w:tc>
          <w:tcPr>
            <w:tcW w:w="1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of a VIE)</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0"/>
        </w:trPr>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820" w:type="dxa"/>
            <w:vAlign w:val="bottom"/>
            <w:gridSpan w:val="2"/>
          </w:tcPr>
          <w:p>
            <w:pPr>
              <w:jc w:val="right"/>
              <w:ind w:right="4030"/>
              <w:spacing w:after="0"/>
              <w:rPr>
                <w:sz w:val="20"/>
                <w:szCs w:val="20"/>
                <w:color w:val="auto"/>
              </w:rPr>
            </w:pPr>
            <w:r>
              <w:rPr>
                <w:rFonts w:ascii="Times New Roman" w:cs="Times New Roman" w:eastAsia="Times New Roman" w:hAnsi="Times New Roman"/>
                <w:sz w:val="13"/>
                <w:szCs w:val="13"/>
                <w:color w:val="181717"/>
              </w:rPr>
              <w:t>6</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2"/>
        </w:trPr>
        <w:tc>
          <w:tcPr>
            <w:tcW w:w="10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Beijing Yuanmashijie Technology Co., Ltd. (Subsidiary of a</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VIE)</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0" w:type="dxa"/>
            <w:vAlign w:val="bottom"/>
          </w:tcPr>
          <w:p>
            <w:pPr>
              <w:spacing w:after="0"/>
              <w:rPr>
                <w:sz w:val="24"/>
                <w:szCs w:val="24"/>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Hubei Fangtang Technology Co., Ltd. (formerly known as</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Wuhan Fangtang Technology Co., Ltd.) (Subsidiary of a VIE)</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0" w:type="dxa"/>
            <w:vAlign w:val="bottom"/>
          </w:tcPr>
          <w:p>
            <w:pPr>
              <w:spacing w:after="0"/>
              <w:rPr>
                <w:sz w:val="24"/>
                <w:szCs w:val="24"/>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Beijing Zhiziyuanshui Education Technology Co., Ltd.</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(Subsidiary of a VIE)</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0" w:type="dxa"/>
            <w:vAlign w:val="bottom"/>
          </w:tcPr>
          <w:p>
            <w:pPr>
              <w:spacing w:after="0"/>
              <w:rPr>
                <w:sz w:val="24"/>
                <w:szCs w:val="24"/>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Wuhan Guanshu Culture Development Co., Ltd. (Subsidiary of</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 VIE)</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4"/>
                <w:szCs w:val="24"/>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Wuhan Youshi Technology Co., Ltd. (Subsidiary of a VIE)</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4"/>
                <w:szCs w:val="24"/>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Wuhan Lexueyun Technology Co., Ltd. (Subsidiary of a VIE)</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414"/>
        </w:trPr>
        <w:tc>
          <w:tcPr>
            <w:tcW w:w="4000" w:type="dxa"/>
            <w:vAlign w:val="bottom"/>
          </w:tcPr>
          <w:p>
            <w:pPr>
              <w:spacing w:after="0"/>
              <w:rPr>
                <w:sz w:val="24"/>
                <w:szCs w:val="24"/>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Beijing Yangfan Changchun Education Technology Co., Ltd.</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(Subsidiary of a VIE)</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0" w:type="dxa"/>
            <w:vAlign w:val="bottom"/>
          </w:tcPr>
          <w:p>
            <w:pPr>
              <w:spacing w:after="0"/>
              <w:rPr>
                <w:sz w:val="24"/>
                <w:szCs w:val="24"/>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Hubei Houduan Yuanli Technology Co., Ltd. (formerly known</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as Wuhan Houduan Yuanli Technology Co., Ltd.) (Subsidiary</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of a VIE)</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0" w:type="dxa"/>
            <w:vAlign w:val="bottom"/>
          </w:tcPr>
          <w:p>
            <w:pPr>
              <w:spacing w:after="0"/>
              <w:rPr>
                <w:sz w:val="24"/>
                <w:szCs w:val="24"/>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Beijing Shangkaotong Online Education Technology Co., Ltd.</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(Subsidiary of a VIE)</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0" w:type="dxa"/>
            <w:vAlign w:val="bottom"/>
          </w:tcPr>
          <w:p>
            <w:pPr>
              <w:spacing w:after="0"/>
              <w:rPr>
                <w:sz w:val="24"/>
                <w:szCs w:val="24"/>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Xiangyang Shufan Education Technology Co., Ltd. (formerly</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known as Shufan Education (Wuhan) Co., Ltd.) (Subsidiary of</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 VIE)</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Publication business operating license</w:t>
            </w: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Hubei Zhidao Online Education Technology Co., Ltd., or</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Wuhan Shangde (PRC subsidiary)</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0" w:type="dxa"/>
            <w:vAlign w:val="bottom"/>
          </w:tcPr>
          <w:p>
            <w:pPr>
              <w:spacing w:after="0"/>
              <w:rPr>
                <w:sz w:val="24"/>
                <w:szCs w:val="24"/>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Hubei Fangtang Technology Co., Ltd. (formerly known as</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Wuhan Fangtang Technology Co., Ltd.) (Subsidiary of a VIE)</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4"/>
                <w:szCs w:val="24"/>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Wuhan Xiaoyan Technology Co., Ltd. (a non-significant VIE)</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414"/>
        </w:trPr>
        <w:tc>
          <w:tcPr>
            <w:tcW w:w="4000" w:type="dxa"/>
            <w:vAlign w:val="bottom"/>
          </w:tcPr>
          <w:p>
            <w:pPr>
              <w:spacing w:after="0"/>
              <w:rPr>
                <w:sz w:val="24"/>
                <w:szCs w:val="24"/>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Beijing Feibian Education Technology Co., Ltd. (PRC</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subsidiary)</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0" w:type="dxa"/>
            <w:vAlign w:val="bottom"/>
          </w:tcPr>
          <w:p>
            <w:pPr>
              <w:spacing w:after="0"/>
              <w:rPr>
                <w:sz w:val="24"/>
                <w:szCs w:val="24"/>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Chengdu Xin Ketang Culture Transmission Co., Ltd.</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(Subsidiary of a VIE)</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0" w:type="dxa"/>
            <w:vAlign w:val="bottom"/>
          </w:tcPr>
          <w:p>
            <w:pPr>
              <w:spacing w:after="0"/>
              <w:rPr>
                <w:sz w:val="24"/>
                <w:szCs w:val="24"/>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Beijing Zhiziyuanshui Education Technology Co., Ltd.</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(Subsidiary of a VIE)</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000" w:type="dxa"/>
            <w:vAlign w:val="bottom"/>
          </w:tcPr>
          <w:p>
            <w:pPr>
              <w:spacing w:after="0"/>
              <w:rPr>
                <w:sz w:val="24"/>
                <w:szCs w:val="24"/>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Hubei Shufan Education Technology Co., Ltd. (formerly</w:t>
            </w:r>
          </w:p>
        </w:tc>
        <w:tc>
          <w:tcPr>
            <w:tcW w:w="1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126"/>
        </w:trPr>
        <w:tc>
          <w:tcPr>
            <w:tcW w:w="4000" w:type="dxa"/>
            <w:vAlign w:val="bottom"/>
          </w:tcPr>
          <w:p>
            <w:pPr>
              <w:spacing w:after="0"/>
              <w:rPr>
                <w:sz w:val="10"/>
                <w:szCs w:val="10"/>
                <w:color w:val="auto"/>
              </w:rPr>
            </w:pPr>
          </w:p>
        </w:tc>
        <w:tc>
          <w:tcPr>
            <w:tcW w:w="584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color w:val="auto"/>
              </w:rPr>
              <w:t>known as Shufan Education (Wuhan) Co., Ltd. and Xiangyang</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00" w:type="dxa"/>
            <w:vAlign w:val="bottom"/>
          </w:tcPr>
          <w:p>
            <w:pPr>
              <w:spacing w:after="0"/>
              <w:rPr>
                <w:sz w:val="7"/>
                <w:szCs w:val="7"/>
                <w:color w:val="auto"/>
              </w:rPr>
            </w:pPr>
          </w:p>
        </w:tc>
        <w:tc>
          <w:tcPr>
            <w:tcW w:w="584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Shufan Education Technology Co., Ltd.) (Subsidiary of a VIE)</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000" w:type="dxa"/>
            <w:vAlign w:val="bottom"/>
          </w:tcPr>
          <w:p>
            <w:pPr>
              <w:spacing w:after="0"/>
              <w:rPr>
                <w:sz w:val="24"/>
                <w:szCs w:val="24"/>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Wuhan Guanshu Culture Development Co., Ltd. (Subsidiary of</w:t>
            </w: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Obtained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 VIE)</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0"/>
        </w:trPr>
        <w:tc>
          <w:tcPr>
            <w:tcW w:w="4000" w:type="dxa"/>
            <w:vAlign w:val="bottom"/>
          </w:tcPr>
          <w:p>
            <w:pPr>
              <w:spacing w:after="0"/>
              <w:rPr>
                <w:sz w:val="24"/>
                <w:szCs w:val="24"/>
                <w:color w:val="auto"/>
              </w:rPr>
            </w:pPr>
          </w:p>
        </w:tc>
        <w:tc>
          <w:tcPr>
            <w:tcW w:w="5840" w:type="dxa"/>
            <w:vAlign w:val="bottom"/>
          </w:tcPr>
          <w:p>
            <w:pPr>
              <w:ind w:left="1600"/>
              <w:spacing w:after="0"/>
              <w:rPr>
                <w:sz w:val="20"/>
                <w:szCs w:val="20"/>
                <w:color w:val="auto"/>
              </w:rPr>
            </w:pPr>
            <w:r>
              <w:rPr>
                <w:rFonts w:ascii="Times New Roman" w:cs="Times New Roman" w:eastAsia="Times New Roman" w:hAnsi="Times New Roman"/>
                <w:sz w:val="13"/>
                <w:szCs w:val="13"/>
                <w:color w:val="181717"/>
              </w:rPr>
              <w:t>7</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400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tbl>
      <w:tblPr>
        <w:tblLayout w:type="fixed"/>
        <w:tblInd w:w="10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Wuhan Youshi Technology Co., Ltd. (Subsidiary of a VIE)</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Obtained</w:t>
            </w:r>
          </w:p>
        </w:tc>
      </w:tr>
      <w:tr>
        <w:trPr>
          <w:trHeight w:val="432"/>
        </w:trPr>
        <w:tc>
          <w:tcPr>
            <w:tcW w:w="4920" w:type="dxa"/>
            <w:vAlign w:val="bottom"/>
          </w:tcPr>
          <w:p>
            <w:pPr>
              <w:spacing w:after="0"/>
              <w:rPr>
                <w:sz w:val="24"/>
                <w:szCs w:val="24"/>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Wuhan Lexueyun Technology Co., Ltd. (Subsidiary of a VIE)</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Obtained</w:t>
            </w:r>
          </w:p>
        </w:tc>
      </w:tr>
      <w:tr>
        <w:trPr>
          <w:trHeight w:val="414"/>
        </w:trPr>
        <w:tc>
          <w:tcPr>
            <w:tcW w:w="4920" w:type="dxa"/>
            <w:vAlign w:val="bottom"/>
          </w:tcPr>
          <w:p>
            <w:pPr>
              <w:spacing w:after="0"/>
              <w:rPr>
                <w:sz w:val="24"/>
                <w:szCs w:val="24"/>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Beijing Shangkaotong Online Education Technology Co., Ltd.</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Obtained</w:t>
            </w:r>
          </w:p>
        </w:tc>
      </w:tr>
      <w:tr>
        <w:trPr>
          <w:trHeight w:val="234"/>
        </w:trPr>
        <w:tc>
          <w:tcPr>
            <w:tcW w:w="49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(Subsidiary of a VIE)</w:t>
            </w:r>
          </w:p>
        </w:tc>
        <w:tc>
          <w:tcPr>
            <w:tcW w:w="800" w:type="dxa"/>
            <w:vAlign w:val="bottom"/>
          </w:tcPr>
          <w:p>
            <w:pPr>
              <w:spacing w:after="0"/>
              <w:rPr>
                <w:sz w:val="20"/>
                <w:szCs w:val="20"/>
                <w:color w:val="auto"/>
              </w:rPr>
            </w:pPr>
          </w:p>
        </w:tc>
      </w:tr>
      <w:tr>
        <w:trPr>
          <w:trHeight w:val="414"/>
        </w:trPr>
        <w:tc>
          <w:tcPr>
            <w:tcW w:w="4920" w:type="dxa"/>
            <w:vAlign w:val="bottom"/>
          </w:tcPr>
          <w:p>
            <w:pPr>
              <w:spacing w:after="0"/>
              <w:rPr>
                <w:sz w:val="24"/>
                <w:szCs w:val="24"/>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Beijing Yangfan Changchun Education Technology Co., Ltd.</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Obtained</w:t>
            </w:r>
          </w:p>
        </w:tc>
      </w:tr>
      <w:tr>
        <w:trPr>
          <w:trHeight w:val="234"/>
        </w:trPr>
        <w:tc>
          <w:tcPr>
            <w:tcW w:w="49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(Subsidiary of a VIE)</w:t>
            </w:r>
          </w:p>
        </w:tc>
        <w:tc>
          <w:tcPr>
            <w:tcW w:w="800" w:type="dxa"/>
            <w:vAlign w:val="bottom"/>
          </w:tcPr>
          <w:p>
            <w:pPr>
              <w:spacing w:after="0"/>
              <w:rPr>
                <w:sz w:val="20"/>
                <w:szCs w:val="20"/>
                <w:color w:val="auto"/>
              </w:rPr>
            </w:pPr>
          </w:p>
        </w:tc>
      </w:tr>
      <w:tr>
        <w:trPr>
          <w:trHeight w:val="432"/>
        </w:trPr>
        <w:tc>
          <w:tcPr>
            <w:tcW w:w="4920" w:type="dxa"/>
            <w:vAlign w:val="bottom"/>
          </w:tcPr>
          <w:p>
            <w:pPr>
              <w:spacing w:after="0"/>
              <w:rPr>
                <w:sz w:val="24"/>
                <w:szCs w:val="24"/>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Wuhan Yilisu Technology Co., Ltd. (Subsidiary of a VIE)</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Obtained</w:t>
            </w:r>
          </w:p>
        </w:tc>
      </w:tr>
      <w:tr>
        <w:trPr>
          <w:trHeight w:val="414"/>
        </w:trPr>
        <w:tc>
          <w:tcPr>
            <w:tcW w:w="4920" w:type="dxa"/>
            <w:vAlign w:val="bottom"/>
          </w:tcPr>
          <w:p>
            <w:pPr>
              <w:spacing w:after="0"/>
              <w:rPr>
                <w:sz w:val="24"/>
                <w:szCs w:val="24"/>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Hubei Houduan Yuanli Technology Co., Ltd. (formerly known</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Obtained</w:t>
            </w:r>
          </w:p>
        </w:tc>
      </w:tr>
      <w:tr>
        <w:trPr>
          <w:trHeight w:val="234"/>
        </w:trPr>
        <w:tc>
          <w:tcPr>
            <w:tcW w:w="49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Wuhan Houduan Yuanli Technology Co., Ltd.)</w:t>
            </w:r>
          </w:p>
        </w:tc>
        <w:tc>
          <w:tcPr>
            <w:tcW w:w="800" w:type="dxa"/>
            <w:vAlign w:val="bottom"/>
          </w:tcPr>
          <w:p>
            <w:pPr>
              <w:spacing w:after="0"/>
              <w:rPr>
                <w:sz w:val="20"/>
                <w:szCs w:val="20"/>
                <w:color w:val="auto"/>
              </w:rPr>
            </w:pPr>
          </w:p>
        </w:tc>
      </w:tr>
      <w:tr>
        <w:trPr>
          <w:trHeight w:val="414"/>
        </w:trPr>
        <w:tc>
          <w:tcPr>
            <w:tcW w:w="4920" w:type="dxa"/>
            <w:vAlign w:val="bottom"/>
          </w:tcPr>
          <w:p>
            <w:pPr>
              <w:spacing w:after="0"/>
              <w:rPr>
                <w:sz w:val="24"/>
                <w:szCs w:val="24"/>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Hangzhou Qingxuetang Stationery Co., Ltd. (Subsidiary of a</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Obtained</w:t>
            </w:r>
          </w:p>
        </w:tc>
      </w:tr>
      <w:tr>
        <w:trPr>
          <w:trHeight w:val="234"/>
        </w:trPr>
        <w:tc>
          <w:tcPr>
            <w:tcW w:w="49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VIE)</w:t>
            </w:r>
          </w:p>
        </w:tc>
        <w:tc>
          <w:tcPr>
            <w:tcW w:w="800" w:type="dxa"/>
            <w:vAlign w:val="bottom"/>
          </w:tcPr>
          <w:p>
            <w:pPr>
              <w:spacing w:after="0"/>
              <w:rPr>
                <w:sz w:val="20"/>
                <w:szCs w:val="20"/>
                <w:color w:val="auto"/>
              </w:rPr>
            </w:pPr>
          </w:p>
        </w:tc>
      </w:tr>
      <w:tr>
        <w:trPr>
          <w:trHeight w:val="414"/>
        </w:trPr>
        <w:tc>
          <w:tcPr>
            <w:tcW w:w="4920" w:type="dxa"/>
            <w:vAlign w:val="bottom"/>
          </w:tcPr>
          <w:p>
            <w:pPr>
              <w:spacing w:after="0"/>
              <w:rPr>
                <w:sz w:val="24"/>
                <w:szCs w:val="24"/>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Hubei Yuanji Online Technology Co., Ltd. (formerly known as</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Obtained</w:t>
            </w:r>
          </w:p>
        </w:tc>
      </w:tr>
      <w:tr>
        <w:trPr>
          <w:trHeight w:val="234"/>
        </w:trPr>
        <w:tc>
          <w:tcPr>
            <w:tcW w:w="49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Wuhan Yuanji Online Technology Co., Ltd.) (PRC Subsidiary)</w:t>
            </w:r>
          </w:p>
        </w:tc>
        <w:tc>
          <w:tcPr>
            <w:tcW w:w="800" w:type="dxa"/>
            <w:vAlign w:val="bottom"/>
          </w:tcPr>
          <w:p>
            <w:pPr>
              <w:spacing w:after="0"/>
              <w:rPr>
                <w:sz w:val="20"/>
                <w:szCs w:val="20"/>
                <w:color w:val="auto"/>
              </w:rPr>
            </w:pPr>
          </w:p>
        </w:tc>
      </w:tr>
      <w:tr>
        <w:trPr>
          <w:trHeight w:val="414"/>
        </w:trPr>
        <w:tc>
          <w:tcPr>
            <w:tcW w:w="4920" w:type="dxa"/>
            <w:vAlign w:val="bottom"/>
          </w:tcPr>
          <w:p>
            <w:pPr>
              <w:spacing w:after="0"/>
              <w:rPr>
                <w:sz w:val="24"/>
                <w:szCs w:val="24"/>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Beijing Yuanmashijie Technology Co., Ltd. (Subsidiary of a</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Obtained</w:t>
            </w:r>
          </w:p>
        </w:tc>
      </w:tr>
      <w:tr>
        <w:trPr>
          <w:trHeight w:val="234"/>
        </w:trPr>
        <w:tc>
          <w:tcPr>
            <w:tcW w:w="49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VIE)</w:t>
            </w:r>
          </w:p>
        </w:tc>
        <w:tc>
          <w:tcPr>
            <w:tcW w:w="800" w:type="dxa"/>
            <w:vAlign w:val="bottom"/>
          </w:tcPr>
          <w:p>
            <w:pPr>
              <w:spacing w:after="0"/>
              <w:rPr>
                <w:sz w:val="20"/>
                <w:szCs w:val="20"/>
                <w:color w:val="auto"/>
              </w:rPr>
            </w:pPr>
          </w:p>
        </w:tc>
      </w:tr>
      <w:tr>
        <w:trPr>
          <w:trHeight w:val="41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License for the Production and Operation of Radio and Television</w:t>
            </w: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Chengdu Xin Ketang Culture Transmission Co., Ltd.</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Obtained</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Program</w:t>
            </w: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(Subsidiary of a VIE)</w:t>
            </w:r>
          </w:p>
        </w:tc>
        <w:tc>
          <w:tcPr>
            <w:tcW w:w="800" w:type="dxa"/>
            <w:vAlign w:val="bottom"/>
          </w:tcPr>
          <w:p>
            <w:pPr>
              <w:spacing w:after="0"/>
              <w:rPr>
                <w:sz w:val="20"/>
                <w:szCs w:val="20"/>
                <w:color w:val="auto"/>
              </w:rPr>
            </w:pPr>
          </w:p>
        </w:tc>
      </w:tr>
      <w:tr>
        <w:trPr>
          <w:trHeight w:val="41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Food Business License</w:t>
            </w: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Hubei Houduan Yuanli Technology Co., Ltd. (formerly known</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Obtained</w:t>
            </w:r>
          </w:p>
        </w:tc>
      </w:tr>
      <w:tr>
        <w:trPr>
          <w:trHeight w:val="216"/>
        </w:trPr>
        <w:tc>
          <w:tcPr>
            <w:tcW w:w="49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Wuhan Houduan Yuanli Technology Co., Ltd.) (Subsidiary</w:t>
            </w:r>
          </w:p>
        </w:tc>
        <w:tc>
          <w:tcPr>
            <w:tcW w:w="80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a VIE)</w:t>
            </w:r>
          </w:p>
        </w:tc>
        <w:tc>
          <w:tcPr>
            <w:tcW w:w="800" w:type="dxa"/>
            <w:vAlign w:val="bottom"/>
          </w:tcPr>
          <w:p>
            <w:pPr>
              <w:spacing w:after="0"/>
              <w:rPr>
                <w:sz w:val="20"/>
                <w:szCs w:val="20"/>
                <w:color w:val="auto"/>
              </w:rPr>
            </w:pPr>
          </w:p>
        </w:tc>
      </w:tr>
      <w:tr>
        <w:trPr>
          <w:trHeight w:val="41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Travel Agency License</w:t>
            </w: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Beijing Fanghua International Tourism Co., Ltd. (formerly</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Obtained</w:t>
            </w:r>
          </w:p>
        </w:tc>
      </w:tr>
      <w:tr>
        <w:trPr>
          <w:trHeight w:val="216"/>
        </w:trPr>
        <w:tc>
          <w:tcPr>
            <w:tcW w:w="49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known as Beijing Xiangtutianxia International Tourist Co.,</w:t>
            </w:r>
          </w:p>
        </w:tc>
        <w:tc>
          <w:tcPr>
            <w:tcW w:w="80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Ltd.) (Subsidiary of a VIE)</w:t>
            </w:r>
          </w:p>
        </w:tc>
        <w:tc>
          <w:tcPr>
            <w:tcW w:w="800" w:type="dxa"/>
            <w:vAlign w:val="bottom"/>
          </w:tcPr>
          <w:p>
            <w:pPr>
              <w:spacing w:after="0"/>
              <w:rPr>
                <w:sz w:val="20"/>
                <w:szCs w:val="20"/>
                <w:color w:val="auto"/>
              </w:rPr>
            </w:pPr>
          </w:p>
        </w:tc>
      </w:tr>
      <w:tr>
        <w:trPr>
          <w:trHeight w:val="414"/>
        </w:trPr>
        <w:tc>
          <w:tcPr>
            <w:tcW w:w="4920" w:type="dxa"/>
            <w:vAlign w:val="bottom"/>
          </w:tcPr>
          <w:p>
            <w:pPr>
              <w:spacing w:after="0"/>
              <w:rPr>
                <w:sz w:val="24"/>
                <w:szCs w:val="24"/>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Beijing Zhiziyuanshui Education Technology Co., Ltd.</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Obtained</w:t>
            </w:r>
          </w:p>
        </w:tc>
      </w:tr>
      <w:tr>
        <w:trPr>
          <w:trHeight w:val="234"/>
        </w:trPr>
        <w:tc>
          <w:tcPr>
            <w:tcW w:w="49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(Subsidiary of a VIE)</w:t>
            </w:r>
          </w:p>
        </w:tc>
        <w:tc>
          <w:tcPr>
            <w:tcW w:w="800" w:type="dxa"/>
            <w:vAlign w:val="bottom"/>
          </w:tcPr>
          <w:p>
            <w:pPr>
              <w:spacing w:after="0"/>
              <w:rPr>
                <w:sz w:val="20"/>
                <w:szCs w:val="20"/>
                <w:color w:val="auto"/>
              </w:rPr>
            </w:pPr>
          </w:p>
        </w:tc>
      </w:tr>
      <w:tr>
        <w:trPr>
          <w:trHeight w:val="432"/>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Filing for Class II Medical Device Business Operation</w:t>
            </w: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Wuhan Yilisu Technology Co., Ltd. (Subsidiary of a VIE)</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Obtained</w:t>
            </w:r>
          </w:p>
        </w:tc>
      </w:tr>
      <w:tr>
        <w:trPr>
          <w:trHeight w:val="414"/>
        </w:trPr>
        <w:tc>
          <w:tcPr>
            <w:tcW w:w="4920" w:type="dxa"/>
            <w:vAlign w:val="bottom"/>
          </w:tcPr>
          <w:p>
            <w:pPr>
              <w:spacing w:after="0"/>
              <w:rPr>
                <w:sz w:val="24"/>
                <w:szCs w:val="24"/>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Hubei Houduan Yuanli Technology Co., Ltd. (Subsidiary of a</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Obtained</w:t>
            </w:r>
          </w:p>
        </w:tc>
      </w:tr>
      <w:tr>
        <w:trPr>
          <w:trHeight w:val="234"/>
        </w:trPr>
        <w:tc>
          <w:tcPr>
            <w:tcW w:w="4920" w:type="dxa"/>
            <w:vAlign w:val="bottom"/>
          </w:tcPr>
          <w:p>
            <w:pPr>
              <w:spacing w:after="0"/>
              <w:rPr>
                <w:sz w:val="20"/>
                <w:szCs w:val="20"/>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VIE)</w:t>
            </w:r>
          </w:p>
        </w:tc>
        <w:tc>
          <w:tcPr>
            <w:tcW w:w="800" w:type="dxa"/>
            <w:vAlign w:val="bottom"/>
          </w:tcPr>
          <w:p>
            <w:pPr>
              <w:spacing w:after="0"/>
              <w:rPr>
                <w:sz w:val="20"/>
                <w:szCs w:val="20"/>
                <w:color w:val="auto"/>
              </w:rPr>
            </w:pPr>
          </w:p>
        </w:tc>
      </w:tr>
    </w:tbl>
    <w:p>
      <w:pPr>
        <w:spacing w:after="0" w:line="19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Given the uncertainties of interpretation and implementation of relevant laws and regulations and the enforcement practice by relevant government authorities, the Group may be required to obtain additional licenses, permits, filings, registrations or approvals for business operations in the future. If the Group is found to be in violation of any existing or future PRC laws or regulations, or fails to obtain or maintain any of the required licenses, permits, filings, registrations or approvals, the relevant PRC regulatory authorities would have broad discretion to take action in dealing with such violations or failures. In addition, if the Group had inadvertently concluded that such licenses, approvals, permits, registrations or filings were not required, or if applicable laws, regulations or interpretations change in a way that requires the Group to obtain such licenses, approval, permits, registrations or filings in the future, the Group may be unable to obtain such necessary licenses, approvals, permits, registrations or filings in a timely manner, or at all, and such licenses, approvals, permits, registrations or filings may be rescinded even if obtained. Any such circumstance may subject the Group to fines and other regulatory, civil or criminal liabilities, and the Group may be ordered by the competent government authorities to suspend relevant operations, which will materially and adversely affect the Group’s business operation. For</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risks relating to licenses and approvals required for business operations in China, see “Item 3. Key Information—3.D. Risk Factors—Risks Related to the Group’s Business.”</w:t>
      </w:r>
    </w:p>
    <w:p>
      <w:pPr>
        <w:spacing w:after="0" w:line="5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advised by our PRC legal counsel, under the currently effective PRC laws and regulations, except as disclosed in “Item 3. Key Information—3.D. Risk Factors—Risks Related to the Group’s Business—The Group is subject to a variety of laws and other obligations regarding data protection, and any failure to comply with applicable laws and obligations could have a material adverse effect on the Group’s business, financial condition and results of operations,” Sunlands Technology Group, our subsidiaries and the VIEs are not subject to the permission requirements from the CAC with respect to business operations, based on the fact that, as of the date of this annual report, none of Sunlands Technology Group, our subsidiaries and the VIEs has been identified by any PRC governmental authority as an “critical information infrastructure operator” that will be subject to the CAC’s cybersecurity review requirements. However, there remain uncertainties on the interpretation and implementations of the Cybersecurity Review Measures and other laws and regulations regarding cybersecurity and data protection. If the CAC or other regulatory agencies subsequently require that their approvals be obtained for the Group’s respective data processing activities, the Group may be unable to obtain such approvals in a timely manner, or at all, and such approvals may be rescinded even if obtained. For details, see “Item 3. Key Information—Recent Regulatory Development—Cybersecurity Review Measures.”</w:t>
      </w:r>
    </w:p>
    <w:p>
      <w:pPr>
        <w:spacing w:after="0" w:line="86"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addition, the PRC government has recently indicated an intent to exert more oversight over overseas securities offerings and published a series of laws and regulations to regulate such transactions. In connection with our prior overseas offerings and listing status on the New York Stock Exchange (the “NYSE”), as of the date of this annual report, we (i) have not been required to obtain any permission from or complete any filing with the CSRC, and (ii) have not been required to go through a cybersecurity review by the CAC. As advised by our PRC legal counsel, under the currently effective PRC laws and regulations, as a group that has been listed on a foreign stock exchange before the promulgation of the Revised Cybersecurity Review Measures, Sunlands Technology Group, our subsidiaries and the VIEs are not required to go through a cybersecurity review by the CAC to conduct a security offering or maintain our listing status on the NYSE, based on their consultation with competent government authorities. According to the press conference held by CSRC for the release of the Overseas Listing Trial Measures and the Notice on Administration for the Filing of Overseas Offering and Listing by Domestic Companies, as a group that has been listed on a foreign stock exchange prior to the effective date of the Overseas Listing Trial Measures, Sunlands Technology Group, our subsidiaries and the VIEs are not required to complete the filing with the CSRC to maintain our listing status on the NYSE, but we will be required to undergo the filing procedures with the CSRC for our future offerings, listing or any other capital raising activities within the applicable scope of the Overseas Listing Trial Measures. Since the Overseas Listing Trial Measures were newly promulgated, there remain significant uncertainties surrounding the interpretation, application and enforcement of such measures. We cannot assure you that we could complete the filing procedure as required with the CSRC under the Overseas Listing Trial Measures for any of our future offerings, listing or any other capital raising activities in a timely manner, or at all, and such filings may be rescinded even if completed. Any such circumstance could subject the Group to penalties, including fines, suspension of business and revocation of required licenses, significantly limit or completely hinder our ability to continue to offer securities to investors and cause the value of such securities to significantly decline or be worthless. For more detailed information, see “Item 3. Key Information—3.D. Risk Factors—Risks Related to Doing Business in China—The approval, filing or other requirements of the China Securities Regulatory Commission or other PRC government authorities may be required under PRC law in connection with our issuance of securities overseas, and if required, we cannot predict whether or for how long the Group will be able to obtain such approval or complete such filing or other requirements.”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Cybersecurity Review Measures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January 4, 2022, the Cyberspace Administration of China, or the CAC, published the Revised Cybersecurity Review Measures, which became effective on February 15, 2022 and repeal the Cybersecurity Review Measures promulgated on April 13, 2020. The Revised Cybersecurity Review Measures provide that a critical information infrastructure operator purchasing network products and services, and platform operators carrying out data processing activities, which affect or may affect national security, shall apply for cybersecurity review and that a platform operator with more than one million users’ personal information aiming to list abroad must apply for cybersecurity review. As the Revised Cybersecurity Review Measures is newly promulgated, it is uncertain how the measures will be interpreted or implemented and how they will affect the Group. We cannot predict the impact of the Revised Cybersecurity Review Measures, if any, at this stage, and we will closely monitor and assess any development in the rule-making process.</w:t>
      </w:r>
    </w:p>
    <w:p>
      <w:pPr>
        <w:spacing w:after="0" w:line="8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anticipation of the strengthened implementation of cybersecurity laws and regulations and the continued expansion of the Group’s business, the Group faces potential risks if the Group is deemed as a “critical information infrastructure operator” or “platform operator” under the PRC cybersecurity laws and regulations, and would be required to follow cybersecurity review procedures. During such review, the Group may be required to suspend providing any existing or new services to the Group’s customers and/or experience other disruptions of the Group’s operations, and such review could also result in negative publicity with respect to the Group and diversion of the Group’s managerial and financial resources.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the Group has not been involved in any investigations or becomes subject to a cybersecurity review initiated by the CAC based on the Revised Cybersecurity Review Measures, and the Group has not received any inquiry, notice, warning, sanctions in such respect or any regulatory objections to our listing status from the CAC.</w:t>
      </w:r>
    </w:p>
    <w:p>
      <w:pPr>
        <w:spacing w:after="0" w:line="6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advised by our PRC legal counsel, Tian Yuan Law Firm, under the currently effective PRC laws and regulations, except as disclosed in “Item 3. Key Information—3.D. Risk Factors—Risks Related to the Group’s Business—The Group is subject to a variety of laws and other obligations regarding data protection, and any failure to comply with applicable laws and obligations could have a material adverse effect on the Group’s business, financial condition and results of operations,” Sunlands Technology Group, our subsidiaries and the VIEs are not covered by permission requirements from the CAC</w:t>
      </w:r>
    </w:p>
    <w:p>
      <w:pPr>
        <w:spacing w:after="0" w:line="3" w:lineRule="exact"/>
        <w:rPr>
          <w:sz w:val="20"/>
          <w:szCs w:val="20"/>
          <w:color w:val="auto"/>
        </w:rPr>
      </w:pPr>
    </w:p>
    <w:p>
      <w:pPr>
        <w:jc w:val="both"/>
        <w:ind w:firstLine="8"/>
        <w:spacing w:after="0" w:line="251" w:lineRule="auto"/>
        <w:tabs>
          <w:tab w:leader="none" w:pos="2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 security offering or maintain our listing status on the NYSE, or (ii) to conduct business operations, on the following grounds: (i) our PRC legal counsel has consulted the competent government authorities which acknowledged that, under the currently effective PRC laws and regulations, a company that has been listed on a foreign stock exchange before the promulgation of the Revised Cybersecurity Review Measures is not required to go through a cybersecurity review by the CAC to conduct a securities offering or to maintain its listing status on the foreign stock exchange on which its securities have been listed; (ii) as of the date of this annual report, none of Sunlands Technology Group, our subsidiaries and the VIEs has been identified by any PRC governmental authority as a “critical information infrastructure operator” that will be subject to the CAC’s cybersecurity review requirements. However, there remain uncertainties on the interpretation and implementations of the Revised Cybersecurity Review Measures and other laws and regulations regarding cybersecurity and data protection. If the CAC or other regulatory agencies later require that the Group obtains their approvals for our future offshore offerings or for the Group’s data processing activities, the Group may be unable to obtain such approvals in a timely manner, or at all, and such approvals may be rescinded even if obtained. Any such circumstance may significantly limit or completely hinder our ability to continue to offer securities to investors, subject the Group to penalties, or cause the Group to alter the Group’s business model or practices and cause the value of such securities to significantly decline or be worthless.</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Potential CSRC Filing Required for the Listing of the ADSs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February 17, 2023, the CSRC released the Trial Administrative Measures of Overseas Securities Offering and Listing by Domestic Companies, or the Overseas Listing Trial Measures, and five supporting guidelines, effective on March 31, 2023. Pursuant to the Overseas Listing Trial Measures, PRC domestic companies that seek to offer or list securities overseas, either in direct or indirect means, are required to report and file required documents with the CSRC. On the same day, the CSRC also held a press conference for the release of the Overseas Listing Trial Measures and issued the Notice on Administration for the Filing of Overseas Offering and Listing by Domestic Companies, which, among others, clarifies that domestic companies that have been listed on a foreign stock exchange prior to the effective date of the Overseas Listing Trial Measures are required to file with the CSRC within three working days of the completion of fundraising activities on the same overseas capital market and shall make the required filing immediately after they submit the application for their listing or offering securities in other overseas capital markets. As advised by our PRC legal counsel, Tian Yuan Law Firm, as a group that has been listed on a foreign stock exchange prior to the effective date of the Overseas Listing Trial Measures, Sunlands Technology Group, our subsidiaries and the VIEs are not required to complete the filing with the CSRC only to maintain our listing status on the NYSE. However, Sunlands Technology Group, our subsidiaries or the VIEs will be required to conduct the filing procedures with the CSRS for our future offerings, listing or any other capital raising activities within the applicable scope of the Overseas Listing Trial Measures.</w:t>
      </w:r>
    </w:p>
    <w:p>
      <w:pPr>
        <w:spacing w:after="0" w:line="8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we have not received any inquiry, notice, warning, sanctions or regulatory objection from the CSRC. However, since the Overseas Listing Trial Measures was newly promulgated, the interpretation, application and enforcement of the Overseas Listing Trial Measures remain unclear and we cannot assure you that we could be able to complete the required filing procedure in relation to our further capital raising activities in a timely manner, or at all. For more detailed information, see “Item 3. Key Information—3.D. Risk Factors—Risks Related to Doing Business in China —The approval, filing or other requirements of the China Securities Regulatory Commission or other PRC government authorities may be required under PRC law in connection with our issuance of securities overseas, and if required, we cannot predict whether or for how long the Group will be able to obtain such approval or complete such filing or other requirements.”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Funds and Other Assets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relevant PRC laws and regulations, we are permitted to remit funds to the VIEs through loans rather than capital contributions. The VIEs funded their operations primarily using cash generated from operating and financing activities. In addition, we and the VIEs may, from time to time, lend cash to each other to settle the payment obligations on each other’s behalf to provide temporary working capital support. In 2023 and 2024, the net amounts of working capital support provided by the VIEs to our PRC subsidiaries were RMB602.9 million and RMB924.6 million . In 2025, the net amounts of working capital support provided by our PRC subsidiaries to the VIEs were RMB148.4 million (US$21.2 million). For more information, see “Item 3. Key Information—Condensed Consolidating Schedule,” and consolidated financial statements included elsewhere in this annual report.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2025, Sunlands Technology Group had made cumulative capital contributions of US$200.2 million to our PRC subsidiaries through an intermediate holding company. These funds have been used by our PRC subsidiaries for their operations. Our PRC subsidiaries maintained certain personnel for sales and marketing, research and development, and general and administrative functions to support the operations of the VIEs.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2023, 2024 and 2025, the VIEs transferred RMB26.8 million, RMB60.1 million and RMB</w:t>
      </w:r>
      <w:r>
        <w:rPr>
          <w:rFonts w:ascii="Times New Roman" w:cs="Times New Roman" w:eastAsia="Times New Roman" w:hAnsi="Times New Roman"/>
          <w:sz w:val="18"/>
          <w:szCs w:val="18"/>
          <w:color w:val="231F20"/>
        </w:rPr>
        <w:t>132.6</w:t>
      </w:r>
      <w:r>
        <w:rPr>
          <w:rFonts w:ascii="Times New Roman" w:cs="Times New Roman" w:eastAsia="Times New Roman" w:hAnsi="Times New Roman"/>
          <w:sz w:val="18"/>
          <w:szCs w:val="18"/>
          <w:color w:val="auto"/>
        </w:rPr>
        <w:t xml:space="preserve"> million (US$</w:t>
      </w:r>
      <w:r>
        <w:rPr>
          <w:rFonts w:ascii="Times New Roman" w:cs="Times New Roman" w:eastAsia="Times New Roman" w:hAnsi="Times New Roman"/>
          <w:sz w:val="18"/>
          <w:szCs w:val="18"/>
          <w:color w:val="231F20"/>
        </w:rPr>
        <w:t>19.0</w:t>
      </w:r>
      <w:r>
        <w:rPr>
          <w:rFonts w:ascii="Times New Roman" w:cs="Times New Roman" w:eastAsia="Times New Roman" w:hAnsi="Times New Roman"/>
          <w:sz w:val="18"/>
          <w:szCs w:val="18"/>
          <w:color w:val="auto"/>
        </w:rPr>
        <w:t xml:space="preserve"> million) of service fees to our PRC subsidiaries pursuant to the contractual arrangements, respectively. The outstanding balance of service fees owed by the VIEs to our PRC subsidiaries was nil as of each of December 31, 2023, 2024 and 2025. There were no other assets transferred between us and the VIEs in 2023, 2024 and 2025.</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advised by our PRC legal counsel, for any amounts owed by the VIEs to our PRC subsidiaries under the VIE agreements, unless otherwise required by PRC tax authorities, the Group is able to settle such amounts without limitations under the current effective PRC laws and regulations, provided that the VIEs have sufficient funds to do so and that the VIEs, in case in the form of non-enterprise institution, follow the principles of openness, fairness and impartiality, fix the price reasonably and regulate the decision-making, and do not damage the state interests, the interests of the non-enterprise institution or the rights and interests of the teachers and students when conducting such related party transaction.</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subsidiaries are permitted to pay dividends to their shareholders, and eventually to Sunlands Technology Group, only out of their retained earnings, if any, as determined in accordance with PRC accounting standards and regulations. Such payment of dividends by entities registered in China is subject to limitations, which could result in limitations on the availability of cash to fund dividends or make distributions to shareholders of our securities. For example, our PRC subsidiaries and the VIEs are required to make appropriations to certain statutory reserve funds or may make appropriations to certain discretionary funds, which are not distributable as cash dividends except in the event of a solvent liquidation of the companies. For more details, see “Item 3. Key Information—D. Risk Factors—Risks Related to Doing Business in China—We may rely on dividends and other distributions on equity paid by our PRC and Hong Kong subsidiaries to fund any cash and financing requirements we may have, and any limitation on the ability of these subsidiaries in the PRC, including Hong Kong, to make payments to us could have a material and adverse effect on our ability to conduct the Group’s business.”</w:t>
      </w:r>
    </w:p>
    <w:p>
      <w:pPr>
        <w:spacing w:after="0" w:line="8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Sunlands Technology Group has previously declared a special cash dividend of US$1.36 per ordinary share (or US$0.68 per ADS) to holders of its ordinary shares and ADSs on June 14, 2022, which had been fully paid. We have no plan to declare or pay any dividends in the near future on our shares or the ADSs representing our ordinary shares. We currently intend to retain most, if not all, of our available funds and any future earnings to operate and expand the Group’s business. See “Item 8. Financial Information—8.A. Consolidated Statements and Other Financial Information—Dividend Policy.”</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December 5, 2024, Wuhan Shangde declared a cash dividend of RMB100.0 million (US$13.7 million) to its sole shareholder, Wuhan Zhibo, which has been fully paid by December 31, 2024. On March 31, 2025, Wuhan Zhibo declared a cash dividend of RMB19.0 million (US$2.6 million) to its sole shareholder, Sunlands HK, which has been fully paid by April 10, 2025. On July 10, 2025, Wuhan Zhibo declared a cash dividend of RMB19.0 million (US$2.7 million) to its sole shareholder, Sunlands HK, which had been fully paid by July 30, 2025.</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no transfers, dividends, or distributions between Sunlands Technology Group, our PRC subsidiaries, and the VIEs, other than those described in this annual report, have been made. As of the date of this annual report, we do not have cash management policies in place that dictate how funds are transferred between Sunlands Technology Group, our subsidiaries, the VIEs and the investors. Rather, the funds can be transferred in accordance with the applicable laws and regulations discussed in this section.</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To the extent cash or assets in the business are in the PRC, including Hong Kong, or a PRC (including Hong Kong) entity, the funds or assets may not be available to fund operations or for other use outside of the PRC or Hong Kong due to interventions in or the imposition of restrictions and limitations on the ability of Sunlands Technology Group, our subsidiaries, or the VIEs by the PRC government to transfer cash or assets. There is no assurance the PRC government will not intervene in or impose restrictions on the ability of Sunlands Technology Group, our subsidiaries, or the VIEs to transfer cash or assets. See “Item 3. Key Information—3.D. Risk Factors—Risks Related to Doing Business in China—We may rely on dividends and other distributions on equity paid by our PRC and Hong Kong subsidiaries to fund any cash and financing requirements we may have, and any limitation on the ability of these subsidiaries in the PRC, including Hong Kong, to make payments to us could have a material and adverse effect on our ability to conduct the Group’s business.”</w:t>
      </w:r>
    </w:p>
    <w:p>
      <w:pPr>
        <w:spacing w:after="0" w:line="8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the purpose of illustration, the below table reflects the hypothetical taxes that might be required to be paid within China, assuming that: (i) we have taxable earnings, and (ii) we determine to pay a dividend in the future: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Taxation</w:t>
            </w:r>
          </w:p>
        </w:tc>
      </w:tr>
      <w:tr>
        <w:trPr>
          <w:trHeight w:val="236"/>
        </w:trPr>
        <w:tc>
          <w:tcPr>
            <w:tcW w:w="9180" w:type="dxa"/>
            <w:vAlign w:val="bottom"/>
          </w:tcPr>
          <w:p>
            <w:pPr>
              <w:spacing w:after="0"/>
              <w:rPr>
                <w:sz w:val="20"/>
                <w:szCs w:val="20"/>
                <w:color w:val="auto"/>
              </w:rPr>
            </w:pPr>
          </w:p>
        </w:tc>
        <w:tc>
          <w:tcPr>
            <w:tcW w:w="2060" w:type="dxa"/>
            <w:vAlign w:val="bottom"/>
            <w:gridSpan w:val="2"/>
          </w:tcPr>
          <w:p>
            <w:pPr>
              <w:jc w:val="center"/>
              <w:ind w:right="220"/>
              <w:spacing w:after="0" w:line="236" w:lineRule="exact"/>
              <w:rPr>
                <w:sz w:val="20"/>
                <w:szCs w:val="20"/>
                <w:color w:val="auto"/>
              </w:rPr>
            </w:pPr>
            <w:r>
              <w:rPr>
                <w:rFonts w:ascii="Times New Roman" w:cs="Times New Roman" w:eastAsia="Times New Roman" w:hAnsi="Times New Roman"/>
                <w:sz w:val="18"/>
                <w:szCs w:val="18"/>
                <w:b w:val="1"/>
                <w:bCs w:val="1"/>
                <w:color w:val="auto"/>
                <w:w w:val="93"/>
              </w:rPr>
              <w:t>Scenario</w:t>
            </w:r>
            <w:r>
              <w:rPr>
                <w:rFonts w:ascii="Times New Roman" w:cs="Times New Roman" w:eastAsia="Times New Roman" w:hAnsi="Times New Roman"/>
                <w:sz w:val="24"/>
                <w:szCs w:val="24"/>
                <w:b w:val="1"/>
                <w:bCs w:val="1"/>
                <w:color w:val="auto"/>
                <w:w w:val="93"/>
                <w:vertAlign w:val="superscript"/>
              </w:rPr>
              <w:t>(1)</w:t>
            </w:r>
          </w:p>
        </w:tc>
      </w:tr>
      <w:tr>
        <w:trPr>
          <w:trHeight w:val="216"/>
        </w:trPr>
        <w:tc>
          <w:tcPr>
            <w:tcW w:w="918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Statutory Tax</w:t>
            </w:r>
          </w:p>
        </w:tc>
      </w:tr>
      <w:tr>
        <w:trPr>
          <w:trHeight w:val="216"/>
        </w:trPr>
        <w:tc>
          <w:tcPr>
            <w:tcW w:w="918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w:t>
            </w:r>
          </w:p>
        </w:tc>
      </w:tr>
      <w:tr>
        <w:trPr>
          <w:trHeight w:val="238"/>
        </w:trPr>
        <w:tc>
          <w:tcPr>
            <w:tcW w:w="918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Standard Rates</w:t>
            </w:r>
          </w:p>
        </w:tc>
        <w:tc>
          <w:tcPr>
            <w:tcW w:w="220" w:type="dxa"/>
            <w:vAlign w:val="bottom"/>
          </w:tcPr>
          <w:p>
            <w:pPr>
              <w:spacing w:after="0"/>
              <w:rPr>
                <w:sz w:val="20"/>
                <w:szCs w:val="20"/>
                <w:color w:val="auto"/>
              </w:rPr>
            </w:pPr>
          </w:p>
        </w:tc>
      </w:tr>
      <w:tr>
        <w:trPr>
          <w:trHeight w:val="209"/>
        </w:trPr>
        <w:tc>
          <w:tcPr>
            <w:tcW w:w="91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Hypothetical pre-tax earnings</w:t>
            </w:r>
            <w:r>
              <w:rPr>
                <w:rFonts w:ascii="Times New Roman" w:cs="Times New Roman" w:eastAsia="Times New Roman" w:hAnsi="Times New Roman"/>
                <w:sz w:val="24"/>
                <w:szCs w:val="24"/>
                <w:color w:val="auto"/>
                <w:vertAlign w:val="superscript"/>
              </w:rPr>
              <w:t>(2)</w:t>
            </w:r>
          </w:p>
        </w:tc>
        <w:tc>
          <w:tcPr>
            <w:tcW w:w="2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9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Tax on earnings at statutory rate of 25%</w:t>
            </w:r>
            <w:r>
              <w:rPr>
                <w:rFonts w:ascii="Times New Roman" w:cs="Times New Roman" w:eastAsia="Times New Roman" w:hAnsi="Times New Roman"/>
                <w:sz w:val="24"/>
                <w:szCs w:val="24"/>
                <w:color w:val="auto"/>
                <w:vertAlign w:val="superscript"/>
              </w:rPr>
              <w:t>(3)</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2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Withholding tax at standard rate of 10%</w:t>
            </w:r>
            <w:r>
              <w:rPr>
                <w:rFonts w:ascii="Times New Roman" w:cs="Times New Roman" w:eastAsia="Times New Roman" w:hAnsi="Times New Roman"/>
                <w:sz w:val="24"/>
                <w:szCs w:val="24"/>
                <w:color w:val="auto"/>
                <w:vertAlign w:val="superscript"/>
              </w:rPr>
              <w:t>(4)</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distribution to Parent/Shareholders</w:t>
            </w:r>
          </w:p>
        </w:tc>
        <w:tc>
          <w:tcPr>
            <w:tcW w:w="2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9030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7" w:lineRule="exact"/>
        <w:rPr>
          <w:sz w:val="20"/>
          <w:szCs w:val="20"/>
          <w:color w:val="auto"/>
        </w:rPr>
      </w:pPr>
    </w:p>
    <w:p>
      <w:pPr>
        <w:ind w:left="380" w:hanging="372"/>
        <w:spacing w:after="0" w:line="242" w:lineRule="auto"/>
        <w:tabs>
          <w:tab w:leader="none" w:pos="29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calculation has been simplified for the purpose of this example. The hypothetical book pre-tax earnings amount, which does not consider timing differences, is assumed to equal the taxable income in the PRC.</w:t>
      </w:r>
    </w:p>
    <w:p>
      <w:pPr>
        <w:ind w:left="380" w:hanging="372"/>
        <w:spacing w:after="0" w:line="241" w:lineRule="auto"/>
        <w:tabs>
          <w:tab w:leader="none" w:pos="29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terms of the VIE agreements, sales service fees are charged by our PRC subsidiaries to the VIEs. For all the periods presented, these fees are recognized as cost of revenues of the VIEs, with a corresponding amount as service income by our PRC subsidiaries and eliminated in consolidation. For income tax purposes, our PRC subsidiaries and the VIEs file income taxes on a separate company basis. The fees paid are recognized as a tax deduction by the VIEs and as income by our PRC subsidiaries and are tax neutral.</w:t>
      </w:r>
    </w:p>
    <w:p>
      <w:pPr>
        <w:spacing w:after="0" w:line="1" w:lineRule="exact"/>
        <w:rPr>
          <w:rFonts w:ascii="Times New Roman" w:cs="Times New Roman" w:eastAsia="Times New Roman" w:hAnsi="Times New Roman"/>
          <w:sz w:val="14"/>
          <w:szCs w:val="14"/>
          <w:color w:val="auto"/>
        </w:rPr>
      </w:pPr>
    </w:p>
    <w:p>
      <w:pPr>
        <w:ind w:left="380" w:right="20" w:hanging="372"/>
        <w:spacing w:after="0" w:line="250" w:lineRule="auto"/>
        <w:tabs>
          <w:tab w:leader="none" w:pos="29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our subsidiaries qualify for a 15% preferential income tax rate in China. However, such rate is temporary in nature, and may not be available in a future period. For purposes of this hypothetical example, the table above reflects a maximum tax scenario under which the full statutory rate would be effective.</w:t>
      </w:r>
    </w:p>
    <w:p>
      <w:pPr>
        <w:spacing w:after="0" w:line="1" w:lineRule="exact"/>
        <w:rPr>
          <w:rFonts w:ascii="Times New Roman" w:cs="Times New Roman" w:eastAsia="Times New Roman" w:hAnsi="Times New Roman"/>
          <w:sz w:val="14"/>
          <w:szCs w:val="14"/>
          <w:color w:val="auto"/>
        </w:rPr>
      </w:pPr>
    </w:p>
    <w:p>
      <w:pPr>
        <w:ind w:left="380" w:hanging="372"/>
        <w:spacing w:after="0" w:line="243" w:lineRule="auto"/>
        <w:tabs>
          <w:tab w:leader="none" w:pos="29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instance that the VIEs reach a cumulative level of profitability, because our PRC subsidiaries occupy certain trademarks and copyrights, the agreements will be updated to reflect charges for such trademarks and copyrights usage on the basis that they will qualify for tax neutral treatment.</w:t>
      </w:r>
    </w:p>
    <w:p>
      <w:pPr>
        <w:spacing w:after="0" w:line="4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China’s Enterprise Income Tax Law imposes a withholding income tax of 10% on dividends distributed by a Foreign Invested Enterprises, or the FIE, to its immediate holding company outside of China. A lower withholding income tax rate of 5% is applied if the FIE’s immediate holding company is registered in Hong Kong or other jurisdictions that have a tax treaty arrangement with China, subject to a qualification review at the time of the distribution. For the purpose of this hypothetical example, this table has been prepared based on a taxation scenario under which the full withholding tax would be applied. In addition, this table has been prepared under the assumption that all profits of the VIEs will be distributed as fees to our PRC subsidiaries under tax neutral contractual arrangements. If in the future, the accumulated earnings of the VIEs exceed the fees paid to our PRC subsidiaries, or if the current and contemplated fee structure between the intercompany entities is determined to be non-substantive and disallowed by Chinese tax authorities, we have other tax-planning strategies that can be deployed on a tax neutral basis. Should all tax planning strategies fail, the VIEs could, as a matter of last resort, make a non-deductible transfer to our PRC subsidiaries for the amounts of the stranded cash in the VIEs. This would result in the double taxation of earnings: one at the VIE level (for non-deductible expenses) and one at the PRC subsidiary level (for presumptive earnings on the transfer). Such a transfer and the related tax burdens would reduce our after-tax income to approximately 50.6% of the pre-tax income. The Group’s management is of the view that the likelihood that this scenario would happen is remote.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Consolidating Schedule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present the summary statements of operations for the VIEs and other entities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 Ended Decrmber 31, 2025</w:t>
            </w: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The</w:t>
            </w:r>
          </w:p>
        </w:tc>
        <w:tc>
          <w:tcPr>
            <w:tcW w:w="12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6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2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2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00" w:type="dxa"/>
            <w:vAlign w:val="bottom"/>
            <w:gridSpan w:val="2"/>
          </w:tcPr>
          <w:p>
            <w:pPr>
              <w:spacing w:after="0"/>
              <w:rPr>
                <w:sz w:val="15"/>
                <w:szCs w:val="15"/>
                <w:color w:val="auto"/>
              </w:rPr>
            </w:pP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320" w:type="dxa"/>
            <w:vAlign w:val="bottom"/>
            <w:gridSpan w:val="2"/>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280" w:type="dxa"/>
            <w:vAlign w:val="bottom"/>
            <w:gridSpan w:val="2"/>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8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(RMB in</w:t>
            </w:r>
          </w:p>
        </w:tc>
        <w:tc>
          <w:tcPr>
            <w:tcW w:w="1220" w:type="dxa"/>
            <w:vAlign w:val="bottom"/>
            <w:tcBorders>
              <w:bottom w:val="single" w:sz="8" w:color="auto"/>
            </w:tcBorders>
            <w:gridSpan w:val="3"/>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Third-party net revenues</w:t>
            </w:r>
          </w:p>
        </w:tc>
        <w:tc>
          <w:tcPr>
            <w:tcW w:w="1540" w:type="dxa"/>
            <w:vAlign w:val="bottom"/>
            <w:gridSpan w:val="3"/>
            <w:shd w:val="clear" w:color="auto" w:fill="CFF0FC"/>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824</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1,040,265</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978,792</w:t>
            </w:r>
          </w:p>
        </w:tc>
        <w:tc>
          <w:tcPr>
            <w:tcW w:w="2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2,019,881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Inter-company revenues</w:t>
            </w:r>
          </w:p>
        </w:tc>
        <w:tc>
          <w:tcPr>
            <w:tcW w:w="154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57,871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132,618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(190,489)</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 costs and operating expenses</w:t>
            </w:r>
          </w:p>
        </w:tc>
        <w:tc>
          <w:tcPr>
            <w:tcW w:w="13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(68,915)</w:t>
            </w:r>
          </w:p>
        </w:tc>
        <w:tc>
          <w:tcPr>
            <w:tcW w:w="1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(16,316)</w:t>
            </w: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(871,985)</w:t>
            </w: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(876,608)</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190,489</w:t>
            </w:r>
          </w:p>
        </w:tc>
        <w:tc>
          <w:tcPr>
            <w:tcW w:w="2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(1,643,335)</w:t>
            </w: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Income/(loss) from subsidiaries and VIEs</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422,835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383,556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71,703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(878,094)</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from non-operations</w:t>
            </w: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11,711</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4,387</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34,092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2,722</w:t>
            </w:r>
          </w:p>
        </w:tc>
        <w:tc>
          <w:tcPr>
            <w:tcW w:w="2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52,912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740" w:type="dxa"/>
            <w:vAlign w:val="bottom"/>
            <w:tcBorders>
              <w:top w:val="single" w:sz="8" w:color="CFF0FC"/>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Income/(loss) before</w:t>
            </w:r>
          </w:p>
        </w:tc>
        <w:tc>
          <w:tcPr>
            <w:tcW w:w="12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income tax expenses and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365,631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430,322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406,693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104,906</w:t>
            </w:r>
          </w:p>
        </w:tc>
        <w:tc>
          <w:tcPr>
            <w:tcW w:w="2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(878,094)</w:t>
            </w:r>
          </w:p>
        </w:tc>
        <w:tc>
          <w:tcPr>
            <w:tcW w:w="2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429,458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40" w:type="dxa"/>
            <w:vAlign w:val="bottom"/>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loss from equity method investments</w:t>
            </w:r>
          </w:p>
        </w:tc>
        <w:tc>
          <w:tcPr>
            <w:tcW w:w="12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Income tax expenses</w:t>
            </w:r>
          </w:p>
        </w:tc>
        <w:tc>
          <w:tcPr>
            <w:tcW w:w="1540" w:type="dxa"/>
            <w:vAlign w:val="bottom"/>
            <w:gridSpan w:val="3"/>
            <w:shd w:val="clear" w:color="auto" w:fill="CFF0FC"/>
          </w:tcPr>
          <w:p>
            <w:pPr>
              <w:jc w:val="right"/>
              <w:ind w:right="3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(7,487)</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(23,137)</w:t>
            </w:r>
          </w:p>
        </w:tc>
        <w:tc>
          <w:tcPr>
            <w:tcW w:w="16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(28,673)</w:t>
            </w:r>
          </w:p>
        </w:tc>
        <w:tc>
          <w:tcPr>
            <w:tcW w:w="1260" w:type="dxa"/>
            <w:vAlign w:val="bottom"/>
            <w:gridSpan w:val="2"/>
            <w:shd w:val="clear" w:color="auto" w:fill="CFF0FC"/>
          </w:tcPr>
          <w:p>
            <w:pPr>
              <w:jc w:val="right"/>
              <w:ind w:right="3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(59,297)</w:t>
            </w: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from equity method investments</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spacing w:after="0"/>
              <w:rPr>
                <w:sz w:val="12"/>
                <w:szCs w:val="12"/>
                <w:color w:val="auto"/>
              </w:rPr>
            </w:pPr>
          </w:p>
        </w:tc>
        <w:tc>
          <w:tcPr>
            <w:tcW w:w="12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(4,530)</w:t>
            </w:r>
          </w:p>
        </w:tc>
        <w:tc>
          <w:tcPr>
            <w:tcW w:w="12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(4,530)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income/(loss)</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365,631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422,835</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383,556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71,703</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(878,094)</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365,631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74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Less: net income attribute to</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FF0FC"/>
            </w:tcBorders>
            <w:gridSpan w:val="2"/>
            <w:vMerge w:val="restart"/>
          </w:tcPr>
          <w:p>
            <w:pPr>
              <w:spacing w:after="0"/>
              <w:rPr>
                <w:sz w:val="9"/>
                <w:szCs w:val="9"/>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FF0FC"/>
            </w:tcBorders>
            <w:gridSpan w:val="2"/>
            <w:vMerge w:val="restart"/>
          </w:tcPr>
          <w:p>
            <w:pPr>
              <w:spacing w:after="0"/>
              <w:rPr>
                <w:sz w:val="9"/>
                <w:szCs w:val="9"/>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gridSpan w:val="2"/>
            <w:vMerge w:val="restart"/>
          </w:tcPr>
          <w:p>
            <w:pPr>
              <w:spacing w:after="0"/>
              <w:rPr>
                <w:sz w:val="9"/>
                <w:szCs w:val="9"/>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vMerge w:val="restart"/>
          </w:tcPr>
          <w:p>
            <w:pPr>
              <w:spacing w:after="0"/>
              <w:rPr>
                <w:sz w:val="9"/>
                <w:szCs w:val="9"/>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vMerge w:val="restart"/>
          </w:tcPr>
          <w:p>
            <w:pPr>
              <w:spacing w:after="0"/>
              <w:rPr>
                <w:sz w:val="9"/>
                <w:szCs w:val="9"/>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374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non-controlling interests</w:t>
            </w:r>
          </w:p>
        </w:tc>
        <w:tc>
          <w:tcPr>
            <w:tcW w:w="124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74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income/(loss) attributable to</w:t>
            </w:r>
          </w:p>
        </w:tc>
        <w:tc>
          <w:tcPr>
            <w:tcW w:w="12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365,631</w:t>
            </w: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422,835</w:t>
            </w:r>
          </w:p>
        </w:tc>
        <w:tc>
          <w:tcPr>
            <w:tcW w:w="120" w:type="dxa"/>
            <w:vAlign w:val="bottom"/>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383,556</w:t>
            </w: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71,703</w:t>
            </w:r>
          </w:p>
        </w:tc>
        <w:tc>
          <w:tcPr>
            <w:tcW w:w="280" w:type="dxa"/>
            <w:vAlign w:val="bottom"/>
            <w:shd w:val="clear" w:color="auto" w:fill="CFF0FC"/>
          </w:tcPr>
          <w:p>
            <w:pPr>
              <w:spacing w:after="0"/>
              <w:rPr>
                <w:sz w:val="10"/>
                <w:szCs w:val="10"/>
                <w:color w:val="auto"/>
              </w:rPr>
            </w:pP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(878,094)</w:t>
            </w:r>
          </w:p>
        </w:tc>
        <w:tc>
          <w:tcPr>
            <w:tcW w:w="280" w:type="dxa"/>
            <w:vAlign w:val="bottom"/>
            <w:shd w:val="clear" w:color="auto" w:fill="CFF0FC"/>
          </w:tcPr>
          <w:p>
            <w:pPr>
              <w:spacing w:after="0"/>
              <w:rPr>
                <w:sz w:val="10"/>
                <w:szCs w:val="10"/>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365,631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40" w:type="dxa"/>
            <w:vAlign w:val="bottom"/>
            <w:tcBorders>
              <w:bottom w:val="single" w:sz="8" w:color="CFF0FC"/>
            </w:tcBorders>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Sunlands Technology Group</w:t>
            </w:r>
          </w:p>
        </w:tc>
        <w:tc>
          <w:tcPr>
            <w:tcW w:w="124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vMerge w:val="continue"/>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vMerge w:val="continue"/>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558"/>
        </w:trPr>
        <w:tc>
          <w:tcPr>
            <w:tcW w:w="3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489"/>
              <w:spacing w:after="0"/>
              <w:rPr>
                <w:sz w:val="20"/>
                <w:szCs w:val="20"/>
                <w:color w:val="auto"/>
              </w:rPr>
            </w:pPr>
            <w:r>
              <w:rPr>
                <w:rFonts w:ascii="Times New Roman" w:cs="Times New Roman" w:eastAsia="Times New Roman" w:hAnsi="Times New Roman"/>
                <w:sz w:val="13"/>
                <w:szCs w:val="13"/>
                <w:color w:val="181717"/>
              </w:rPr>
              <w:t>12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37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-1842135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-1842135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-1842135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-1842135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-1842135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-1259205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-1242060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-1259205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-1242060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-1259205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-1242060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-1259205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-1242060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-1259205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-1242060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-882015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-865505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-882015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-865505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-882015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-865505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-882015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-865505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-882015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-865505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11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The</w:t>
            </w:r>
          </w:p>
        </w:tc>
        <w:tc>
          <w:tcPr>
            <w:tcW w:w="13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60" w:type="dxa"/>
            <w:vAlign w:val="bottom"/>
            <w:gridSpan w:val="2"/>
          </w:tcPr>
          <w:p>
            <w:pPr>
              <w:jc w:val="center"/>
              <w:ind w:right="213"/>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3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3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60" w:type="dxa"/>
            <w:vAlign w:val="bottom"/>
            <w:gridSpan w:val="2"/>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40" w:type="dxa"/>
            <w:vAlign w:val="bottom"/>
            <w:gridSpan w:val="2"/>
            <w:vMerge w:val="continue"/>
          </w:tcPr>
          <w:p>
            <w:pPr>
              <w:spacing w:after="0"/>
              <w:rPr>
                <w:sz w:val="15"/>
                <w:szCs w:val="15"/>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w w:val="73"/>
              </w:rPr>
              <w:t>in</w:t>
            </w:r>
          </w:p>
        </w:tc>
        <w:tc>
          <w:tcPr>
            <w:tcW w:w="104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26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Third-party net revenues</w:t>
            </w:r>
          </w:p>
        </w:tc>
        <w:tc>
          <w:tcPr>
            <w:tcW w:w="118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1,559</w:t>
            </w: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319,350</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1,669,295</w:t>
            </w: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1,990,204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Inter-company revenues</w:t>
            </w:r>
          </w:p>
        </w:tc>
        <w:tc>
          <w:tcPr>
            <w:tcW w:w="11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28,308</w:t>
            </w:r>
          </w:p>
        </w:tc>
        <w:tc>
          <w:tcPr>
            <w:tcW w:w="2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60,130</w:t>
            </w: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26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(88,704)</w:t>
            </w: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 costs and operating expenses</w:t>
            </w:r>
          </w:p>
        </w:tc>
        <w:tc>
          <w:tcPr>
            <w:tcW w:w="11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(36,499)</w:t>
            </w:r>
          </w:p>
        </w:tc>
        <w:tc>
          <w:tcPr>
            <w:tcW w:w="13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(6,609)</w:t>
            </w:r>
          </w:p>
        </w:tc>
        <w:tc>
          <w:tcPr>
            <w:tcW w:w="1360" w:type="dxa"/>
            <w:vAlign w:val="bottom"/>
            <w:gridSpan w:val="2"/>
            <w:shd w:val="clear" w:color="auto" w:fill="CFF0FC"/>
          </w:tcPr>
          <w:p>
            <w:pPr>
              <w:jc w:val="right"/>
              <w:ind w:right="133"/>
              <w:spacing w:after="0" w:line="149" w:lineRule="exact"/>
              <w:rPr>
                <w:sz w:val="20"/>
                <w:szCs w:val="20"/>
                <w:color w:val="auto"/>
              </w:rPr>
            </w:pPr>
            <w:r>
              <w:rPr>
                <w:rFonts w:ascii="Times New Roman" w:cs="Times New Roman" w:eastAsia="Times New Roman" w:hAnsi="Times New Roman"/>
                <w:sz w:val="14"/>
                <w:szCs w:val="14"/>
                <w:color w:val="auto"/>
              </w:rPr>
              <w:t>(525,516)</w:t>
            </w:r>
          </w:p>
        </w:tc>
        <w:tc>
          <w:tcPr>
            <w:tcW w:w="13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(1,212,379)</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88,704</w:t>
            </w:r>
          </w:p>
        </w:tc>
        <w:tc>
          <w:tcPr>
            <w:tcW w:w="2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(1,692,299)</w:t>
            </w:r>
          </w:p>
        </w:tc>
        <w:tc>
          <w:tcPr>
            <w:tcW w:w="0" w:type="dxa"/>
            <w:vAlign w:val="bottom"/>
          </w:tcPr>
          <w:p>
            <w:pPr>
              <w:spacing w:after="0"/>
              <w:rPr>
                <w:sz w:val="1"/>
                <w:szCs w:val="1"/>
                <w:color w:val="auto"/>
              </w:rPr>
            </w:pPr>
          </w:p>
        </w:tc>
      </w:tr>
      <w:tr>
        <w:trPr>
          <w:trHeight w:val="148"/>
        </w:trPr>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Income/(loss) from subsidiaries and VIEs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351,181</w:t>
            </w:r>
          </w:p>
        </w:tc>
        <w:tc>
          <w:tcPr>
            <w:tcW w:w="2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329,394</w:t>
            </w:r>
          </w:p>
        </w:tc>
        <w:tc>
          <w:tcPr>
            <w:tcW w:w="2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445,476</w:t>
            </w:r>
          </w:p>
        </w:tc>
        <w:tc>
          <w:tcPr>
            <w:tcW w:w="260" w:type="dxa"/>
            <w:vAlign w:val="bottom"/>
          </w:tcPr>
          <w:p>
            <w:pPr>
              <w:spacing w:after="0"/>
              <w:rPr>
                <w:sz w:val="12"/>
                <w:szCs w:val="12"/>
                <w:color w:val="auto"/>
              </w:rPr>
            </w:pPr>
          </w:p>
        </w:tc>
        <w:tc>
          <w:tcPr>
            <w:tcW w:w="13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(1,126,051)</w:t>
            </w: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from non-operations</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27,400</w:t>
            </w: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1,335</w:t>
            </w:r>
          </w:p>
        </w:tc>
        <w:tc>
          <w:tcPr>
            <w:tcW w:w="2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21,930</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8,324</w:t>
            </w: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58,989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480" w:type="dxa"/>
            <w:vAlign w:val="bottom"/>
            <w:tcBorders>
              <w:top w:val="single" w:sz="8" w:color="CFF0FC"/>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Income/(loss) before</w:t>
            </w:r>
          </w:p>
        </w:tc>
        <w:tc>
          <w:tcPr>
            <w:tcW w:w="90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income tax expenses and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342,082</w:t>
            </w:r>
          </w:p>
        </w:tc>
        <w:tc>
          <w:tcPr>
            <w:tcW w:w="2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353,987</w:t>
            </w:r>
          </w:p>
        </w:tc>
        <w:tc>
          <w:tcPr>
            <w:tcW w:w="28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321,370</w:t>
            </w: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465,506</w:t>
            </w:r>
          </w:p>
        </w:tc>
        <w:tc>
          <w:tcPr>
            <w:tcW w:w="2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(1,126,051)</w:t>
            </w:r>
          </w:p>
        </w:tc>
        <w:tc>
          <w:tcPr>
            <w:tcW w:w="2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356,894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80" w:type="dxa"/>
            <w:vAlign w:val="bottom"/>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loss from equity method investments</w:t>
            </w:r>
          </w:p>
        </w:tc>
        <w:tc>
          <w:tcPr>
            <w:tcW w:w="90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Income tax expenses</w:t>
            </w:r>
          </w:p>
        </w:tc>
        <w:tc>
          <w:tcPr>
            <w:tcW w:w="1180" w:type="dxa"/>
            <w:vAlign w:val="bottom"/>
            <w:gridSpan w:val="2"/>
            <w:shd w:val="clear" w:color="auto" w:fill="CFF0FC"/>
          </w:tcPr>
          <w:p>
            <w:pPr>
              <w:jc w:val="right"/>
              <w:ind w:right="3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(2,806)</w:t>
            </w:r>
          </w:p>
        </w:tc>
        <w:tc>
          <w:tcPr>
            <w:tcW w:w="1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8,024</w:t>
            </w:r>
          </w:p>
        </w:tc>
        <w:tc>
          <w:tcPr>
            <w:tcW w:w="260" w:type="dxa"/>
            <w:vAlign w:val="bottom"/>
            <w:shd w:val="clear" w:color="auto" w:fill="CFF0FC"/>
          </w:tcPr>
          <w:p>
            <w:pPr>
              <w:spacing w:after="0"/>
              <w:rPr>
                <w:sz w:val="11"/>
                <w:szCs w:val="11"/>
                <w:color w:val="auto"/>
              </w:rPr>
            </w:pPr>
          </w:p>
        </w:tc>
        <w:tc>
          <w:tcPr>
            <w:tcW w:w="130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(6,518)</w:t>
            </w:r>
          </w:p>
        </w:tc>
        <w:tc>
          <w:tcPr>
            <w:tcW w:w="1340" w:type="dxa"/>
            <w:vAlign w:val="bottom"/>
            <w:gridSpan w:val="2"/>
            <w:shd w:val="clear" w:color="auto" w:fill="CFF0FC"/>
          </w:tcPr>
          <w:p>
            <w:pPr>
              <w:jc w:val="right"/>
              <w:ind w:right="2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148"/>
        </w:trPr>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from equity method investments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(13,512)</w:t>
            </w:r>
          </w:p>
        </w:tc>
        <w:tc>
          <w:tcPr>
            <w:tcW w:w="13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(13,512)</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income/(loss)</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342,082</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351,181</w:t>
            </w:r>
          </w:p>
        </w:tc>
        <w:tc>
          <w:tcPr>
            <w:tcW w:w="2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329,394</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445,476</w:t>
            </w:r>
          </w:p>
        </w:tc>
        <w:tc>
          <w:tcPr>
            <w:tcW w:w="2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(1,126,051)</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342,082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48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Less: net income attribute to</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vMerge w:val="restart"/>
          </w:tcPr>
          <w:p>
            <w:pPr>
              <w:spacing w:after="0"/>
              <w:rPr>
                <w:sz w:val="9"/>
                <w:szCs w:val="9"/>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vMerge w:val="restart"/>
          </w:tcPr>
          <w:p>
            <w:pPr>
              <w:spacing w:after="0"/>
              <w:rPr>
                <w:sz w:val="9"/>
                <w:szCs w:val="9"/>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vMerge w:val="restart"/>
          </w:tcPr>
          <w:p>
            <w:pPr>
              <w:spacing w:after="0"/>
              <w:rPr>
                <w:sz w:val="9"/>
                <w:szCs w:val="9"/>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vMerge w:val="restart"/>
          </w:tcPr>
          <w:p>
            <w:pPr>
              <w:spacing w:after="0"/>
              <w:rPr>
                <w:sz w:val="9"/>
                <w:szCs w:val="9"/>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vMerge w:val="restart"/>
          </w:tcPr>
          <w:p>
            <w:pPr>
              <w:spacing w:after="0"/>
              <w:rPr>
                <w:sz w:val="9"/>
                <w:szCs w:val="9"/>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48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non-controlling interests</w:t>
            </w:r>
          </w:p>
        </w:tc>
        <w:tc>
          <w:tcPr>
            <w:tcW w:w="900" w:type="dxa"/>
            <w:vAlign w:val="bottom"/>
            <w:tcBorders>
              <w:bottom w:val="single" w:sz="8" w:color="auto"/>
            </w:tcBorders>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8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income/(loss) attributable to</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342,082</w:t>
            </w:r>
          </w:p>
        </w:tc>
        <w:tc>
          <w:tcPr>
            <w:tcW w:w="2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351,181</w:t>
            </w:r>
          </w:p>
        </w:tc>
        <w:tc>
          <w:tcPr>
            <w:tcW w:w="28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329,394</w:t>
            </w:r>
          </w:p>
        </w:tc>
        <w:tc>
          <w:tcPr>
            <w:tcW w:w="26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445,476</w:t>
            </w:r>
          </w:p>
        </w:tc>
        <w:tc>
          <w:tcPr>
            <w:tcW w:w="26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(1,126,051)</w:t>
            </w:r>
          </w:p>
        </w:tc>
        <w:tc>
          <w:tcPr>
            <w:tcW w:w="26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342,082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80" w:type="dxa"/>
            <w:vAlign w:val="bottom"/>
            <w:tcBorders>
              <w:bottom w:val="single" w:sz="8" w:color="CFF0FC"/>
            </w:tcBorders>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Sunlands Technology Group</w:t>
            </w:r>
          </w:p>
        </w:tc>
        <w:tc>
          <w:tcPr>
            <w:tcW w:w="900" w:type="dxa"/>
            <w:vAlign w:val="bottom"/>
            <w:tcBorders>
              <w:bottom w:val="single" w:sz="8" w:color="auto"/>
            </w:tcBorders>
            <w:vMerge w:val="continue"/>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vMerge w:val="continue"/>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558"/>
        </w:trPr>
        <w:tc>
          <w:tcPr>
            <w:tcW w:w="3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181717"/>
              </w:rPr>
              <w:t>13</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3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-1842770</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-1842770</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-1842770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-1842770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-1842770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-1259205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-1242695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-1259205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-1242695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-1259205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-1242695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-1259205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-1242695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-1259205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-1242695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-882015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-864870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-882015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-864870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-882015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-864870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-882015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-864870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-882015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-864870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0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1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The</w:t>
            </w:r>
          </w:p>
        </w:tc>
        <w:tc>
          <w:tcPr>
            <w:tcW w:w="13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2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vMerge w:val="restart"/>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9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tcPr>
          <w:p>
            <w:pPr>
              <w:spacing w:after="0"/>
              <w:rPr>
                <w:sz w:val="15"/>
                <w:szCs w:val="15"/>
                <w:color w:val="auto"/>
              </w:rPr>
            </w:pPr>
          </w:p>
        </w:tc>
        <w:tc>
          <w:tcPr>
            <w:tcW w:w="10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26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4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10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Third-party net revenues</w:t>
            </w:r>
          </w:p>
        </w:tc>
        <w:tc>
          <w:tcPr>
            <w:tcW w:w="118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6,526</w:t>
            </w:r>
          </w:p>
        </w:tc>
        <w:tc>
          <w:tcPr>
            <w:tcW w:w="2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783,773</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1,369,285</w:t>
            </w:r>
          </w:p>
        </w:tc>
        <w:tc>
          <w:tcPr>
            <w:tcW w:w="2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2,159,584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Inter-company revenues</w:t>
            </w:r>
          </w:p>
        </w:tc>
        <w:tc>
          <w:tcPr>
            <w:tcW w:w="11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23,017</w:t>
            </w:r>
          </w:p>
        </w:tc>
        <w:tc>
          <w:tcPr>
            <w:tcW w:w="2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26,799</w:t>
            </w:r>
          </w:p>
        </w:tc>
        <w:tc>
          <w:tcPr>
            <w:tcW w:w="2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24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(49,903)</w:t>
            </w: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5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 costs and operating expenses</w:t>
            </w:r>
          </w:p>
        </w:tc>
        <w:tc>
          <w:tcPr>
            <w:tcW w:w="11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(34,462)</w:t>
            </w:r>
          </w:p>
        </w:tc>
        <w:tc>
          <w:tcPr>
            <w:tcW w:w="13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(14,496)</w:t>
            </w:r>
          </w:p>
        </w:tc>
        <w:tc>
          <w:tcPr>
            <w:tcW w:w="13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(860,016)</w:t>
            </w:r>
          </w:p>
        </w:tc>
        <w:tc>
          <w:tcPr>
            <w:tcW w:w="128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(725,620)</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49,903</w:t>
            </w:r>
          </w:p>
        </w:tc>
        <w:tc>
          <w:tcPr>
            <w:tcW w:w="2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(1,584,691)</w:t>
            </w: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Income/(loss) from subsidiaries and VIEs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650,424</w:t>
            </w:r>
          </w:p>
        </w:tc>
        <w:tc>
          <w:tcPr>
            <w:tcW w:w="2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633,039</w:t>
            </w:r>
          </w:p>
        </w:tc>
        <w:tc>
          <w:tcPr>
            <w:tcW w:w="2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689,578</w:t>
            </w:r>
          </w:p>
        </w:tc>
        <w:tc>
          <w:tcPr>
            <w:tcW w:w="260" w:type="dxa"/>
            <w:vAlign w:val="bottom"/>
          </w:tcPr>
          <w:p>
            <w:pPr>
              <w:spacing w:after="0"/>
              <w:rPr>
                <w:sz w:val="12"/>
                <w:szCs w:val="12"/>
                <w:color w:val="auto"/>
              </w:rPr>
            </w:pPr>
          </w:p>
        </w:tc>
        <w:tc>
          <w:tcPr>
            <w:tcW w:w="12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(1,973,041)</w:t>
            </w: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5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from non-operations</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24,868</w:t>
            </w:r>
          </w:p>
        </w:tc>
        <w:tc>
          <w:tcPr>
            <w:tcW w:w="2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2,402</w:t>
            </w:r>
          </w:p>
        </w:tc>
        <w:tc>
          <w:tcPr>
            <w:tcW w:w="2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12,775</w:t>
            </w:r>
          </w:p>
        </w:tc>
        <w:tc>
          <w:tcPr>
            <w:tcW w:w="2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61,143</w:t>
            </w:r>
          </w:p>
        </w:tc>
        <w:tc>
          <w:tcPr>
            <w:tcW w:w="2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500" w:type="dxa"/>
            <w:vAlign w:val="bottom"/>
            <w:tcBorders>
              <w:top w:val="single" w:sz="8" w:color="CFF0FC"/>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Income/(loss) before</w:t>
            </w:r>
          </w:p>
        </w:tc>
        <w:tc>
          <w:tcPr>
            <w:tcW w:w="90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income tax expenses and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640,830</w:t>
            </w:r>
          </w:p>
        </w:tc>
        <w:tc>
          <w:tcPr>
            <w:tcW w:w="2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650,488</w:t>
            </w:r>
          </w:p>
        </w:tc>
        <w:tc>
          <w:tcPr>
            <w:tcW w:w="2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652,909</w:t>
            </w: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704,895</w:t>
            </w:r>
          </w:p>
        </w:tc>
        <w:tc>
          <w:tcPr>
            <w:tcW w:w="2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(1,973,041)</w:t>
            </w:r>
          </w:p>
        </w:tc>
        <w:tc>
          <w:tcPr>
            <w:tcW w:w="2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676,081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00" w:type="dxa"/>
            <w:vAlign w:val="bottom"/>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loss from equity method investments</w:t>
            </w:r>
          </w:p>
        </w:tc>
        <w:tc>
          <w:tcPr>
            <w:tcW w:w="90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Income tax expenses</w:t>
            </w:r>
          </w:p>
        </w:tc>
        <w:tc>
          <w:tcPr>
            <w:tcW w:w="1180" w:type="dxa"/>
            <w:vAlign w:val="bottom"/>
            <w:gridSpan w:val="2"/>
            <w:shd w:val="clear" w:color="auto" w:fill="CFF0FC"/>
          </w:tcPr>
          <w:p>
            <w:pPr>
              <w:jc w:val="right"/>
              <w:ind w:right="3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(64)</w:t>
            </w:r>
          </w:p>
        </w:tc>
        <w:tc>
          <w:tcPr>
            <w:tcW w:w="138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(19,870)</w:t>
            </w:r>
          </w:p>
        </w:tc>
        <w:tc>
          <w:tcPr>
            <w:tcW w:w="128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(5,232)</w:t>
            </w:r>
          </w:p>
        </w:tc>
        <w:tc>
          <w:tcPr>
            <w:tcW w:w="1340" w:type="dxa"/>
            <w:vAlign w:val="bottom"/>
            <w:gridSpan w:val="2"/>
            <w:shd w:val="clear" w:color="auto" w:fill="CFF0FC"/>
          </w:tcPr>
          <w:p>
            <w:pPr>
              <w:jc w:val="right"/>
              <w:ind w:right="2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(25,166)</w:t>
            </w:r>
          </w:p>
        </w:tc>
        <w:tc>
          <w:tcPr>
            <w:tcW w:w="0" w:type="dxa"/>
            <w:vAlign w:val="bottom"/>
          </w:tcPr>
          <w:p>
            <w:pPr>
              <w:spacing w:after="0"/>
              <w:rPr>
                <w:sz w:val="1"/>
                <w:szCs w:val="1"/>
                <w:color w:val="auto"/>
              </w:rPr>
            </w:pPr>
          </w:p>
        </w:tc>
      </w:tr>
      <w:tr>
        <w:trPr>
          <w:trHeight w:val="149"/>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from equity method investments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(10,084)</w:t>
            </w:r>
          </w:p>
        </w:tc>
        <w:tc>
          <w:tcPr>
            <w:tcW w:w="13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(10,084)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income/(loss)</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640,830</w:t>
            </w: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650,424</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633,039</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689,579</w:t>
            </w:r>
          </w:p>
        </w:tc>
        <w:tc>
          <w:tcPr>
            <w:tcW w:w="2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(1,973,041)</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640,831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50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Less: net income attribute to</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vMerge w:val="restart"/>
          </w:tcPr>
          <w:p>
            <w:pPr>
              <w:spacing w:after="0"/>
              <w:rPr>
                <w:sz w:val="9"/>
                <w:szCs w:val="9"/>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CFF0FC"/>
            </w:tcBorders>
            <w:vMerge w:val="restart"/>
          </w:tcPr>
          <w:p>
            <w:pPr>
              <w:spacing w:after="0"/>
              <w:rPr>
                <w:sz w:val="9"/>
                <w:szCs w:val="9"/>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vMerge w:val="restart"/>
          </w:tcPr>
          <w:p>
            <w:pPr>
              <w:spacing w:after="0"/>
              <w:rPr>
                <w:sz w:val="9"/>
                <w:szCs w:val="9"/>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top w:val="single" w:sz="8" w:color="CFF0FC"/>
            </w:tcBorders>
          </w:tcPr>
          <w:p>
            <w:pPr>
              <w:spacing w:after="0"/>
              <w:rPr>
                <w:sz w:val="9"/>
                <w:szCs w:val="9"/>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vMerge w:val="restart"/>
          </w:tcPr>
          <w:p>
            <w:pPr>
              <w:spacing w:after="0"/>
              <w:rPr>
                <w:sz w:val="9"/>
                <w:szCs w:val="9"/>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50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non-controlling interests</w:t>
            </w:r>
          </w:p>
        </w:tc>
        <w:tc>
          <w:tcPr>
            <w:tcW w:w="900" w:type="dxa"/>
            <w:vAlign w:val="bottom"/>
            <w:tcBorders>
              <w:bottom w:val="single" w:sz="8" w:color="auto"/>
            </w:tcBorders>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income/(loss) attributable to</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640,830</w:t>
            </w:r>
          </w:p>
        </w:tc>
        <w:tc>
          <w:tcPr>
            <w:tcW w:w="28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650,424</w:t>
            </w:r>
          </w:p>
        </w:tc>
        <w:tc>
          <w:tcPr>
            <w:tcW w:w="28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633,039</w:t>
            </w:r>
          </w:p>
        </w:tc>
        <w:tc>
          <w:tcPr>
            <w:tcW w:w="26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689,578</w:t>
            </w:r>
          </w:p>
        </w:tc>
        <w:tc>
          <w:tcPr>
            <w:tcW w:w="24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(1,973,041)</w:t>
            </w:r>
          </w:p>
        </w:tc>
        <w:tc>
          <w:tcPr>
            <w:tcW w:w="260" w:type="dxa"/>
            <w:vAlign w:val="bottom"/>
            <w:shd w:val="clear" w:color="auto" w:fill="CFF0FC"/>
          </w:tcPr>
          <w:p>
            <w:pPr>
              <w:spacing w:after="0"/>
              <w:rPr>
                <w:sz w:val="10"/>
                <w:szCs w:val="10"/>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640,830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00" w:type="dxa"/>
            <w:vAlign w:val="bottom"/>
            <w:tcBorders>
              <w:bottom w:val="single" w:sz="8" w:color="CFF0FC"/>
            </w:tcBorders>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Sunlands Technology Group</w:t>
            </w:r>
          </w:p>
        </w:tc>
        <w:tc>
          <w:tcPr>
            <w:tcW w:w="900" w:type="dxa"/>
            <w:vAlign w:val="bottom"/>
            <w:tcBorders>
              <w:bottom w:val="single" w:sz="8" w:color="auto"/>
            </w:tcBorders>
            <w:vMerge w:val="continue"/>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vMerge w:val="continue"/>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558"/>
        </w:trPr>
        <w:tc>
          <w:tcPr>
            <w:tcW w:w="3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181717"/>
              </w:rPr>
              <w:t>14</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3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-1842135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-1842135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-1842135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-1842135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-1842135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-1259205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-1242695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-1259205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-1242695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-1259205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-1242695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-1259205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-1242695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-1259205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-1242695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-882015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-864870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-882015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-864870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-882015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-864870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-882015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-864870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-882015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-864870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18" w:name="page19"/>
    <w:bookmarkEnd w:id="18"/>
    <w:p>
      <w:pPr>
        <w:ind w:left="380"/>
        <w:spacing w:after="0"/>
        <w:rPr>
          <w:sz w:val="20"/>
          <w:szCs w:val="20"/>
          <w:color w:val="auto"/>
        </w:rPr>
      </w:pPr>
      <w:r>
        <w:rPr>
          <w:rFonts w:ascii="Times New Roman" w:cs="Times New Roman" w:eastAsia="Times New Roman" w:hAnsi="Times New Roman"/>
          <w:sz w:val="18"/>
          <w:szCs w:val="18"/>
          <w:color w:val="auto"/>
        </w:rPr>
        <w:t>The following tables present the summary balance sheet data for the VIEs and other entities as of the dates presented.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10"/>
          </w:tcPr>
          <w:p>
            <w:pPr>
              <w:ind w:left="5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5"/>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4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80" w:type="dxa"/>
            <w:vAlign w:val="bottom"/>
            <w:gridSpan w:val="2"/>
            <w:vMerge w:val="continue"/>
          </w:tcPr>
          <w:p>
            <w:pPr>
              <w:spacing w:after="0"/>
              <w:rPr>
                <w:sz w:val="15"/>
                <w:szCs w:val="15"/>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Borders>
              <w:bottom w:val="single" w:sz="8" w:color="auto"/>
            </w:tcBorders>
            <w:gridSpan w:val="2"/>
            <w:vMerge w:val="continue"/>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00" w:type="dxa"/>
            <w:vAlign w:val="bottom"/>
            <w:tcBorders>
              <w:left w:val="single" w:sz="8" w:color="CFF0FC"/>
              <w:right w:val="single" w:sz="8" w:color="CFF0FC"/>
            </w:tcBorders>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cash equivalents,</w:t>
            </w: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198,933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96"/>
              </w:rPr>
              <w:t>164,613</w:t>
            </w: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199,936</w:t>
            </w:r>
          </w:p>
        </w:tc>
        <w:tc>
          <w:tcPr>
            <w:tcW w:w="12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13,281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576,763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restricted cash</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240" w:type="dxa"/>
            <w:vAlign w:val="bottom"/>
            <w:gridSpan w:val="5"/>
            <w:vMerge w:val="continue"/>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Amount due from Group companies</w:t>
            </w:r>
          </w:p>
        </w:tc>
        <w:tc>
          <w:tcPr>
            <w:tcW w:w="5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12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52,830</w:t>
            </w:r>
          </w:p>
        </w:tc>
        <w:tc>
          <w:tcPr>
            <w:tcW w:w="12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112,590</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(166,083)</w:t>
            </w: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11,498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297,894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28,440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5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662,030</w:t>
            </w:r>
          </w:p>
        </w:tc>
        <w:tc>
          <w:tcPr>
            <w:tcW w:w="12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right w:val="single" w:sz="8" w:color="CFF0FC"/>
            </w:tcBorders>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662,178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in subsidiaries and VlEs</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705,268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400,196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(1,105,464)</w:t>
            </w: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9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56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37,668</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193,148</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bottom w:val="single" w:sz="8" w:color="auto"/>
            </w:tcBorders>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212,000</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24,833</w:t>
            </w:r>
          </w:p>
        </w:tc>
        <w:tc>
          <w:tcPr>
            <w:tcW w:w="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FF0FC"/>
              <w:bottom w:val="single" w:sz="8" w:color="CFF0FC"/>
              <w:right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467,649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953,367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761,425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1,424,690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179,283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(1,271,547)</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2,047,218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5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300" w:type="dxa"/>
            <w:vAlign w:val="bottom"/>
            <w:tcBorders>
              <w:left w:val="single" w:sz="8" w:color="CFF0FC"/>
              <w:right w:val="single" w:sz="8" w:color="CFF0FC"/>
            </w:tcBorders>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24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color w:val="auto"/>
              </w:rPr>
              <w:t>483,852</w:t>
            </w:r>
          </w:p>
        </w:tc>
        <w:tc>
          <w:tcPr>
            <w:tcW w:w="12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101,389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585,294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Amount due to Group companies</w:t>
            </w:r>
          </w:p>
        </w:tc>
        <w:tc>
          <w:tcPr>
            <w:tcW w:w="5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120" w:type="dxa"/>
            <w:vAlign w:val="bottom"/>
            <w:shd w:val="clear" w:color="auto" w:fill="CFF0FC"/>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52,830</w:t>
            </w:r>
          </w:p>
        </w:tc>
        <w:tc>
          <w:tcPr>
            <w:tcW w:w="12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112,590</w:t>
            </w:r>
          </w:p>
        </w:tc>
        <w:tc>
          <w:tcPr>
            <w:tcW w:w="12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4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8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(166,083)</w:t>
            </w: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7,150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3,274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261,913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102,778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375,115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5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141,557</w:t>
            </w:r>
          </w:p>
        </w:tc>
        <w:tc>
          <w:tcPr>
            <w:tcW w:w="12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1,185</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right w:val="single" w:sz="8" w:color="CFF0FC"/>
            </w:tcBorders>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142,742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Deficits of investments</w:t>
            </w: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spacing w:after="0"/>
              <w:rPr>
                <w:sz w:val="10"/>
                <w:szCs w:val="10"/>
                <w:color w:val="auto"/>
              </w:rPr>
            </w:pP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24,582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vMerge w:val="restart"/>
          </w:tcPr>
          <w:p>
            <w:pPr>
              <w:spacing w:after="0"/>
              <w:rPr>
                <w:sz w:val="10"/>
                <w:szCs w:val="10"/>
                <w:color w:val="auto"/>
              </w:rPr>
            </w:pPr>
          </w:p>
        </w:tc>
        <w:tc>
          <w:tcPr>
            <w:tcW w:w="1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(24,582)</w:t>
            </w: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98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in subsidiaries and VIEs</w:t>
            </w: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5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7,813</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56,157</w:t>
            </w:r>
          </w:p>
        </w:tc>
        <w:tc>
          <w:tcPr>
            <w:tcW w:w="260" w:type="dxa"/>
            <w:vAlign w:val="bottom"/>
            <w:gridSpan w:val="2"/>
            <w:shd w:val="clear" w:color="auto" w:fill="CFF0FC"/>
          </w:tcPr>
          <w:p>
            <w:pPr>
              <w:spacing w:after="0"/>
              <w:rPr>
                <w:sz w:val="14"/>
                <w:szCs w:val="14"/>
                <w:color w:val="auto"/>
              </w:rPr>
            </w:pPr>
          </w:p>
        </w:tc>
        <w:tc>
          <w:tcPr>
            <w:tcW w:w="98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1,024,494</w:t>
            </w:r>
          </w:p>
        </w:tc>
        <w:tc>
          <w:tcPr>
            <w:tcW w:w="260" w:type="dxa"/>
            <w:vAlign w:val="bottom"/>
            <w:gridSpan w:val="2"/>
            <w:shd w:val="clear" w:color="auto" w:fill="CFF0FC"/>
          </w:tcPr>
          <w:p>
            <w:pPr>
              <w:spacing w:after="0"/>
              <w:rPr>
                <w:sz w:val="14"/>
                <w:szCs w:val="14"/>
                <w:color w:val="auto"/>
              </w:rPr>
            </w:pPr>
          </w:p>
        </w:tc>
        <w:tc>
          <w:tcPr>
            <w:tcW w:w="10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205,352</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(190,665)</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1,103,151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Non-controlling interest</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spacing w:after="0"/>
              <w:rPr>
                <w:sz w:val="11"/>
                <w:szCs w:val="11"/>
                <w:color w:val="auto"/>
              </w:rPr>
            </w:pPr>
          </w:p>
        </w:tc>
        <w:tc>
          <w:tcPr>
            <w:tcW w:w="1120" w:type="dxa"/>
            <w:vAlign w:val="bottom"/>
            <w:gridSpan w:val="4"/>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(1,487)</w:t>
            </w:r>
          </w:p>
        </w:tc>
        <w:tc>
          <w:tcPr>
            <w:tcW w:w="140" w:type="dxa"/>
            <w:vAlign w:val="bottom"/>
          </w:tcPr>
          <w:p>
            <w:pPr>
              <w:spacing w:after="0"/>
              <w:rPr>
                <w:sz w:val="11"/>
                <w:szCs w:val="11"/>
                <w:color w:val="auto"/>
              </w:rPr>
            </w:pPr>
          </w:p>
        </w:tc>
        <w:tc>
          <w:tcPr>
            <w:tcW w:w="1480" w:type="dxa"/>
            <w:vAlign w:val="bottom"/>
            <w:gridSpan w:val="2"/>
          </w:tcPr>
          <w:p>
            <w:pPr>
              <w:jc w:val="right"/>
              <w:ind w:right="2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(1,487)</w:t>
            </w:r>
          </w:p>
        </w:tc>
        <w:tc>
          <w:tcPr>
            <w:tcW w:w="0" w:type="dxa"/>
            <w:vAlign w:val="bottom"/>
          </w:tcPr>
          <w:p>
            <w:pPr>
              <w:spacing w:after="0"/>
              <w:rPr>
                <w:sz w:val="1"/>
                <w:szCs w:val="1"/>
                <w:color w:val="auto"/>
              </w:rPr>
            </w:pPr>
          </w:p>
        </w:tc>
      </w:tr>
      <w:tr>
        <w:trPr>
          <w:trHeight w:val="126"/>
        </w:trPr>
        <w:tc>
          <w:tcPr>
            <w:tcW w:w="29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Total Sunlands Technology</w:t>
            </w:r>
          </w:p>
        </w:tc>
        <w:tc>
          <w:tcPr>
            <w:tcW w:w="5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5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945,554</w:t>
            </w:r>
          </w:p>
        </w:tc>
        <w:tc>
          <w:tcPr>
            <w:tcW w:w="120" w:type="dxa"/>
            <w:vAlign w:val="bottom"/>
            <w:shd w:val="clear" w:color="auto" w:fill="CFF0FC"/>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6"/>
              </w:rPr>
              <w:t>705,268</w:t>
            </w:r>
          </w:p>
        </w:tc>
        <w:tc>
          <w:tcPr>
            <w:tcW w:w="120" w:type="dxa"/>
            <w:vAlign w:val="bottom"/>
            <w:shd w:val="clear" w:color="auto" w:fill="CFF0FC"/>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400,196</w:t>
            </w:r>
          </w:p>
        </w:tc>
        <w:tc>
          <w:tcPr>
            <w:tcW w:w="120" w:type="dxa"/>
            <w:vAlign w:val="bottom"/>
            <w:shd w:val="clear" w:color="auto" w:fill="CFF0FC"/>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4"/>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(24,582)</w:t>
            </w:r>
          </w:p>
        </w:tc>
        <w:tc>
          <w:tcPr>
            <w:tcW w:w="140" w:type="dxa"/>
            <w:vAlign w:val="bottom"/>
          </w:tcPr>
          <w:p>
            <w:pPr>
              <w:spacing w:after="0"/>
              <w:rPr>
                <w:sz w:val="10"/>
                <w:szCs w:val="10"/>
                <w:color w:val="auto"/>
              </w:rPr>
            </w:pPr>
          </w:p>
        </w:tc>
        <w:tc>
          <w:tcPr>
            <w:tcW w:w="148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(1,080,882)</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945,554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980" w:type="dxa"/>
            <w:vAlign w:val="bottom"/>
            <w:shd w:val="clear" w:color="auto" w:fill="CFF0FC"/>
          </w:tcPr>
          <w:p>
            <w:pPr>
              <w:ind w:left="120"/>
              <w:spacing w:after="0" w:line="158" w:lineRule="exact"/>
              <w:rPr>
                <w:sz w:val="20"/>
                <w:szCs w:val="20"/>
                <w:color w:val="auto"/>
              </w:rPr>
            </w:pPr>
            <w:r>
              <w:rPr>
                <w:rFonts w:ascii="Times New Roman" w:cs="Times New Roman" w:eastAsia="Times New Roman" w:hAnsi="Times New Roman"/>
                <w:sz w:val="14"/>
                <w:szCs w:val="14"/>
                <w:color w:val="auto"/>
              </w:rPr>
              <w:t>Group shareholders’ equity/(deficit)</w:t>
            </w:r>
          </w:p>
        </w:tc>
        <w:tc>
          <w:tcPr>
            <w:tcW w:w="5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52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48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4"/>
            <w:vMerge w:val="continue"/>
            <w:shd w:val="clear" w:color="auto" w:fill="CFF0FC"/>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Borders>
              <w:right w:val="single" w:sz="8" w:color="CFF0FC"/>
            </w:tcBorders>
            <w:gridSpan w:val="2"/>
            <w:vMerge w:val="continue"/>
            <w:shd w:val="clear" w:color="auto" w:fill="CFF0FC"/>
          </w:tcPr>
          <w:p>
            <w:pPr>
              <w:spacing w:after="0"/>
              <w:rPr>
                <w:sz w:val="13"/>
                <w:szCs w:val="13"/>
                <w:color w:val="auto"/>
              </w:rPr>
            </w:pPr>
          </w:p>
        </w:tc>
        <w:tc>
          <w:tcPr>
            <w:tcW w:w="10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953,367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761,425</w:t>
            </w: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1,424,690</w:t>
            </w: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179,283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(1,271,547)</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2,047,218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9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0"/>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100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The</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5"/>
          </w:tcPr>
          <w:p>
            <w:pPr>
              <w:jc w:val="center"/>
              <w:ind w:right="568"/>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20" w:type="dxa"/>
            <w:vAlign w:val="bottom"/>
          </w:tcPr>
          <w:p>
            <w:pPr>
              <w:spacing w:after="0"/>
              <w:rPr>
                <w:sz w:val="10"/>
                <w:szCs w:val="10"/>
                <w:color w:val="auto"/>
              </w:rPr>
            </w:pPr>
          </w:p>
        </w:tc>
        <w:tc>
          <w:tcPr>
            <w:tcW w:w="1400" w:type="dxa"/>
            <w:vAlign w:val="bottom"/>
            <w:gridSpan w:val="6"/>
          </w:tcPr>
          <w:p>
            <w:pPr>
              <w:jc w:val="center"/>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6"/>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20" w:type="dxa"/>
            <w:vAlign w:val="bottom"/>
          </w:tcPr>
          <w:p>
            <w:pPr>
              <w:spacing w:after="0"/>
              <w:rPr>
                <w:sz w:val="12"/>
                <w:szCs w:val="12"/>
                <w:color w:val="auto"/>
              </w:rPr>
            </w:pPr>
          </w:p>
        </w:tc>
        <w:tc>
          <w:tcPr>
            <w:tcW w:w="1400" w:type="dxa"/>
            <w:vAlign w:val="bottom"/>
            <w:gridSpan w:val="6"/>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1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0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00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tcPr>
          <w:p>
            <w:pPr>
              <w:spacing w:after="0"/>
              <w:rPr>
                <w:sz w:val="15"/>
                <w:szCs w:val="15"/>
                <w:color w:val="auto"/>
              </w:rPr>
            </w:pPr>
          </w:p>
        </w:tc>
        <w:tc>
          <w:tcPr>
            <w:tcW w:w="108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60" w:type="dxa"/>
            <w:vAlign w:val="bottom"/>
            <w:gridSpan w:val="2"/>
          </w:tcPr>
          <w:p>
            <w:pPr>
              <w:spacing w:after="0"/>
              <w:rPr>
                <w:sz w:val="15"/>
                <w:szCs w:val="15"/>
                <w:color w:val="auto"/>
              </w:rPr>
            </w:pPr>
          </w:p>
        </w:tc>
        <w:tc>
          <w:tcPr>
            <w:tcW w:w="220" w:type="dxa"/>
            <w:vAlign w:val="bottom"/>
            <w:tcBorders>
              <w:bottom w:val="single" w:sz="8" w:color="auto"/>
            </w:tcBorders>
            <w:gridSpan w:val="2"/>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0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10"/>
          </w:tcPr>
          <w:p>
            <w:pPr>
              <w:jc w:val="center"/>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1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00" w:type="dxa"/>
            <w:vAlign w:val="bottom"/>
            <w:tcBorders>
              <w:left w:val="single" w:sz="8" w:color="CFF0FC"/>
              <w:right w:val="single" w:sz="8" w:color="CFF0FC"/>
            </w:tcBorders>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cash equivalents,</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328,460</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31,034</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102,792</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44,943</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507,229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restricted cash</w:t>
            </w:r>
          </w:p>
        </w:tc>
        <w:tc>
          <w:tcPr>
            <w:tcW w:w="10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Amount due from Group companies</w:t>
            </w:r>
          </w:p>
        </w:tc>
        <w:tc>
          <w:tcPr>
            <w:tcW w:w="5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725,896</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5"/>
            <w:shd w:val="clear" w:color="auto" w:fill="CFF0FC"/>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(727,092)</w:t>
            </w:r>
          </w:p>
        </w:tc>
        <w:tc>
          <w:tcPr>
            <w:tcW w:w="300" w:type="dxa"/>
            <w:vAlign w:val="bottom"/>
            <w:tcBorders>
              <w:left w:val="single" w:sz="8" w:color="CFF0FC"/>
              <w:right w:val="single" w:sz="8" w:color="CFF0FC"/>
            </w:tcBorders>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19,984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304,888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51,988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5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555,422</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202,781</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tcBorders>
              <w:right w:val="single" w:sz="8" w:color="CFF0FC"/>
            </w:tcBorders>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758,215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Investments in subsidiaries, VIEs and</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218,964</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50,511</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5"/>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(269,475)</w:t>
            </w:r>
          </w:p>
        </w:tc>
        <w:tc>
          <w:tcPr>
            <w:tcW w:w="300" w:type="dxa"/>
            <w:vAlign w:val="bottom"/>
          </w:tcPr>
          <w:p>
            <w:pPr>
              <w:spacing w:after="0"/>
              <w:rPr>
                <w:sz w:val="10"/>
                <w:szCs w:val="10"/>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VIEs’ subsidiaries</w:t>
            </w:r>
          </w:p>
        </w:tc>
        <w:tc>
          <w:tcPr>
            <w:tcW w:w="10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5"/>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00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40,700</w:t>
            </w:r>
          </w:p>
        </w:tc>
        <w:tc>
          <w:tcPr>
            <w:tcW w:w="2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189,422</w:t>
            </w:r>
          </w:p>
        </w:tc>
        <w:tc>
          <w:tcPr>
            <w:tcW w:w="2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94,320</w:t>
            </w: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154,193</w:t>
            </w:r>
          </w:p>
        </w:tc>
        <w:tc>
          <w:tcPr>
            <w:tcW w:w="24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left w:val="single" w:sz="8" w:color="CFF0FC"/>
              <w:bottom w:val="single" w:sz="8" w:color="CFF0FC"/>
              <w:right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478,635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608,108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272,399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1,783,318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453,905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(996,567)</w:t>
            </w:r>
          </w:p>
        </w:tc>
        <w:tc>
          <w:tcPr>
            <w:tcW w:w="30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2,121,163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5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300" w:type="dxa"/>
            <w:vAlign w:val="bottom"/>
            <w:tcBorders>
              <w:left w:val="single" w:sz="8" w:color="CFF0FC"/>
              <w:right w:val="single" w:sz="8" w:color="CFF0FC"/>
            </w:tcBorders>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5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527,188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389,217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916,510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Amount due to Group companies</w:t>
            </w:r>
          </w:p>
        </w:tc>
        <w:tc>
          <w:tcPr>
            <w:tcW w:w="10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52,330</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673,566</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(727,092)</w:t>
            </w:r>
          </w:p>
        </w:tc>
        <w:tc>
          <w:tcPr>
            <w:tcW w:w="300" w:type="dxa"/>
            <w:vAlign w:val="bottom"/>
            <w:tcBorders>
              <w:left w:val="single" w:sz="8" w:color="CFF0FC"/>
              <w:right w:val="single" w:sz="8" w:color="CFF0FC"/>
            </w:tcBorders>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5,567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176,164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236,605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419,336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5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50,050</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135,409</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tcBorders>
              <w:right w:val="single" w:sz="8" w:color="CFF0FC"/>
            </w:tcBorders>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185,459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Deficits of investments</w:t>
            </w:r>
          </w:p>
        </w:tc>
        <w:tc>
          <w:tcPr>
            <w:tcW w:w="5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979,405</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spacing w:after="0"/>
              <w:rPr>
                <w:sz w:val="10"/>
                <w:szCs w:val="10"/>
                <w:color w:val="auto"/>
              </w:rPr>
            </w:pPr>
          </w:p>
        </w:tc>
        <w:tc>
          <w:tcPr>
            <w:tcW w:w="220" w:type="dxa"/>
            <w:vAlign w:val="bottom"/>
            <w:gridSpan w:val="2"/>
            <w:vMerge w:val="restart"/>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(979,405)</w:t>
            </w:r>
          </w:p>
        </w:tc>
        <w:tc>
          <w:tcPr>
            <w:tcW w:w="300" w:type="dxa"/>
            <w:vAlign w:val="bottom"/>
          </w:tcPr>
          <w:p>
            <w:pPr>
              <w:spacing w:after="0"/>
              <w:rPr>
                <w:sz w:val="10"/>
                <w:szCs w:val="10"/>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98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in subsidiaries and VIEs</w:t>
            </w:r>
          </w:p>
        </w:tc>
        <w:tc>
          <w:tcPr>
            <w:tcW w:w="5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0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6,763</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53,435</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1,732,807</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1,434,797</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(1,706,497)</w:t>
            </w:r>
          </w:p>
        </w:tc>
        <w:tc>
          <w:tcPr>
            <w:tcW w:w="300" w:type="dxa"/>
            <w:vAlign w:val="bottom"/>
            <w:tcBorders>
              <w:left w:val="single" w:sz="8" w:color="CFF0FC"/>
              <w:right w:val="single" w:sz="8" w:color="CFF0FC"/>
            </w:tcBorders>
            <w:shd w:val="clear" w:color="auto" w:fill="CFF0FC"/>
          </w:tcPr>
          <w:p>
            <w:pPr>
              <w:spacing w:after="0"/>
              <w:rPr>
                <w:sz w:val="14"/>
                <w:szCs w:val="14"/>
                <w:color w:val="auto"/>
              </w:rPr>
            </w:pP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1,521,305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Non-controlling interest</w:t>
            </w:r>
          </w:p>
        </w:tc>
        <w:tc>
          <w:tcPr>
            <w:tcW w:w="56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4"/>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(1,487)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(1,487)</w:t>
            </w:r>
          </w:p>
        </w:tc>
        <w:tc>
          <w:tcPr>
            <w:tcW w:w="0" w:type="dxa"/>
            <w:vAlign w:val="bottom"/>
          </w:tcPr>
          <w:p>
            <w:pPr>
              <w:spacing w:after="0"/>
              <w:rPr>
                <w:sz w:val="1"/>
                <w:szCs w:val="1"/>
                <w:color w:val="auto"/>
              </w:rPr>
            </w:pPr>
          </w:p>
        </w:tc>
      </w:tr>
      <w:tr>
        <w:trPr>
          <w:trHeight w:val="126"/>
        </w:trPr>
        <w:tc>
          <w:tcPr>
            <w:tcW w:w="29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Total Sunlands Technology</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601,345</w:t>
            </w:r>
          </w:p>
        </w:tc>
        <w:tc>
          <w:tcPr>
            <w:tcW w:w="2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218,964</w:t>
            </w: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50,511</w:t>
            </w: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80" w:type="dxa"/>
            <w:vAlign w:val="bottom"/>
            <w:gridSpan w:val="4"/>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(979,405)</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709,930</w:t>
            </w:r>
          </w:p>
        </w:tc>
        <w:tc>
          <w:tcPr>
            <w:tcW w:w="300" w:type="dxa"/>
            <w:vAlign w:val="bottom"/>
            <w:tcBorders>
              <w:left w:val="single" w:sz="8" w:color="CFF0FC"/>
              <w:right w:val="single" w:sz="8" w:color="CFF0FC"/>
            </w:tcBorders>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601,345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980" w:type="dxa"/>
            <w:vAlign w:val="bottom"/>
            <w:shd w:val="clear" w:color="auto" w:fill="CFF0FC"/>
          </w:tcPr>
          <w:p>
            <w:pPr>
              <w:ind w:left="120"/>
              <w:spacing w:after="0" w:line="158" w:lineRule="exact"/>
              <w:rPr>
                <w:sz w:val="20"/>
                <w:szCs w:val="20"/>
                <w:color w:val="auto"/>
              </w:rPr>
            </w:pPr>
            <w:r>
              <w:rPr>
                <w:rFonts w:ascii="Times New Roman" w:cs="Times New Roman" w:eastAsia="Times New Roman" w:hAnsi="Times New Roman"/>
                <w:sz w:val="14"/>
                <w:szCs w:val="14"/>
                <w:color w:val="auto"/>
              </w:rPr>
              <w:t>Group shareholders’ equity/(deficit)</w:t>
            </w:r>
          </w:p>
        </w:tc>
        <w:tc>
          <w:tcPr>
            <w:tcW w:w="1000" w:type="dxa"/>
            <w:vAlign w:val="bottom"/>
            <w:gridSpan w:val="2"/>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gridSpan w:val="3"/>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gridSpan w:val="3"/>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gridSpan w:val="4"/>
            <w:vMerge w:val="continue"/>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vMerge w:val="continue"/>
            <w:shd w:val="clear" w:color="auto" w:fill="CFF0FC"/>
          </w:tcPr>
          <w:p>
            <w:pPr>
              <w:spacing w:after="0"/>
              <w:rPr>
                <w:sz w:val="13"/>
                <w:szCs w:val="13"/>
                <w:color w:val="auto"/>
              </w:rPr>
            </w:pPr>
          </w:p>
        </w:tc>
        <w:tc>
          <w:tcPr>
            <w:tcW w:w="300" w:type="dxa"/>
            <w:vAlign w:val="bottom"/>
            <w:tcBorders>
              <w:left w:val="single" w:sz="8" w:color="CFF0FC"/>
              <w:right w:val="single" w:sz="8" w:color="CFF0FC"/>
            </w:tcBorders>
            <w:shd w:val="clear" w:color="auto" w:fill="CFF0FC"/>
          </w:tcPr>
          <w:p>
            <w:pPr>
              <w:spacing w:after="0"/>
              <w:rPr>
                <w:sz w:val="13"/>
                <w:szCs w:val="13"/>
                <w:color w:val="auto"/>
              </w:rPr>
            </w:pPr>
          </w:p>
        </w:tc>
        <w:tc>
          <w:tcPr>
            <w:tcW w:w="10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608,108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272,399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1,783,318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453,905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(996,567)</w:t>
            </w:r>
          </w:p>
        </w:tc>
        <w:tc>
          <w:tcPr>
            <w:tcW w:w="30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2,121,163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-4234180</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-4234180</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-4234180</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-4234180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-4234180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-4234180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-3350895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-3333750</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-3350895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-3333750</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-3350895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-3333750</wp:posOffset>
            </wp:positionV>
            <wp:extent cx="768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-3350895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-3333750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-3350895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-3333750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-3051175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-3051175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-3051175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-3051175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-3051175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-1310640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-1310640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-1310640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-1310640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-1310640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-427990</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-410845</wp:posOffset>
            </wp:positionV>
            <wp:extent cx="768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-427990</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-410845</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-427990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-410845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-427990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-410845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-427990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-410845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-128270</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-128270</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-128270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-128270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-128270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present the summary cash flow data for the VIEs and other entities for the periods presented.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right="360" w:hanging="107"/>
        <w:spacing w:after="0" w:line="234" w:lineRule="auto"/>
        <w:rPr>
          <w:sz w:val="20"/>
          <w:szCs w:val="20"/>
          <w:color w:val="auto"/>
        </w:rPr>
      </w:pPr>
      <w:r>
        <w:rPr>
          <w:rFonts w:ascii="Times New Roman" w:cs="Times New Roman" w:eastAsia="Times New Roman" w:hAnsi="Times New Roman"/>
          <w:sz w:val="14"/>
          <w:szCs w:val="14"/>
          <w:b w:val="1"/>
          <w:bCs w:val="1"/>
          <w:color w:val="auto"/>
        </w:rPr>
        <w:t>Net cash (used in)/generated from operating activities</w:t>
      </w:r>
    </w:p>
    <w:p>
      <w:pPr>
        <w:spacing w:after="0" w:line="1" w:lineRule="exact"/>
        <w:rPr>
          <w:sz w:val="20"/>
          <w:szCs w:val="20"/>
          <w:color w:val="auto"/>
        </w:rPr>
      </w:pPr>
    </w:p>
    <w:p>
      <w:pPr>
        <w:ind w:left="120" w:right="500" w:hanging="107"/>
        <w:spacing w:after="0" w:line="221" w:lineRule="auto"/>
        <w:rPr>
          <w:sz w:val="20"/>
          <w:szCs w:val="20"/>
          <w:color w:val="auto"/>
        </w:rPr>
      </w:pPr>
      <w:r>
        <w:rPr>
          <w:rFonts w:ascii="Times New Roman" w:cs="Times New Roman" w:eastAsia="Times New Roman" w:hAnsi="Times New Roman"/>
          <w:sz w:val="14"/>
          <w:szCs w:val="14"/>
          <w:color w:val="auto"/>
        </w:rPr>
        <w:t>Loan and working capital support within the Group</w:t>
      </w:r>
    </w:p>
    <w:p>
      <w:pPr>
        <w:spacing w:after="0" w:line="222" w:lineRule="auto"/>
        <w:rPr>
          <w:sz w:val="20"/>
          <w:szCs w:val="20"/>
          <w:color w:val="auto"/>
        </w:rPr>
      </w:pPr>
      <w:r>
        <w:rPr>
          <w:rFonts w:ascii="Times New Roman" w:cs="Times New Roman" w:eastAsia="Times New Roman" w:hAnsi="Times New Roman"/>
          <w:sz w:val="14"/>
          <w:szCs w:val="14"/>
          <w:color w:val="auto"/>
        </w:rPr>
        <w:t>Capital contribution to a subsidiary</w:t>
      </w:r>
    </w:p>
    <w:p>
      <w:pPr>
        <w:spacing w:after="0" w:line="239" w:lineRule="auto"/>
        <w:rPr>
          <w:sz w:val="20"/>
          <w:szCs w:val="20"/>
          <w:color w:val="auto"/>
        </w:rPr>
      </w:pPr>
      <w:r>
        <w:rPr>
          <w:rFonts w:ascii="Times New Roman" w:cs="Times New Roman" w:eastAsia="Times New Roman" w:hAnsi="Times New Roman"/>
          <w:sz w:val="14"/>
          <w:szCs w:val="14"/>
          <w:color w:val="auto"/>
        </w:rPr>
        <w:t>Cash dividends received from subsidiaries 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2700020"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700020" cy="145415"/>
                    </a:xfrm>
                    <a:prstGeom prst="rect">
                      <a:avLst/>
                    </a:prstGeom>
                    <a:noFill/>
                  </pic:spPr>
                </pic:pic>
              </a:graphicData>
            </a:graphic>
          </wp:anchor>
        </w:drawing>
      </w:r>
    </w:p>
    <w:p>
      <w:pPr>
        <w:spacing w:after="0" w:line="19" w:lineRule="exact"/>
        <w:rPr>
          <w:sz w:val="20"/>
          <w:szCs w:val="20"/>
          <w:color w:val="auto"/>
        </w:rPr>
      </w:pPr>
    </w:p>
    <w:p>
      <w:pPr>
        <w:ind w:left="120" w:right="360" w:hanging="107"/>
        <w:spacing w:after="0" w:line="234" w:lineRule="auto"/>
        <w:rPr>
          <w:sz w:val="20"/>
          <w:szCs w:val="20"/>
          <w:color w:val="auto"/>
        </w:rPr>
      </w:pPr>
      <w:r>
        <w:rPr>
          <w:rFonts w:ascii="Times New Roman" w:cs="Times New Roman" w:eastAsia="Times New Roman" w:hAnsi="Times New Roman"/>
          <w:sz w:val="14"/>
          <w:szCs w:val="14"/>
          <w:b w:val="1"/>
          <w:bCs w:val="1"/>
          <w:color w:val="auto"/>
        </w:rPr>
        <w:t>Net cash (used in)/generated from investing activities</w:t>
      </w:r>
    </w:p>
    <w:p>
      <w:pPr>
        <w:spacing w:after="0" w:line="1" w:lineRule="exact"/>
        <w:rPr>
          <w:sz w:val="20"/>
          <w:szCs w:val="20"/>
          <w:color w:val="auto"/>
        </w:rPr>
      </w:pPr>
    </w:p>
    <w:p>
      <w:pPr>
        <w:ind w:left="120" w:right="640" w:hanging="107"/>
        <w:spacing w:after="0" w:line="221" w:lineRule="auto"/>
        <w:rPr>
          <w:sz w:val="20"/>
          <w:szCs w:val="20"/>
          <w:color w:val="auto"/>
        </w:rPr>
      </w:pPr>
      <w:r>
        <w:rPr>
          <w:rFonts w:ascii="Times New Roman" w:cs="Times New Roman" w:eastAsia="Times New Roman" w:hAnsi="Times New Roman"/>
          <w:sz w:val="14"/>
          <w:szCs w:val="14"/>
          <w:color w:val="auto"/>
        </w:rPr>
        <w:t>Net proceeds from loan and working capital support from entities within the Group</w:t>
      </w:r>
    </w:p>
    <w:p>
      <w:pPr>
        <w:spacing w:after="0" w:line="222" w:lineRule="auto"/>
        <w:rPr>
          <w:sz w:val="20"/>
          <w:szCs w:val="20"/>
          <w:color w:val="auto"/>
        </w:rPr>
      </w:pPr>
      <w:r>
        <w:rPr>
          <w:rFonts w:ascii="Times New Roman" w:cs="Times New Roman" w:eastAsia="Times New Roman" w:hAnsi="Times New Roman"/>
          <w:sz w:val="14"/>
          <w:szCs w:val="14"/>
          <w:color w:val="auto"/>
        </w:rPr>
        <w:t>Dividends payment to parent companies</w:t>
      </w:r>
    </w:p>
    <w:p>
      <w:pPr>
        <w:spacing w:after="0" w:line="221" w:lineRule="auto"/>
        <w:rPr>
          <w:sz w:val="20"/>
          <w:szCs w:val="20"/>
          <w:color w:val="auto"/>
        </w:rPr>
      </w:pPr>
      <w:r>
        <w:rPr>
          <w:rFonts w:ascii="Times New Roman" w:cs="Times New Roman" w:eastAsia="Times New Roman" w:hAnsi="Times New Roman"/>
          <w:sz w:val="14"/>
          <w:szCs w:val="14"/>
          <w:color w:val="auto"/>
        </w:rPr>
        <w:t>Proceeds of capital contribution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financing activities</w:t>
      </w:r>
    </w:p>
    <w:p>
      <w:pPr>
        <w:spacing w:after="0" w:line="1" w:lineRule="exact"/>
        <w:rPr>
          <w:sz w:val="20"/>
          <w:szCs w:val="20"/>
          <w:color w:val="auto"/>
        </w:rPr>
      </w:pPr>
    </w:p>
    <w:p>
      <w:pPr>
        <w:ind w:left="120" w:right="360" w:hanging="107"/>
        <w:spacing w:after="0" w:line="239" w:lineRule="auto"/>
        <w:rPr>
          <w:sz w:val="20"/>
          <w:szCs w:val="20"/>
          <w:color w:val="auto"/>
        </w:rPr>
      </w:pPr>
      <w:r>
        <w:rPr>
          <w:rFonts w:ascii="Times New Roman" w:cs="Times New Roman" w:eastAsia="Times New Roman" w:hAnsi="Times New Roman"/>
          <w:sz w:val="14"/>
          <w:szCs w:val="14"/>
          <w:b w:val="1"/>
          <w:bCs w:val="1"/>
          <w:color w:val="auto"/>
        </w:rPr>
        <w:t>Net cash (used in)/generated from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right="340" w:hanging="107"/>
        <w:spacing w:after="0" w:line="234" w:lineRule="auto"/>
        <w:rPr>
          <w:sz w:val="20"/>
          <w:szCs w:val="20"/>
          <w:color w:val="auto"/>
        </w:rPr>
      </w:pPr>
      <w:r>
        <w:rPr>
          <w:rFonts w:ascii="Times New Roman" w:cs="Times New Roman" w:eastAsia="Times New Roman" w:hAnsi="Times New Roman"/>
          <w:sz w:val="14"/>
          <w:szCs w:val="14"/>
          <w:b w:val="1"/>
          <w:bCs w:val="1"/>
          <w:color w:val="auto"/>
        </w:rPr>
        <w:t>Net cash (used in)/generated from operating activities</w:t>
      </w:r>
    </w:p>
    <w:p>
      <w:pPr>
        <w:spacing w:after="0" w:line="1" w:lineRule="exact"/>
        <w:rPr>
          <w:sz w:val="20"/>
          <w:szCs w:val="20"/>
          <w:color w:val="auto"/>
        </w:rPr>
      </w:pPr>
    </w:p>
    <w:p>
      <w:pPr>
        <w:ind w:left="120" w:right="480" w:hanging="107"/>
        <w:spacing w:after="0" w:line="221" w:lineRule="auto"/>
        <w:rPr>
          <w:sz w:val="20"/>
          <w:szCs w:val="20"/>
          <w:color w:val="auto"/>
        </w:rPr>
      </w:pPr>
      <w:r>
        <w:rPr>
          <w:rFonts w:ascii="Times New Roman" w:cs="Times New Roman" w:eastAsia="Times New Roman" w:hAnsi="Times New Roman"/>
          <w:sz w:val="14"/>
          <w:szCs w:val="14"/>
          <w:color w:val="auto"/>
        </w:rPr>
        <w:t>Loan and working capital support within the Group</w:t>
      </w:r>
    </w:p>
    <w:p>
      <w:pPr>
        <w:spacing w:after="0" w:line="1" w:lineRule="exact"/>
        <w:rPr>
          <w:sz w:val="20"/>
          <w:szCs w:val="20"/>
          <w:color w:val="auto"/>
        </w:rPr>
      </w:pPr>
    </w:p>
    <w:p>
      <w:pPr>
        <w:ind w:left="20" w:right="380"/>
        <w:spacing w:after="0" w:line="231" w:lineRule="auto"/>
        <w:rPr>
          <w:sz w:val="20"/>
          <w:szCs w:val="20"/>
          <w:color w:val="auto"/>
        </w:rPr>
      </w:pPr>
      <w:r>
        <w:rPr>
          <w:rFonts w:ascii="Times New Roman" w:cs="Times New Roman" w:eastAsia="Times New Roman" w:hAnsi="Times New Roman"/>
          <w:sz w:val="14"/>
          <w:szCs w:val="14"/>
          <w:color w:val="auto"/>
        </w:rPr>
        <w:t>Capital contribution to a subsidiary Other investing activities</w:t>
      </w:r>
    </w:p>
    <w:p>
      <w:pPr>
        <w:spacing w:after="0" w:line="1" w:lineRule="exact"/>
        <w:rPr>
          <w:sz w:val="20"/>
          <w:szCs w:val="20"/>
          <w:color w:val="auto"/>
        </w:rPr>
      </w:pPr>
    </w:p>
    <w:p>
      <w:pPr>
        <w:ind w:left="120" w:right="340" w:hanging="107"/>
        <w:spacing w:after="0" w:line="221" w:lineRule="auto"/>
        <w:rPr>
          <w:sz w:val="20"/>
          <w:szCs w:val="20"/>
          <w:color w:val="auto"/>
        </w:rPr>
      </w:pPr>
      <w:r>
        <w:rPr>
          <w:rFonts w:ascii="Times New Roman" w:cs="Times New Roman" w:eastAsia="Times New Roman" w:hAnsi="Times New Roman"/>
          <w:sz w:val="14"/>
          <w:szCs w:val="14"/>
          <w:b w:val="1"/>
          <w:bCs w:val="1"/>
          <w:color w:val="auto"/>
        </w:rPr>
        <w:t>Net cash (used in)/generated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275145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51455" cy="188595"/>
                    </a:xfrm>
                    <a:prstGeom prst="rect">
                      <a:avLst/>
                    </a:prstGeom>
                    <a:noFill/>
                  </pic:spPr>
                </pic:pic>
              </a:graphicData>
            </a:graphic>
          </wp:anchor>
        </w:drawing>
      </w:r>
    </w:p>
    <w:p>
      <w:pPr>
        <w:ind w:left="120" w:right="620" w:hanging="107"/>
        <w:spacing w:after="0" w:line="221" w:lineRule="auto"/>
        <w:rPr>
          <w:sz w:val="20"/>
          <w:szCs w:val="20"/>
          <w:color w:val="auto"/>
        </w:rPr>
      </w:pPr>
      <w:r>
        <w:rPr>
          <w:rFonts w:ascii="Times New Roman" w:cs="Times New Roman" w:eastAsia="Times New Roman" w:hAnsi="Times New Roman"/>
          <w:sz w:val="14"/>
          <w:szCs w:val="14"/>
          <w:color w:val="auto"/>
        </w:rPr>
        <w:t>Net proceeds from loan and working capital support from entities within the Group</w:t>
      </w:r>
    </w:p>
    <w:p>
      <w:pPr>
        <w:spacing w:after="0" w:line="1" w:lineRule="exact"/>
        <w:rPr>
          <w:sz w:val="20"/>
          <w:szCs w:val="20"/>
          <w:color w:val="auto"/>
        </w:rPr>
      </w:pPr>
    </w:p>
    <w:p>
      <w:pPr>
        <w:ind w:left="20" w:right="580"/>
        <w:spacing w:after="0" w:line="231" w:lineRule="auto"/>
        <w:rPr>
          <w:sz w:val="20"/>
          <w:szCs w:val="20"/>
          <w:color w:val="auto"/>
        </w:rPr>
      </w:pPr>
      <w:r>
        <w:rPr>
          <w:rFonts w:ascii="Times New Roman" w:cs="Times New Roman" w:eastAsia="Times New Roman" w:hAnsi="Times New Roman"/>
          <w:sz w:val="14"/>
          <w:szCs w:val="14"/>
          <w:color w:val="auto"/>
        </w:rPr>
        <w:t>Proceeds of capital contribution Other financing activities</w:t>
      </w:r>
    </w:p>
    <w:p>
      <w:pPr>
        <w:spacing w:after="0" w:line="1" w:lineRule="exact"/>
        <w:rPr>
          <w:sz w:val="20"/>
          <w:szCs w:val="20"/>
          <w:color w:val="auto"/>
        </w:rPr>
      </w:pPr>
    </w:p>
    <w:p>
      <w:pPr>
        <w:ind w:left="120" w:right="340" w:hanging="107"/>
        <w:spacing w:after="0" w:line="239" w:lineRule="auto"/>
        <w:rPr>
          <w:sz w:val="20"/>
          <w:szCs w:val="20"/>
          <w:color w:val="auto"/>
        </w:rPr>
      </w:pPr>
      <w:r>
        <w:rPr>
          <w:rFonts w:ascii="Times New Roman" w:cs="Times New Roman" w:eastAsia="Times New Roman" w:hAnsi="Times New Roman"/>
          <w:sz w:val="14"/>
          <w:szCs w:val="14"/>
          <w:b w:val="1"/>
          <w:bCs w:val="1"/>
          <w:color w:val="auto"/>
        </w:rPr>
        <w:t>Net cash (used in)/generated from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right="360" w:hanging="107"/>
        <w:spacing w:after="0" w:line="234" w:lineRule="auto"/>
        <w:rPr>
          <w:sz w:val="20"/>
          <w:szCs w:val="20"/>
          <w:color w:val="auto"/>
        </w:rPr>
      </w:pPr>
      <w:r>
        <w:rPr>
          <w:rFonts w:ascii="Times New Roman" w:cs="Times New Roman" w:eastAsia="Times New Roman" w:hAnsi="Times New Roman"/>
          <w:sz w:val="14"/>
          <w:szCs w:val="14"/>
          <w:b w:val="1"/>
          <w:bCs w:val="1"/>
          <w:color w:val="auto"/>
        </w:rPr>
        <w:t>Net cash (used in)/generated from operating activities</w:t>
      </w:r>
    </w:p>
    <w:p>
      <w:pPr>
        <w:spacing w:after="0" w:line="1" w:lineRule="exact"/>
        <w:rPr>
          <w:sz w:val="20"/>
          <w:szCs w:val="20"/>
          <w:color w:val="auto"/>
        </w:rPr>
      </w:pPr>
    </w:p>
    <w:p>
      <w:pPr>
        <w:ind w:left="120" w:right="500" w:hanging="107"/>
        <w:spacing w:after="0" w:line="221" w:lineRule="auto"/>
        <w:rPr>
          <w:sz w:val="20"/>
          <w:szCs w:val="20"/>
          <w:color w:val="auto"/>
        </w:rPr>
      </w:pPr>
      <w:r>
        <w:rPr>
          <w:rFonts w:ascii="Times New Roman" w:cs="Times New Roman" w:eastAsia="Times New Roman" w:hAnsi="Times New Roman"/>
          <w:sz w:val="14"/>
          <w:szCs w:val="14"/>
          <w:color w:val="auto"/>
        </w:rPr>
        <w:t>Loan and working capital support within the Group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investing activities</w:t>
      </w:r>
    </w:p>
    <w:p>
      <w:pPr>
        <w:spacing w:after="0" w:line="222" w:lineRule="auto"/>
        <w:rPr>
          <w:sz w:val="20"/>
          <w:szCs w:val="20"/>
          <w:color w:val="auto"/>
        </w:rPr>
      </w:pPr>
      <w:r>
        <w:rPr>
          <w:rFonts w:ascii="Times New Roman" w:cs="Times New Roman" w:eastAsia="Times New Roman" w:hAnsi="Times New Roman"/>
          <w:sz w:val="14"/>
          <w:szCs w:val="14"/>
          <w:b w:val="1"/>
          <w:bCs w:val="1"/>
          <w:color w:val="auto"/>
        </w:rPr>
        <w:t>Net cash generated from/(used in)</w:t>
      </w:r>
    </w:p>
    <w:p>
      <w:pPr>
        <w:ind w:left="120"/>
        <w:spacing w:after="0" w:line="222" w:lineRule="auto"/>
        <w:rPr>
          <w:sz w:val="20"/>
          <w:szCs w:val="20"/>
          <w:color w:val="auto"/>
        </w:rPr>
      </w:pPr>
      <w:r>
        <w:rPr>
          <w:rFonts w:ascii="Times New Roman" w:cs="Times New Roman" w:eastAsia="Times New Roman" w:hAnsi="Times New Roman"/>
          <w:sz w:val="14"/>
          <w:szCs w:val="14"/>
          <w:b w:val="1"/>
          <w:bCs w:val="1"/>
          <w:color w:val="auto"/>
        </w:rPr>
        <w:t>investing activities</w:t>
      </w:r>
    </w:p>
    <w:p>
      <w:pPr>
        <w:ind w:left="120" w:right="640" w:hanging="107"/>
        <w:spacing w:after="0" w:line="221" w:lineRule="auto"/>
        <w:rPr>
          <w:sz w:val="20"/>
          <w:szCs w:val="20"/>
          <w:color w:val="auto"/>
        </w:rPr>
      </w:pPr>
      <w:r>
        <w:rPr>
          <w:rFonts w:ascii="Times New Roman" w:cs="Times New Roman" w:eastAsia="Times New Roman" w:hAnsi="Times New Roman"/>
          <w:sz w:val="14"/>
          <w:szCs w:val="14"/>
          <w:color w:val="auto"/>
        </w:rPr>
        <w:t>Net proceeds from loan and working capital support from entities within the Group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financing activities</w:t>
      </w:r>
    </w:p>
    <w:p>
      <w:pPr>
        <w:spacing w:after="0" w:line="1" w:lineRule="exact"/>
        <w:rPr>
          <w:sz w:val="20"/>
          <w:szCs w:val="20"/>
          <w:color w:val="auto"/>
        </w:rPr>
      </w:pPr>
    </w:p>
    <w:p>
      <w:pPr>
        <w:ind w:left="120" w:right="360" w:hanging="107"/>
        <w:spacing w:after="0" w:line="239" w:lineRule="auto"/>
        <w:rPr>
          <w:sz w:val="20"/>
          <w:szCs w:val="20"/>
          <w:color w:val="auto"/>
        </w:rPr>
      </w:pPr>
      <w:r>
        <w:rPr>
          <w:rFonts w:ascii="Times New Roman" w:cs="Times New Roman" w:eastAsia="Times New Roman" w:hAnsi="Times New Roman"/>
          <w:sz w:val="14"/>
          <w:szCs w:val="14"/>
          <w:b w:val="1"/>
          <w:bCs w:val="1"/>
          <w:color w:val="auto"/>
        </w:rPr>
        <w:t>Net cash (used in)/generated from financing activities</w:t>
      </w:r>
    </w:p>
    <w:p>
      <w:pPr>
        <w:spacing w:after="0" w:line="20" w:lineRule="exact"/>
        <w:rPr>
          <w:sz w:val="20"/>
          <w:szCs w:val="20"/>
          <w:color w:val="auto"/>
        </w:rPr>
      </w:pPr>
      <w:r>
        <w:rPr>
          <w:sz w:val="20"/>
          <w:szCs w:val="20"/>
          <w:color w:val="auto"/>
        </w:rPr>
        <w:br w:type="column"/>
      </w:r>
    </w:p>
    <w:p>
      <w:pPr>
        <w:ind w:left="28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4"/>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The</w:t>
            </w:r>
          </w:p>
        </w:tc>
        <w:tc>
          <w:tcPr>
            <w:tcW w:w="1400" w:type="dxa"/>
            <w:vAlign w:val="bottom"/>
            <w:tcBorders>
              <w:top w:val="single" w:sz="8" w:color="auto"/>
            </w:tcBorders>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5"/>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4"/>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40" w:type="dxa"/>
            <w:vAlign w:val="bottom"/>
          </w:tcPr>
          <w:p>
            <w:pPr>
              <w:spacing w:after="0"/>
              <w:rPr>
                <w:sz w:val="12"/>
                <w:szCs w:val="12"/>
                <w:color w:val="auto"/>
              </w:rPr>
            </w:pPr>
          </w:p>
        </w:tc>
        <w:tc>
          <w:tcPr>
            <w:tcW w:w="13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60" w:type="dxa"/>
            <w:vAlign w:val="bottom"/>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00" w:type="dxa"/>
            <w:vAlign w:val="bottom"/>
            <w:gridSpan w:val="2"/>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00" w:type="dxa"/>
            <w:vAlign w:val="bottom"/>
            <w:gridSpan w:val="3"/>
          </w:tcPr>
          <w:p>
            <w:pPr>
              <w:spacing w:after="0"/>
              <w:rPr>
                <w:sz w:val="15"/>
                <w:szCs w:val="15"/>
                <w:color w:val="auto"/>
              </w:rPr>
            </w:pPr>
          </w:p>
        </w:tc>
        <w:tc>
          <w:tcPr>
            <w:tcW w:w="12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0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10"/>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(RMB in thousands)</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12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(50,635)</w:t>
            </w:r>
          </w:p>
        </w:tc>
        <w:tc>
          <w:tcPr>
            <w:tcW w:w="200" w:type="dxa"/>
            <w:vAlign w:val="bottom"/>
          </w:tcPr>
          <w:p>
            <w:pPr>
              <w:spacing w:after="0"/>
              <w:rPr>
                <w:sz w:val="24"/>
                <w:szCs w:val="24"/>
                <w:color w:val="auto"/>
              </w:rPr>
            </w:pPr>
          </w:p>
        </w:tc>
        <w:tc>
          <w:tcPr>
            <w:tcW w:w="14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(3,121)</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378,447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(177,882)</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146,809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22"/>
                <w:szCs w:val="22"/>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color w:val="auto"/>
              </w:rPr>
              <w:t>(198,400)</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198,400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280" w:type="dxa"/>
            <w:vAlign w:val="bottom"/>
            <w:gridSpan w:val="5"/>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(62,976)</w:t>
            </w:r>
          </w:p>
        </w:tc>
        <w:tc>
          <w:tcPr>
            <w:tcW w:w="200" w:type="dxa"/>
            <w:vAlign w:val="bottom"/>
          </w:tcPr>
          <w:p>
            <w:pPr>
              <w:spacing w:after="0"/>
              <w:rPr>
                <w:sz w:val="12"/>
                <w:szCs w:val="12"/>
                <w:color w:val="auto"/>
              </w:rPr>
            </w:pPr>
          </w:p>
        </w:tc>
        <w:tc>
          <w:tcPr>
            <w:tcW w:w="140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(9,913)</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72,889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38,000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(38,000)</w:t>
            </w:r>
          </w:p>
        </w:tc>
        <w:tc>
          <w:tcPr>
            <w:tcW w:w="14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right w:val="single" w:sz="8" w:color="CFF0FC"/>
            </w:tcBorders>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FF0FC"/>
              <w:right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5"/>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(13,277)</w:t>
            </w:r>
          </w:p>
        </w:tc>
        <w:tc>
          <w:tcPr>
            <w:tcW w:w="140" w:type="dxa"/>
            <w:vAlign w:val="bottom"/>
          </w:tcPr>
          <w:p>
            <w:pPr>
              <w:spacing w:after="0"/>
              <w:rPr>
                <w:sz w:val="18"/>
                <w:szCs w:val="18"/>
                <w:color w:val="auto"/>
              </w:rPr>
            </w:pPr>
          </w:p>
        </w:tc>
        <w:tc>
          <w:tcPr>
            <w:tcW w:w="13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(2,179)</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(12,735)</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(60,255)</w:t>
            </w:r>
          </w:p>
        </w:tc>
        <w:tc>
          <w:tcPr>
            <w:tcW w:w="20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28,087</w:t>
            </w:r>
          </w:p>
        </w:tc>
        <w:tc>
          <w:tcPr>
            <w:tcW w:w="140" w:type="dxa"/>
            <w:vAlign w:val="bottom"/>
          </w:tcPr>
          <w:p>
            <w:pPr>
              <w:spacing w:after="0"/>
              <w:rPr>
                <w:sz w:val="21"/>
                <w:szCs w:val="21"/>
                <w:color w:val="auto"/>
              </w:rPr>
            </w:pPr>
          </w:p>
        </w:tc>
        <w:tc>
          <w:tcPr>
            <w:tcW w:w="138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(211,677)</w:t>
            </w:r>
          </w:p>
        </w:tc>
        <w:tc>
          <w:tcPr>
            <w:tcW w:w="14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(2,179)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233,289</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(12,735)</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148,400</w:t>
            </w:r>
          </w:p>
        </w:tc>
        <w:tc>
          <w:tcPr>
            <w:tcW w:w="80" w:type="dxa"/>
            <w:vAlign w:val="bottom"/>
          </w:tcPr>
          <w:p>
            <w:pPr>
              <w:spacing w:after="0"/>
              <w:rPr>
                <w:sz w:val="24"/>
                <w:szCs w:val="24"/>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(198,400)</w:t>
            </w:r>
          </w:p>
        </w:tc>
        <w:tc>
          <w:tcPr>
            <w:tcW w:w="1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spacing w:after="0"/>
              <w:rPr>
                <w:sz w:val="12"/>
                <w:szCs w:val="12"/>
                <w:color w:val="auto"/>
              </w:rPr>
            </w:pPr>
          </w:p>
        </w:tc>
        <w:tc>
          <w:tcPr>
            <w:tcW w:w="3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6"/>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(38,000)</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1"/>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tcPr>
          <w:p>
            <w:pPr>
              <w:jc w:val="right"/>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color w:val="auto"/>
              </w:rPr>
              <w:t>62,976</w:t>
            </w:r>
          </w:p>
        </w:tc>
        <w:tc>
          <w:tcPr>
            <w:tcW w:w="140" w:type="dxa"/>
            <w:vAlign w:val="bottom"/>
          </w:tcPr>
          <w:p>
            <w:pPr>
              <w:spacing w:after="0"/>
              <w:rPr>
                <w:sz w:val="13"/>
                <w:szCs w:val="13"/>
                <w:color w:val="auto"/>
              </w:rPr>
            </w:pPr>
          </w:p>
        </w:tc>
        <w:tc>
          <w:tcPr>
            <w:tcW w:w="1280" w:type="dxa"/>
            <w:vAlign w:val="bottom"/>
            <w:gridSpan w:val="4"/>
          </w:tcPr>
          <w:p>
            <w:pPr>
              <w:jc w:val="right"/>
              <w:spacing w:after="0" w:line="151" w:lineRule="exact"/>
              <w:rPr>
                <w:sz w:val="20"/>
                <w:szCs w:val="20"/>
                <w:color w:val="auto"/>
              </w:rPr>
            </w:pPr>
            <w:r>
              <w:rPr>
                <w:rFonts w:ascii="Times New Roman" w:cs="Times New Roman" w:eastAsia="Times New Roman" w:hAnsi="Times New Roman"/>
                <w:sz w:val="14"/>
                <w:szCs w:val="14"/>
                <w:color w:val="auto"/>
              </w:rPr>
              <w:t>9,913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4"/>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(72,889)</w:t>
            </w:r>
          </w:p>
        </w:tc>
        <w:tc>
          <w:tcPr>
            <w:tcW w:w="140" w:type="dxa"/>
            <w:vAlign w:val="bottom"/>
          </w:tcPr>
          <w:p>
            <w:pPr>
              <w:spacing w:after="0"/>
              <w:rPr>
                <w:sz w:val="13"/>
                <w:szCs w:val="13"/>
                <w:color w:val="auto"/>
              </w:rPr>
            </w:pPr>
          </w:p>
        </w:tc>
        <w:tc>
          <w:tcPr>
            <w:tcW w:w="116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2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(6,168)</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color w:val="auto"/>
              </w:rPr>
              <w:t>(41,540)</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(47,708)</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(6,168)</w:t>
            </w:r>
          </w:p>
        </w:tc>
        <w:tc>
          <w:tcPr>
            <w:tcW w:w="20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112,976</w:t>
            </w:r>
          </w:p>
        </w:tc>
        <w:tc>
          <w:tcPr>
            <w:tcW w:w="140" w:type="dxa"/>
            <w:vAlign w:val="bottom"/>
          </w:tcPr>
          <w:p>
            <w:pPr>
              <w:spacing w:after="0"/>
              <w:rPr>
                <w:sz w:val="21"/>
                <w:szCs w:val="21"/>
                <w:color w:val="auto"/>
              </w:rPr>
            </w:pPr>
          </w:p>
        </w:tc>
        <w:tc>
          <w:tcPr>
            <w:tcW w:w="138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(69,627)</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148,400</w:t>
            </w:r>
          </w:p>
        </w:tc>
        <w:tc>
          <w:tcPr>
            <w:tcW w:w="80" w:type="dxa"/>
            <w:vAlign w:val="bottom"/>
          </w:tcPr>
          <w:p>
            <w:pPr>
              <w:spacing w:after="0"/>
              <w:rPr>
                <w:sz w:val="21"/>
                <w:szCs w:val="21"/>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(233,289)</w:t>
            </w:r>
          </w:p>
        </w:tc>
        <w:tc>
          <w:tcPr>
            <w:tcW w:w="14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(47,708)</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0"/>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The</w:t>
            </w:r>
          </w:p>
        </w:tc>
        <w:tc>
          <w:tcPr>
            <w:tcW w:w="140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0"/>
                <w:szCs w:val="10"/>
                <w:color w:val="auto"/>
              </w:rPr>
            </w:pPr>
          </w:p>
        </w:tc>
        <w:tc>
          <w:tcPr>
            <w:tcW w:w="1240" w:type="dxa"/>
            <w:vAlign w:val="bottom"/>
            <w:gridSpan w:val="5"/>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40" w:type="dxa"/>
            <w:vAlign w:val="bottom"/>
          </w:tcPr>
          <w:p>
            <w:pPr>
              <w:spacing w:after="0"/>
              <w:rPr>
                <w:sz w:val="10"/>
                <w:szCs w:val="10"/>
                <w:color w:val="auto"/>
              </w:rPr>
            </w:pPr>
          </w:p>
        </w:tc>
        <w:tc>
          <w:tcPr>
            <w:tcW w:w="1300" w:type="dxa"/>
            <w:vAlign w:val="bottom"/>
            <w:gridSpan w:val="4"/>
          </w:tcPr>
          <w:p>
            <w:pPr>
              <w:jc w:val="center"/>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5"/>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40" w:type="dxa"/>
            <w:vAlign w:val="bottom"/>
          </w:tcPr>
          <w:p>
            <w:pPr>
              <w:spacing w:after="0"/>
              <w:rPr>
                <w:sz w:val="12"/>
                <w:szCs w:val="12"/>
                <w:color w:val="auto"/>
              </w:rPr>
            </w:pPr>
          </w:p>
        </w:tc>
        <w:tc>
          <w:tcPr>
            <w:tcW w:w="1300" w:type="dxa"/>
            <w:vAlign w:val="bottom"/>
            <w:gridSpan w:val="4"/>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0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gridSpan w:val="2"/>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00" w:type="dxa"/>
            <w:vAlign w:val="bottom"/>
          </w:tcPr>
          <w:p>
            <w:pPr>
              <w:spacing w:after="0"/>
              <w:rPr>
                <w:sz w:val="15"/>
                <w:szCs w:val="15"/>
                <w:color w:val="auto"/>
              </w:rPr>
            </w:pPr>
          </w:p>
        </w:tc>
        <w:tc>
          <w:tcPr>
            <w:tcW w:w="116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4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240" w:type="dxa"/>
            <w:vAlign w:val="bottom"/>
            <w:gridSpan w:val="2"/>
          </w:tcPr>
          <w:p>
            <w:pPr>
              <w:spacing w:after="0"/>
              <w:rPr>
                <w:sz w:val="15"/>
                <w:szCs w:val="15"/>
                <w:color w:val="auto"/>
              </w:rPr>
            </w:pPr>
          </w:p>
        </w:tc>
        <w:tc>
          <w:tcPr>
            <w:tcW w:w="100" w:type="dxa"/>
            <w:vAlign w:val="bottom"/>
            <w:tcBorders>
              <w:bottom w:val="single" w:sz="8" w:color="auto"/>
            </w:tcBorders>
            <w:gridSpan w:val="2"/>
          </w:tcPr>
          <w:p>
            <w:pPr>
              <w:spacing w:after="0"/>
              <w:rPr>
                <w:sz w:val="15"/>
                <w:szCs w:val="15"/>
                <w:color w:val="auto"/>
              </w:rPr>
            </w:pPr>
          </w:p>
        </w:tc>
        <w:tc>
          <w:tcPr>
            <w:tcW w:w="104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32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5"/>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148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(16,630 )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23,197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(563,948 )</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752,900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195,519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922,307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(922,307 )</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480" w:type="dxa"/>
            <w:vAlign w:val="bottom"/>
            <w:gridSpan w:val="6"/>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(143,089 )</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143,089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gridSpan w:val="2"/>
          </w:tcPr>
          <w:p>
            <w:pPr>
              <w:spacing w:after="0"/>
              <w:rPr>
                <w:sz w:val="14"/>
                <w:szCs w:val="14"/>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(3,212 )</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(213,505 )</w:t>
            </w:r>
          </w:p>
        </w:tc>
        <w:tc>
          <w:tcPr>
            <w:tcW w:w="14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(244,989 )</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102,846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(358,860 )</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gridSpan w:val="2"/>
          </w:tcPr>
          <w:p>
            <w:pPr>
              <w:spacing w:after="0"/>
              <w:rPr>
                <w:sz w:val="23"/>
                <w:szCs w:val="23"/>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(146,301 )</w:t>
            </w:r>
          </w:p>
        </w:tc>
        <w:tc>
          <w:tcPr>
            <w:tcW w:w="12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(213,505 )</w:t>
            </w:r>
          </w:p>
        </w:tc>
        <w:tc>
          <w:tcPr>
            <w:tcW w:w="140" w:type="dxa"/>
            <w:vAlign w:val="bottom"/>
            <w:tcBorders>
              <w:right w:val="single" w:sz="8" w:color="CFF0FC"/>
            </w:tcBorders>
          </w:tcPr>
          <w:p>
            <w:pPr>
              <w:spacing w:after="0"/>
              <w:rPr>
                <w:sz w:val="23"/>
                <w:szCs w:val="2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677,318</w:t>
            </w:r>
          </w:p>
        </w:tc>
        <w:tc>
          <w:tcPr>
            <w:tcW w:w="100" w:type="dxa"/>
            <w:vAlign w:val="bottom"/>
            <w:tcBorders>
              <w:left w:val="single" w:sz="8" w:color="CFF0FC"/>
            </w:tcBorders>
            <w:shd w:val="clear" w:color="auto" w:fill="CFF0FC"/>
          </w:tcPr>
          <w:p>
            <w:pPr>
              <w:spacing w:after="0"/>
              <w:rPr>
                <w:sz w:val="23"/>
                <w:szCs w:val="23"/>
                <w:color w:val="auto"/>
              </w:rPr>
            </w:pPr>
          </w:p>
        </w:tc>
        <w:tc>
          <w:tcPr>
            <w:tcW w:w="140" w:type="dxa"/>
            <w:vAlign w:val="bottom"/>
            <w:tcBorders>
              <w:right w:val="single" w:sz="8" w:color="CFF0FC"/>
            </w:tcBorders>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102,846</w:t>
            </w:r>
          </w:p>
        </w:tc>
        <w:tc>
          <w:tcPr>
            <w:tcW w:w="100" w:type="dxa"/>
            <w:vAlign w:val="bottom"/>
            <w:tcBorders>
              <w:left w:val="single" w:sz="8" w:color="CFF0FC"/>
            </w:tcBorders>
            <w:shd w:val="clear" w:color="auto" w:fill="CFF0FC"/>
          </w:tcPr>
          <w:p>
            <w:pPr>
              <w:spacing w:after="0"/>
              <w:rPr>
                <w:sz w:val="23"/>
                <w:szCs w:val="23"/>
                <w:color w:val="auto"/>
              </w:rPr>
            </w:pPr>
          </w:p>
        </w:tc>
        <w:tc>
          <w:tcPr>
            <w:tcW w:w="220" w:type="dxa"/>
            <w:vAlign w:val="bottom"/>
            <w:tcBorders>
              <w:right w:val="single" w:sz="8" w:color="CFF0FC"/>
            </w:tcBorders>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(779,218 )</w:t>
            </w:r>
          </w:p>
        </w:tc>
        <w:tc>
          <w:tcPr>
            <w:tcW w:w="160" w:type="dxa"/>
            <w:vAlign w:val="bottom"/>
            <w:tcBorders>
              <w:right w:val="single" w:sz="8" w:color="CFF0FC"/>
            </w:tcBorders>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(358,860 )</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4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20" w:type="dxa"/>
            <w:vAlign w:val="bottom"/>
            <w:gridSpan w:val="2"/>
          </w:tcPr>
          <w:p>
            <w:pPr>
              <w:spacing w:after="0"/>
              <w:rPr>
                <w:sz w:val="24"/>
                <w:szCs w:val="24"/>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(924,637 )</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922,307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280" w:type="dxa"/>
            <w:vAlign w:val="bottom"/>
            <w:gridSpan w:val="5"/>
          </w:tcPr>
          <w:p>
            <w:pPr>
              <w:jc w:val="right"/>
              <w:ind w:right="20"/>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116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143,089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color w:val="auto"/>
              </w:rPr>
              <w:t>(143,089 )</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0" w:type="dxa"/>
            <w:vAlign w:val="bottom"/>
            <w:gridSpan w:val="2"/>
          </w:tcPr>
          <w:p>
            <w:pPr>
              <w:spacing w:after="0"/>
              <w:rPr>
                <w:sz w:val="14"/>
                <w:szCs w:val="14"/>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(10,949 )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(101,779 )</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(112,728 )</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gridSpan w:val="2"/>
          </w:tcPr>
          <w:p>
            <w:pPr>
              <w:spacing w:after="0"/>
              <w:rPr>
                <w:sz w:val="21"/>
                <w:szCs w:val="21"/>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(10,949 )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145,419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(101,779 )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(924,637 )</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779,218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(112,728 )</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1"/>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The</w:t>
            </w:r>
          </w:p>
        </w:tc>
        <w:tc>
          <w:tcPr>
            <w:tcW w:w="140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0"/>
                <w:szCs w:val="10"/>
                <w:color w:val="auto"/>
              </w:rPr>
            </w:pPr>
          </w:p>
        </w:tc>
        <w:tc>
          <w:tcPr>
            <w:tcW w:w="1240" w:type="dxa"/>
            <w:vAlign w:val="bottom"/>
            <w:gridSpan w:val="5"/>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40" w:type="dxa"/>
            <w:vAlign w:val="bottom"/>
          </w:tcPr>
          <w:p>
            <w:pPr>
              <w:spacing w:after="0"/>
              <w:rPr>
                <w:sz w:val="10"/>
                <w:szCs w:val="10"/>
                <w:color w:val="auto"/>
              </w:rPr>
            </w:pPr>
          </w:p>
        </w:tc>
        <w:tc>
          <w:tcPr>
            <w:tcW w:w="1300" w:type="dxa"/>
            <w:vAlign w:val="bottom"/>
            <w:gridSpan w:val="4"/>
          </w:tcPr>
          <w:p>
            <w:pPr>
              <w:jc w:val="center"/>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380" w:type="dxa"/>
            <w:vAlign w:val="bottom"/>
            <w:gridSpan w:val="6"/>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Beneficiary</w:t>
            </w:r>
          </w:p>
        </w:tc>
        <w:tc>
          <w:tcPr>
            <w:tcW w:w="140" w:type="dxa"/>
            <w:vAlign w:val="bottom"/>
          </w:tcPr>
          <w:p>
            <w:pPr>
              <w:spacing w:after="0"/>
              <w:rPr>
                <w:sz w:val="12"/>
                <w:szCs w:val="12"/>
                <w:color w:val="auto"/>
              </w:rPr>
            </w:pPr>
          </w:p>
        </w:tc>
        <w:tc>
          <w:tcPr>
            <w:tcW w:w="1300" w:type="dxa"/>
            <w:vAlign w:val="bottom"/>
            <w:gridSpan w:val="4"/>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VIEs’</w:t>
            </w:r>
          </w:p>
        </w:tc>
        <w:tc>
          <w:tcPr>
            <w:tcW w:w="10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gridSpan w:val="2"/>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gridSpan w:val="2"/>
          </w:tcPr>
          <w:p>
            <w:pPr>
              <w:spacing w:after="0"/>
              <w:rPr>
                <w:sz w:val="15"/>
                <w:szCs w:val="15"/>
                <w:color w:val="auto"/>
              </w:rPr>
            </w:pPr>
          </w:p>
        </w:tc>
        <w:tc>
          <w:tcPr>
            <w:tcW w:w="10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340" w:type="dxa"/>
            <w:vAlign w:val="bottom"/>
            <w:gridSpan w:val="3"/>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260" w:type="dxa"/>
            <w:vAlign w:val="bottom"/>
            <w:gridSpan w:val="3"/>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32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10"/>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(RMB in thousands)</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(66,321)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95,950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(481,352)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592,521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140,798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33,559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552,864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(586,423)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(1,958)</w:t>
            </w:r>
          </w:p>
        </w:tc>
        <w:tc>
          <w:tcPr>
            <w:tcW w:w="200" w:type="dxa"/>
            <w:vAlign w:val="bottom"/>
          </w:tcPr>
          <w:p>
            <w:pPr>
              <w:spacing w:after="0"/>
              <w:rPr>
                <w:sz w:val="15"/>
                <w:szCs w:val="15"/>
                <w:color w:val="auto"/>
              </w:rPr>
            </w:pPr>
          </w:p>
        </w:tc>
        <w:tc>
          <w:tcPr>
            <w:tcW w:w="14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(41,822)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(28,038)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(71,818)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3"/>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31,601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3"/>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511,042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(28,038)</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(586,423)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(71,818)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(602,864)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586,423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(36,004)</w:t>
            </w:r>
          </w:p>
        </w:tc>
        <w:tc>
          <w:tcPr>
            <w:tcW w:w="200" w:type="dxa"/>
            <w:vAlign w:val="bottom"/>
          </w:tcPr>
          <w:p>
            <w:pPr>
              <w:spacing w:after="0"/>
              <w:rPr>
                <w:sz w:val="15"/>
                <w:szCs w:val="15"/>
                <w:color w:val="auto"/>
              </w:rPr>
            </w:pPr>
          </w:p>
        </w:tc>
        <w:tc>
          <w:tcPr>
            <w:tcW w:w="14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(38,654)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2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(74,658)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(36,004)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16,441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(38,654)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(602,864)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586,423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(74,658)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-5948680</wp:posOffset>
            </wp:positionV>
            <wp:extent cx="713232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-5571490</wp:posOffset>
            </wp:positionV>
            <wp:extent cx="7132320" cy="939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-5048250</wp:posOffset>
            </wp:positionV>
            <wp:extent cx="7132320" cy="2832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-4671060</wp:posOffset>
            </wp:positionV>
            <wp:extent cx="7132320" cy="939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1751330</wp:posOffset>
            </wp:positionH>
            <wp:positionV relativeFrom="paragraph">
              <wp:posOffset>-5245735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-5245735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-5245735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-5245735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-5245735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-4474210</wp:posOffset>
            </wp:positionV>
            <wp:extent cx="713232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-3522345</wp:posOffset>
            </wp:positionV>
            <wp:extent cx="713232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-3145790</wp:posOffset>
            </wp:positionV>
            <wp:extent cx="7132320" cy="946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-2476500</wp:posOffset>
            </wp:positionV>
            <wp:extent cx="7132320" cy="939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-2785110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1674495</wp:posOffset>
            </wp:positionH>
            <wp:positionV relativeFrom="paragraph">
              <wp:posOffset>-2767965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-2785110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-2767965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-2785110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-2767965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-2785110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-2767965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-2785110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-2767965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-2279650</wp:posOffset>
            </wp:positionV>
            <wp:extent cx="713232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-574040</wp:posOffset>
            </wp:positionV>
            <wp:extent cx="7132320" cy="2825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-1242695</wp:posOffset>
            </wp:positionV>
            <wp:extent cx="713232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-864870</wp:posOffset>
            </wp:positionV>
            <wp:extent cx="7132320" cy="102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-187960</wp:posOffset>
            </wp:positionV>
            <wp:extent cx="713232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2440" w:space="520"/>
            <w:col w:w="8280"/>
          </w:cols>
          <w:pgMar w:left="320" w:top="1154" w:right="339" w:bottom="1440" w:gutter="0" w:footer="0" w:header="0"/>
        </w:sect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Restrictions on Foreign Exchange and the Ability to Transfer Cash between Entities, Across Borders and to U.S. Investors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20" w:name="page21"/>
    <w:bookmarkEnd w:id="20"/>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Sunlands Technology Group’s ability to pay dividends, if any, to its shareholders and ADS holders and to service any debt it may incur will depend upon dividends paid by our PRC subsidiaries. Under PRC laws and regulations, our PRC subsidiaries are subject to certain restrictions with respect to paying dividends or otherwise transferring any of their net assets offshore to Sunlands Technology Group. In particular, under the current effective PRC laws and regulations, dividends may be paid only out of distributable profits. Distributable profits are the net profit as determined under PRC GAAP, less any recovery of accumulated losses and appropriations to statutory and other reserves required to be made. Each of our PRC subsidiaries is required to set aside at least 10% of its after-tax profits each year, after making up previous years’ accumulated losses, if any, to fund certain statutory reserve funds, until the aggregate amount of such a fund reaches 50% of its registered capital. As a result, our PRC subsidiaries may not have sufficient distributable profits to pay dividends to us in the near future.</w:t>
      </w:r>
    </w:p>
    <w:p>
      <w:pPr>
        <w:spacing w:after="0" w:line="84"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Furthermore, if certain procedural requirements are satisfied, the payment of current account items, including profit distributions and trade and service-related foreign exchange transactions, can be made in foreign currencies without prior approval from State Administration of Foreign Exchange, or the SAFE, or its local branches. However, where Renminbi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control system prevents the Group from obtaining sufficient foreign currencies to satisfy the Group’s foreign currency demands, the Group may not be able to pay dividends in foreign currencies to our offshore intermediary holding companies or ultimate parent company, and therefore, our shareholders or investors in the ADSs. Further, we cannot assure you that new regulations or policies will not be promulgated in the future, which may further restrict the remittance of Renminbi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of the PRC. If any of our subsidiaries incurs debt on its own behalf in the future, the instruments governing such debt may restrict its ability to pay dividends to Sunlands Technology Group. In addition, our PRC subsidiaries are required to make appropriations to certain statutory reserve funds, which are not distributable as cash dividends except in the event of a solvent liquidation of the companies.</w:t>
      </w:r>
    </w:p>
    <w:p>
      <w:pPr>
        <w:spacing w:after="0" w:line="89" w:lineRule="exact"/>
        <w:rPr>
          <w:sz w:val="20"/>
          <w:szCs w:val="20"/>
          <w:color w:val="auto"/>
        </w:rPr>
      </w:pPr>
    </w:p>
    <w:p>
      <w:pPr>
        <w:ind w:right="140" w:firstLine="374"/>
        <w:spacing w:after="0" w:line="407" w:lineRule="auto"/>
        <w:rPr>
          <w:sz w:val="20"/>
          <w:szCs w:val="20"/>
          <w:color w:val="auto"/>
        </w:rPr>
      </w:pPr>
      <w:r>
        <w:rPr>
          <w:rFonts w:ascii="Times New Roman" w:cs="Times New Roman" w:eastAsia="Times New Roman" w:hAnsi="Times New Roman"/>
          <w:sz w:val="18"/>
          <w:szCs w:val="18"/>
          <w:color w:val="auto"/>
        </w:rPr>
        <w:t xml:space="preserve">For PRC and United States federal income tax considerations of an investment in the ADSs, see “Item 10. Additional Information—10.E. Taxation.” </w:t>
      </w:r>
      <w:r>
        <w:rPr>
          <w:rFonts w:ascii="Times New Roman" w:cs="Times New Roman" w:eastAsia="Times New Roman" w:hAnsi="Times New Roman"/>
          <w:sz w:val="18"/>
          <w:szCs w:val="18"/>
          <w:b w:val="1"/>
          <w:bCs w:val="1"/>
          <w:color w:val="auto"/>
        </w:rPr>
        <w:t>Impact of Holding Foreign Companies Accountable Act</w:t>
      </w:r>
    </w:p>
    <w:p>
      <w:pPr>
        <w:spacing w:after="0" w:line="54"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color w:val="auto"/>
        </w:rPr>
        <w:t>Trading in our securities on U.S. markets, including the NYSE, may be prohibited under the Holding Foreign Companies Accountable Act (the “HFCAA”) if the Public Company Accounting Oversight Board (the “PCAOB”) determines that it is unable to inspect or investigate completely our auditor for two consecutive years. On December 16, 2021, the PCAOB issued the HFCAA Determination Report to notify the SEC of its determinations that the PCAOB was unable to inspect or investigate completely registered public accounting firms headquartered in mainland China and Hong Kong (the “2021 Determinations”), including our auditor. On May 26, 2022, we were conclusively identified by the SEC under the HFCAA as having filed audit reports issued by a registered public accounting firm that cannot be inspected or investigated completely by the PCAOB in connection with the filing of our 2021 Form 20-F. The inability of the PCAOB to conduct inspections in the past also deprived our investors of the benefits of such inspections. On December 15, 2022, the PCAOB announced that it was able to conduct inspections and investigations completely of PCAOB-registered public accounting firms headquartered in mainland China and Hong Kong in 2022. The PCAOB vacated its previous 2021 Determinations accordingly. As a result, we were not at risk of having our securities subject to trading prohibition under the HFCAA unless a new determination is made by the PCAOB. However, whether the PCAOB will continue to conduct inspections and investigations completely to its satisfaction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going forward.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 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For details, see “Item 3. Key Information—3.D Risk Factors—Risks Related to Doing Business in China—The ADSs will be delisted and the ADSs and shares will be prohibited from trading in the United States under the Holding Foreign Companies Accountable Act, or the HFCAA, if the PCAOB is unable to inspect or investigate completely auditors located in China for two consecutive years.”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3.A.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3.B. Capitalization and Indebtedness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3.C. Reason for the Offer and Use of Proceeds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3.D. Risk Factors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Group faces various legal and operational risks and uncertainties as a group based in and primarily operating in China. The PRC government has significant authority to exert influence on the ability of China-based issuers, like us, to conduct its business, accept foreign investments or be listed on a U.S. stock exchange. For example, the Group faces risks associated with regulatory approvals of offshore offerings, anti-monopoly regulatory actions, cybersecurity and data privacy, as well as the uncertainty on whether the PCAOB will continue to be able to satisfactorily inspect or investigate completely registered public accounting firms headquartered in mainland China and Hong Kong. The PRC government may also intervene with or influence the Group’s operations as the government deems appropriate to further regulatory, political and societal goals. The PRC government has recently published new policies that significantly affected educational industry and we cannot rule out the possibility that it will in the future further release regulations or policies regarding educational industry that could adversely affect the Group’s business, financial condition and results of operations. Any such action, once taken by the PRC government, could significantly limit or completely hinder the Group’s ability to offer or continue to offer securities to investors and cause the value of such securities to significantly decline or in extreme cases, become worthless. Furthermore, Sunlands Technology Group is a Cayman Islands holding company. The Group’s operations in China are conducted through our PRC subsidiaries and the VIEs. Thus, the Group’s corporate structure involves unique risks to investors in the ADSs.</w:t>
      </w:r>
    </w:p>
    <w:p>
      <w:pPr>
        <w:spacing w:after="0" w:line="8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annual report before making an investment in the ADSs. Below please find a summary of the principal risks and uncertainties the Group faces, organized under relevant headings. In particular, as we are a China-based issuer incorporated in the Cayman Islands, you should pay special attention to subsections headed “Item 3. Key Information—3.D. Risk Factors—Risks Related to Doing Business in China” and “Item 3. Key Information—3.D. Risk Factors—Risks Related to Our Corporate Structure.”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Investing in the ADSs involves significant risks. You should carefully consider all of the information in this annual report before making an investment in the ADSs. Below please find a summary of the principal risks we face, organized under relevant headings.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Group’s Business</w:t>
      </w:r>
    </w:p>
    <w:p>
      <w:pPr>
        <w:spacing w:after="0" w:line="119" w:lineRule="exact"/>
        <w:rPr>
          <w:sz w:val="20"/>
          <w:szCs w:val="20"/>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the Group fails to increase student enrollments, the Group’s net revenues may decline, and the Group may not be able to maintain growth.</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the Group fails to manage its business growth effectively, the success of the Group’s business model will be compromised.</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Group is subject to the uncertainty to continue to achieve profitability in the future.</w:t>
      </w:r>
    </w:p>
    <w:p>
      <w:pPr>
        <w:spacing w:after="0" w:line="117" w:lineRule="exact"/>
        <w:rPr>
          <w:rFonts w:ascii="Times New Roman" w:cs="Times New Roman" w:eastAsia="Times New Roman" w:hAnsi="Times New Roman"/>
          <w:sz w:val="18"/>
          <w:szCs w:val="18"/>
          <w:color w:val="auto"/>
        </w:rPr>
      </w:pPr>
    </w:p>
    <w:p>
      <w:pPr>
        <w:ind w:left="760" w:hanging="513"/>
        <w:spacing w:after="0" w:line="284"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the Group is unable to conduct sales and marketing activities cost-effectively, the Group’s results of operations and financial condition may be materially and adversely affected.</w:t>
      </w:r>
    </w:p>
    <w:p>
      <w:pPr>
        <w:spacing w:after="0" w:line="50" w:lineRule="exact"/>
        <w:rPr>
          <w:rFonts w:ascii="Times New Roman" w:cs="Times New Roman" w:eastAsia="Times New Roman" w:hAnsi="Times New Roman"/>
          <w:sz w:val="18"/>
          <w:szCs w:val="18"/>
          <w:color w:val="auto"/>
        </w:rPr>
      </w:pPr>
    </w:p>
    <w:p>
      <w:pPr>
        <w:jc w:val="both"/>
        <w:ind w:left="760" w:right="20" w:hanging="513"/>
        <w:spacing w:after="0" w:line="267"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Group may be adversely affected by any negative publicity concerning the Group and the Group’s business, shareholders, affiliates, directors, officers and employees and the industry in which the Group operates, regardless of its accuracy, which could harm the Group’s reputation and business.</w:t>
      </w:r>
    </w:p>
    <w:p>
      <w:pPr>
        <w:spacing w:after="0" w:line="65"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subject to risks and uncertainties associated with the PRC laws, regulations and policies on the broader education industry.</w:t>
      </w:r>
    </w:p>
    <w:p>
      <w:pPr>
        <w:spacing w:after="0" w:line="117" w:lineRule="exact"/>
        <w:rPr>
          <w:rFonts w:ascii="Times New Roman" w:cs="Times New Roman" w:eastAsia="Times New Roman" w:hAnsi="Times New Roman"/>
          <w:sz w:val="18"/>
          <w:szCs w:val="18"/>
          <w:color w:val="auto"/>
        </w:rPr>
      </w:pPr>
    </w:p>
    <w:p>
      <w:pPr>
        <w:jc w:val="both"/>
        <w:ind w:left="760" w:hanging="513"/>
        <w:spacing w:after="0" w:line="267"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Group faces risks associated with the lack of a private school operating permit for online education services as well as uncertainties surrounding PRC laws and regulations governing the education industry in general, including the Law for Promoting Private Education and its Implementation Rules.</w:t>
      </w:r>
    </w:p>
    <w:p>
      <w:pPr>
        <w:spacing w:after="0" w:line="65"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Group faces regulatory risks and uncertainties associated with the Group’s teachers’ lack of teaching licenses.</w:t>
      </w:r>
    </w:p>
    <w:p>
      <w:pPr>
        <w:spacing w:after="0" w:line="117" w:lineRule="exact"/>
        <w:rPr>
          <w:rFonts w:ascii="Times New Roman" w:cs="Times New Roman" w:eastAsia="Times New Roman" w:hAnsi="Times New Roman"/>
          <w:sz w:val="18"/>
          <w:szCs w:val="18"/>
          <w:color w:val="auto"/>
        </w:rPr>
      </w:pPr>
    </w:p>
    <w:p>
      <w:pPr>
        <w:ind w:left="760" w:right="20" w:hanging="513"/>
        <w:spacing w:after="0" w:line="284"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Group faces regulatory risks and uncertainties with respect to the licensing requirement for the online transmission of internet audio-visual programs.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ind w:left="760" w:hanging="513"/>
        <w:spacing w:after="0" w:line="284"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failure to obtain and maintain other approvals, licenses, permits or filings applicable to the Group’s business could have a material adverse impact on the Group’s business, financial conditions and results of operations.</w:t>
      </w:r>
    </w:p>
    <w:p>
      <w:pPr>
        <w:spacing w:after="0" w:line="50"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Group may not be able to continue to recruit, train and retain a sufficient number of qualified faculty members.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119" w:lineRule="exact"/>
        <w:rPr>
          <w:sz w:val="20"/>
          <w:szCs w:val="20"/>
          <w:color w:val="auto"/>
        </w:rPr>
      </w:pPr>
    </w:p>
    <w:p>
      <w:pPr>
        <w:jc w:val="both"/>
        <w:ind w:left="760" w:hanging="513"/>
        <w:spacing w:after="0" w:line="257"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There are uncertainties regarding the interpretation and application of current and future PRC laws, regulations, and rules relating to the agreements that establish the VIE structure for the Group’s operations in China, including potential future actions by the PRC government, which could affect the enforceability of our contractual arrangements with the VIEs and, consequently, significantly affect the Group’s financial condition and results of operations. If the PRC government finds such agreements non-compliant with relevant PRC laws, regulations, and rules, or if these laws, regulations and rules or the interpretation thereof change in the future, we could be subject to severe penalties or be forced to relinquish our interests in the VIEs.</w:t>
      </w:r>
    </w:p>
    <w:p>
      <w:pPr>
        <w:spacing w:after="0" w:line="74" w:lineRule="exact"/>
        <w:rPr>
          <w:rFonts w:ascii="Times New Roman" w:cs="Times New Roman" w:eastAsia="Times New Roman" w:hAnsi="Times New Roman"/>
          <w:sz w:val="18"/>
          <w:szCs w:val="18"/>
          <w:color w:val="auto"/>
        </w:rPr>
      </w:pPr>
    </w:p>
    <w:p>
      <w:pPr>
        <w:ind w:left="760" w:right="20" w:hanging="513"/>
        <w:spacing w:after="0" w:line="284"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rely on contractual arrangements with the VIEs and their respective shareholders for a significant portion of the Group’s business operations which may not be as effective as direct ownership.</w:t>
      </w:r>
    </w:p>
    <w:p>
      <w:pPr>
        <w:spacing w:after="0" w:line="50" w:lineRule="exact"/>
        <w:rPr>
          <w:rFonts w:ascii="Times New Roman" w:cs="Times New Roman" w:eastAsia="Times New Roman" w:hAnsi="Times New Roman"/>
          <w:sz w:val="18"/>
          <w:szCs w:val="18"/>
          <w:color w:val="auto"/>
        </w:rPr>
      </w:pPr>
    </w:p>
    <w:p>
      <w:pPr>
        <w:ind w:left="760" w:hanging="513"/>
        <w:spacing w:after="0" w:line="284"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Any failure by the VIEs or their respective shareholders to perform their obligations under our contractual arrangements with them would have a material and adverse effect on the Group’s business.</w:t>
      </w:r>
    </w:p>
    <w:p>
      <w:pPr>
        <w:spacing w:after="0" w:line="50" w:lineRule="exact"/>
        <w:rPr>
          <w:rFonts w:ascii="Times New Roman" w:cs="Times New Roman" w:eastAsia="Times New Roman" w:hAnsi="Times New Roman"/>
          <w:sz w:val="18"/>
          <w:szCs w:val="18"/>
          <w:color w:val="auto"/>
        </w:rPr>
      </w:pPr>
    </w:p>
    <w:p>
      <w:pPr>
        <w:ind w:left="760" w:hanging="513"/>
        <w:spacing w:after="0" w:line="284"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contractual arrangements are governed by PRC laws. Accordingly, these contracts would be interpreted in accordance with PRC laws, and any disputes would be resolved in accordance with PRC legal procedures.</w:t>
      </w:r>
    </w:p>
    <w:p>
      <w:pPr>
        <w:spacing w:after="0" w:line="50" w:lineRule="exact"/>
        <w:rPr>
          <w:rFonts w:ascii="Times New Roman" w:cs="Times New Roman" w:eastAsia="Times New Roman" w:hAnsi="Times New Roman"/>
          <w:sz w:val="18"/>
          <w:szCs w:val="18"/>
          <w:color w:val="auto"/>
        </w:rPr>
      </w:pPr>
    </w:p>
    <w:p>
      <w:pPr>
        <w:ind w:left="760" w:hanging="513"/>
        <w:spacing w:after="0" w:line="284"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shareholders of the VIEs may have actual or potential conflicts of interest with us, which may materially and adversely affect the Group’s business and financial condition.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119" w:lineRule="exact"/>
        <w:rPr>
          <w:sz w:val="20"/>
          <w:szCs w:val="20"/>
          <w:color w:val="auto"/>
        </w:rPr>
      </w:pPr>
    </w:p>
    <w:p>
      <w:pPr>
        <w:jc w:val="both"/>
        <w:ind w:left="760" w:hanging="513"/>
        <w:spacing w:after="0" w:line="267"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approval, filing or other requirements of the China Securities Regulatory Commission or other PRC government authorities may be required under PRC law in connection with our issuance of securities overseas, and if required, we cannot predict whether or for how long the Group will be able to obtain such approval or complete such filing or other requirements. For details, please see page 41 and 42.</w:t>
      </w:r>
    </w:p>
    <w:p>
      <w:pPr>
        <w:spacing w:after="0" w:line="65" w:lineRule="exact"/>
        <w:rPr>
          <w:rFonts w:ascii="Times New Roman" w:cs="Times New Roman" w:eastAsia="Times New Roman" w:hAnsi="Times New Roman"/>
          <w:sz w:val="18"/>
          <w:szCs w:val="18"/>
          <w:color w:val="auto"/>
        </w:rPr>
      </w:pPr>
    </w:p>
    <w:p>
      <w:pPr>
        <w:ind w:left="760" w:hanging="513"/>
        <w:spacing w:after="0" w:line="284"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China’s economic, political or social conditions or government policies could have a material adverse effect on the Group’s business and operations. For details, please see page 42.</w:t>
      </w:r>
    </w:p>
    <w:p>
      <w:pPr>
        <w:spacing w:after="0" w:line="50" w:lineRule="exact"/>
        <w:rPr>
          <w:rFonts w:ascii="Times New Roman" w:cs="Times New Roman" w:eastAsia="Times New Roman" w:hAnsi="Times New Roman"/>
          <w:sz w:val="18"/>
          <w:szCs w:val="18"/>
          <w:color w:val="auto"/>
        </w:rPr>
      </w:pPr>
    </w:p>
    <w:p>
      <w:pPr>
        <w:jc w:val="both"/>
        <w:ind w:left="760" w:hanging="513"/>
        <w:spacing w:after="0" w:line="267"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Evolution of the PRC legal system, including changes in policies, laws and regulations in China, could adversely affect the Group. The enforcement of laws and rules and regulations in China may change quickly, which could result in a material adverse change in the Group’s operations and the value of the ADSs. For details, please see page 42 and 43.</w:t>
      </w:r>
    </w:p>
    <w:p>
      <w:pPr>
        <w:spacing w:after="0" w:line="65" w:lineRule="exact"/>
        <w:rPr>
          <w:rFonts w:ascii="Times New Roman" w:cs="Times New Roman" w:eastAsia="Times New Roman" w:hAnsi="Times New Roman"/>
          <w:sz w:val="18"/>
          <w:szCs w:val="18"/>
          <w:color w:val="auto"/>
        </w:rPr>
      </w:pPr>
    </w:p>
    <w:p>
      <w:pPr>
        <w:jc w:val="both"/>
        <w:ind w:left="760" w:hanging="513"/>
        <w:spacing w:after="0" w:line="257"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PRC government’s significant oversight over the Group’s business operation in China could result in a material adverse change in the Group’s operations in China and the value of the ADSs. The Chinese government may intervene or influence the Group’s operations in China at any time, or may exert more regulation over offerings conducted overseas and/or foreign investment in China-based issuers. Any actions by the Chinese government to exert more oversight and regulation over offerings that are conducted overseas and/or foreign investment in China-based issuers could significantly limit or completely hinder our ability to offer or continue to offer securities to investors and cause the value of such securities to significantly decline or become worthless. For details, please see pages 43.</w:t>
      </w:r>
    </w:p>
    <w:p>
      <w:pPr>
        <w:spacing w:after="0" w:line="74" w:lineRule="exact"/>
        <w:rPr>
          <w:rFonts w:ascii="Times New Roman" w:cs="Times New Roman" w:eastAsia="Times New Roman" w:hAnsi="Times New Roman"/>
          <w:sz w:val="18"/>
          <w:szCs w:val="18"/>
          <w:color w:val="auto"/>
        </w:rPr>
      </w:pPr>
    </w:p>
    <w:p>
      <w:pPr>
        <w:ind w:left="760" w:hanging="513"/>
        <w:spacing w:after="0" w:line="284"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may experience difficulties in effecting service of legal process, enforcing foreign judgments or bringing actions in China, including Hong Kong, against the Group or the Group’s management named in the annual report based on foreign laws. For details, please see page 43.</w:t>
      </w:r>
    </w:p>
    <w:p>
      <w:pPr>
        <w:spacing w:after="0" w:line="50" w:lineRule="exact"/>
        <w:rPr>
          <w:rFonts w:ascii="Times New Roman" w:cs="Times New Roman" w:eastAsia="Times New Roman" w:hAnsi="Times New Roman"/>
          <w:sz w:val="18"/>
          <w:szCs w:val="18"/>
          <w:color w:val="auto"/>
        </w:rPr>
      </w:pPr>
    </w:p>
    <w:p>
      <w:pPr>
        <w:jc w:val="both"/>
        <w:ind w:left="760" w:hanging="513"/>
        <w:spacing w:after="0" w:line="25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rely on dividends and other distributions on equity paid by our PRC and Hong Kong subsidiaries to fund any cash and financing requirements we may have, and any limitation on the ability of these subsidiaries in the PRC, including Hong Kong, to make payments to us could have a material and adverse effect on our ability to conduct the Group’s business. For details, please see pages 43 to 44. Also see “Item 3. Key Information—Restrictions on Foreign Exchange and the Ability to Transfer Cash between Entities, Across Borders and to U.S. Investors” on page 17 for more information.</w:t>
      </w:r>
    </w:p>
    <w:p>
      <w:pPr>
        <w:spacing w:after="0" w:line="75" w:lineRule="exact"/>
        <w:rPr>
          <w:rFonts w:ascii="Times New Roman" w:cs="Times New Roman" w:eastAsia="Times New Roman" w:hAnsi="Times New Roman"/>
          <w:sz w:val="18"/>
          <w:szCs w:val="18"/>
          <w:color w:val="auto"/>
        </w:rPr>
      </w:pPr>
    </w:p>
    <w:p>
      <w:pPr>
        <w:ind w:left="760" w:right="20" w:hanging="513"/>
        <w:spacing w:after="0" w:line="284"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PCAOB had previously been unable to inspect our auditor in relation to their audit work performed for the Group’s financial statements, and any future inability to do so would deprive our investors of the benefits of such inspections. For details, please see page 48 and 49.</w:t>
      </w:r>
    </w:p>
    <w:p>
      <w:pPr>
        <w:spacing w:after="0" w:line="50" w:lineRule="exact"/>
        <w:rPr>
          <w:rFonts w:ascii="Times New Roman" w:cs="Times New Roman" w:eastAsia="Times New Roman" w:hAnsi="Times New Roman"/>
          <w:sz w:val="18"/>
          <w:szCs w:val="18"/>
          <w:color w:val="auto"/>
        </w:rPr>
      </w:pPr>
    </w:p>
    <w:p>
      <w:pPr>
        <w:jc w:val="both"/>
        <w:ind w:left="760" w:hanging="513"/>
        <w:spacing w:after="0" w:line="267"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ADSs will be delisted and the ADSs and shares will be prohibited from trading in the United States under the Holding Foreign Companies Accountable Act, or the HFCAA, if the PCAOB is unable to inspect or investigate completely auditors located in China for two consecutive years. For details, please see pages 49.</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ADSs</w:t>
      </w:r>
    </w:p>
    <w:p>
      <w:pPr>
        <w:spacing w:after="0" w:line="119" w:lineRule="exact"/>
        <w:rPr>
          <w:sz w:val="20"/>
          <w:szCs w:val="20"/>
          <w:color w:val="auto"/>
        </w:rPr>
      </w:pPr>
    </w:p>
    <w:p>
      <w:pPr>
        <w:ind w:left="760" w:hanging="513"/>
        <w:spacing w:after="0" w:line="284"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the market price for the ADSs falls below US$1.00 for an extended period of time, or falls to US$0.16 at any time, the ADSs may be delisted from the NYSE.</w:t>
      </w:r>
    </w:p>
    <w:p>
      <w:pPr>
        <w:spacing w:after="0" w:line="50"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trading price of the ADSs is likely to be volatile, which could result in substantial losses to investors.</w:t>
      </w:r>
    </w:p>
    <w:p>
      <w:pPr>
        <w:spacing w:after="0" w:line="117" w:lineRule="exact"/>
        <w:rPr>
          <w:rFonts w:ascii="Times New Roman" w:cs="Times New Roman" w:eastAsia="Times New Roman" w:hAnsi="Times New Roman"/>
          <w:sz w:val="18"/>
          <w:szCs w:val="18"/>
          <w:color w:val="auto"/>
        </w:rPr>
      </w:pPr>
    </w:p>
    <w:p>
      <w:pPr>
        <w:ind w:left="760" w:hanging="513"/>
        <w:spacing w:after="0" w:line="284"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securities or industry analysts do not publish research or reports about the Group’s business, or if they adversely change their recommendations regarding the ADSs, the market price for the ADSs and trading volume could decline.</w:t>
      </w:r>
    </w:p>
    <w:p>
      <w:pPr>
        <w:spacing w:after="0" w:line="50"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sale or availability for sale of substantial amounts of ADSs could adversely affect their market price.</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Techniques employed by short sellers may drive down the market price of the ADSs.</w:t>
      </w:r>
    </w:p>
    <w:p>
      <w:pPr>
        <w:spacing w:after="0" w:line="117" w:lineRule="exact"/>
        <w:rPr>
          <w:rFonts w:ascii="Times New Roman" w:cs="Times New Roman" w:eastAsia="Times New Roman" w:hAnsi="Times New Roman"/>
          <w:sz w:val="18"/>
          <w:szCs w:val="18"/>
          <w:color w:val="auto"/>
        </w:rPr>
      </w:pPr>
    </w:p>
    <w:p>
      <w:pPr>
        <w:ind w:left="760" w:hanging="513"/>
        <w:spacing w:after="0" w:line="284"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Because we do not expect to pay dividends in the foreseeable future, you must rely on a price appreciation of the ADSs for a return on your investment.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Group’s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Group fails to increase student enrollments, the Group’s net revenues may decline, and the Group may not be able to maintain growth.</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Group generates revenue primarily from the tuition the Group collects from students. It is critical for the Group to enroll prospective students in a cost-effective manner. Some of the factors, many of which are largely beyond the Group’s control, could prevent the Group from successfully increasing enrollments of new students in a cost-effective manner, or at all. These factors include, among other things, (i) reduced interest in the interests, certifications, professions, skills, degrees or diplomas for which our course offerings are designed; (ii) negative publicity or perceptions regarding us, or online education services in general; (iii) the emergence of alternative course delivery models; (iv) the inability of students to pay the tuition; (v) increasing market competition, particularly price reductions by competitors that the Group is unable or unwilling to match; and (vi) adverse changes in relevant government policies or general economic conditions. If one or more of these factors reduce market demand for the Group’s services, the Group’s student enrollments could be negatively affected or the Group’s costs associated with student acquisition and retention could increase, or both, any of which could materially affect the Group’s ability to grow the Group’s gross billings and net revenues. These developments could also harm the Group’s brand and reputation, which would negatively impact the Group’s ability to expand the Group’s business.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Group fails to manage its business growth effectively, the success of the Group’s business model will be compromised.</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Group’s growth strategy has placed, and will continue to place, a significant strain on the Group’s sales and marketing capacities, administrative and operating infrastructure, facilities and other resources. To maintain the Group’s growth, the Group needs to continue to acquire more students, scale up the Group’s course offerings, increase the Group’s academic and administrative faculty, as well as strengthen the Group’s platforms and systems. The Group will also be required to refine the Group’s operational, financial and management controls and reporting systems and procedures. If the Group fails to efficiently manage the Group’s business expansion, the Group’s costs and expenses may increase more than the Group plans and the Group may not successfully attract a sufficient number of students and qualified academic and administrative faculty in a cost-effective manner, respond to competitive challenges, or otherwise execute the Group’s business plans. In addition, the Group may, as part of carrying out the Group’s growth strategies, adopt new initiatives to offer additional course packages and educational content and to implement new pricing models and strategies. We cannot assure you that these initiatives may achieve the anticipated results. These proposed changes may not be well received by the Group’s existing and prospective students, in which case their experience with the Group’s education services may suffer, which could damage the Group’s reputation and business prospect.</w:t>
      </w:r>
    </w:p>
    <w:p>
      <w:pPr>
        <w:spacing w:after="0" w:line="8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Group’s ability to effectively implement the Group’s strategies and manage the Group’s business growth will depend on a number of factors, including the Group’s ability to: (i) identify and effectively market the Group’s products and services in new markets with sufficient growth potential; (ii) develop and improve course offerings and educational contents to make them appealing to existing and prospective students, including working adult students; (iii) maintain and increase the Group’s student enrollments; (iv) effectively recruit, train and motivate a large number of new employees, including the Group’s faculty members and sales and marketing personnel; (v) successfully implement enhancements and improvements to the systems and platforms; (vi) continue to improve the Group’s operational, financial and management controls and efficiencies; (vii) protect and further develop the Group’s intellectual property rights; and (viii) make sound business decisions in light of the scrutiny associated with operating as a public company. These activities require significant capital expenditures and investment of valuable management and financial resources, and the Group’s growth will continue to place significant demands on the Group’s management. There are no guarantees that the Group will be able to effectively manage any future growth in an efficient, cost-effective and timely manner, or at all. The Group’s growth in a relatively short period of time is not necessarily indicative of results that the Group may achieve in the future. If the Group does not effectively manage the growth of the Group’s business and operations, the Group’s reputation, results of operations and</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overall business and prospects could be negatively impacted.</w:t>
      </w:r>
    </w:p>
    <w:p>
      <w:pPr>
        <w:spacing w:after="0" w:line="11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Group’s net revenues were RMB2,159.6 million, RMB1,990.2 million and RMB2,019.9 million (US$288.8 million), respectively, in 2023, 2024 and 2025. During the same periods, the Group’s gross billings were RMB1,504.6 million, RMB1,555.4 million and RMB1,467.4 million (US$209.8 million), respectively, and the Group’s new student enrollments were 616,341, 674,649 and 579,788, respectively. The Group is seeking to offer a broader range of courses, foster a more social and entertaining learning experience, and use cutting-edge technologies to improve students’ learning experience and outcomes. All of these endeavors involve risks and will require significant management, financial and human resources. We cannot assure you that they will achieve the anticipated results or that the Group’s gross billings and new student enrollments will not decline in the future due to the risks and uncertainties discussed in this “Item 3. Key Information—3.D. Risk Factors.” If the Group is not able to achieve growth in the Group’s gross billings and new student enrollments effectively, or at all, the Group’s business and prospects may be materially and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Group is subject to the uncertainty to continue to achieve profitability in the future.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 had net income of RMB640.8 million, RMB342.1 million and RMB365.6 million (US$52.3 million) in 2023, 2024 and 2025,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the Group had recorded net losses. We cannot assure you that the Group will be able to continue to generate net profits in the future.</w:t>
      </w:r>
    </w:p>
    <w:p>
      <w:pPr>
        <w:spacing w:after="0" w:line="9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 intends to continue to invest heavily for the foreseeable future in increasing the Group’s market share, improving the capacity of the Group’s technology infrastructure to better support an even larger student base and to offer additional courses and educational content.</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These efforts may be more costly than the Group expects and the Group’s net revenues may not increase sufficiently to offset these expenses. The Group may continue to take actions and make investments that do not generate optimal short-term financial results and may even result in increased operating losses in the short term with no assurance that the Group will eventually achieve the Group’s intended long-term benefits or profitability. These factors, among others set out in this “Item 3. Key Information—3.D. Risk Factors,” may negatively affect the Group’s ability to achieve profitability in the near term, if at all.</w:t>
      </w:r>
    </w:p>
    <w:p>
      <w:pPr>
        <w:spacing w:after="0" w:line="7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Group is unable to conduct sales and marketing activities cost-effectively, the Group’s results of operations and financial condition may be materially and adversely affected.</w:t>
      </w:r>
    </w:p>
    <w:p>
      <w:pPr>
        <w:spacing w:after="0" w:line="5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relies on its sales and marketing efforts to increase student enrollments. The Group’s sales and marketing expenses primarily include expenses incurred in relation to sales and marketing personnel and marketing spending. The Group incurred approximately RMB1,142.2 million, RMB1,216.9 million and RMB1,137.6 million (US$162.7 million), respectively, in sales and marketing expenses in 2023, 2024 and 2025.</w:t>
      </w:r>
    </w:p>
    <w:p>
      <w:pPr>
        <w:spacing w:after="0" w:line="6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Group’s sales and marketing activities may not be well received by the market and may not result in the levels of sales that the Group anticipates. The Group also may not be able to retain or engage a sufficient number of experienced sales and marketing personnel, or to train newly onboard sales and marketing personnel, which we believe is critical to implementing the Group’s sales and marketing strategies cost-effectively. Further, sales and marketing approaches and tools in China’s online education market are evolving rapidly. This requires the Group to continually enhance its sales and marketing approaches and experiment with new methods to keep pace with industry developments and student preferences. Moreover, the Group’s sales and marketing activities may be deemed to violate PRC laws and regulations, and the Group may be exposed to administrative penalties, such as paying fines or publishing explanatory notes to limit the adverse effects of the Group’s marketing efforts. If deemed guilty of significant infringements, the Group may be ordered to cease sales and marketing activities temporarily and the Group’s business license may be revoked. Failure to engage in sales and marketing activities in a compliant and cost-effective manner may reduce the Group’s market share, cause the Group’s revenues and gross billings to decline, negatively impact the Group’s profitability, and materially harm the Group’s business, financial condition and results of operations.</w:t>
      </w:r>
    </w:p>
    <w:p>
      <w:pPr>
        <w:spacing w:after="0" w:line="82"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Group may be adversely affected by any negative publicity concerning the Group and the Group’s business, shareholders, affiliates, directors, officers and employees and the industry in which the Group operates, regardless of its accuracy, which could harm the Group’s reputation and business.</w:t>
      </w:r>
    </w:p>
    <w:p>
      <w:pPr>
        <w:spacing w:after="0" w:line="6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Negative publicity about the Group and the Group’s business, shareholders, affiliates, directors, officers, and teachers and other employees, as well as the industry in which the Group operates, can harm the Group’s operations. The Group has been exposed to negative publicity concerning refund dispute, administrative penalty, alleged improper or misleading statement made in the Group’s sales and marketing activities, and student recruitment for unqualified institutions in the past. For example, the Group was reported to have recruited students from January 2021 to January 2022 for Morrison University in the state of Nevada. The recruitments were made pursuant to the Group’s cooperation with a company in China (the “Partnering Company”) claiming to have obtained authorization from Morrison University. It was revealed that the authorization was inauthentic and Morrison University had no legal right to operate within the state of Nevada. As of the date of this annual report, the Group is seeking to hold the Partnering Company liable through legal actions. The negative publicity surrounding this incident has and may in the future harm the Group’s reputation. The Group may be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involved in disputes with the affected students, especially if the Group is not able to fulfil the Group’s obligations under the agreements between the Group and the students. While the Group endeavors to ensure that the overseas institutions with whom the Group partners are qualified, we cannot assure you that the Group’s partnering institutions will timely renew their necessary licenses or qualifications when they become due or that the Group will be able to identify any unqualified institutions accurately in a timely manner or at all.</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Negative publicity concerning these parties could be related to a wide variety of matters, including, but are not limited to:</w:t>
      </w:r>
    </w:p>
    <w:p>
      <w:pPr>
        <w:spacing w:after="0" w:line="117" w:lineRule="exact"/>
        <w:rPr>
          <w:sz w:val="20"/>
          <w:szCs w:val="20"/>
          <w:color w:val="auto"/>
        </w:rPr>
      </w:pPr>
    </w:p>
    <w:p>
      <w:pPr>
        <w:ind w:left="760" w:hanging="513"/>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alleged misconduct or other improper activities committed by students or the Group’s directors, officers, and teachers and other employees, including misrepresentation made by the Group’s employees to potential students during sales and marketing activities;</w:t>
      </w:r>
    </w:p>
    <w:p>
      <w:pPr>
        <w:spacing w:after="0" w:line="53" w:lineRule="exact"/>
        <w:rPr>
          <w:rFonts w:ascii="Times New Roman" w:cs="Times New Roman" w:eastAsia="Times New Roman" w:hAnsi="Times New Roman"/>
          <w:sz w:val="18"/>
          <w:szCs w:val="18"/>
          <w:color w:val="auto"/>
        </w:rPr>
      </w:pPr>
    </w:p>
    <w:p>
      <w:pPr>
        <w:ind w:left="760" w:hanging="513"/>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or malicious allegations or rumors about the Group or the Group’s directors, shareholders, affiliates, officers, and teachers and other employees;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complaints by students about the Group’s education services and sales and marketing activities;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refund disputes between the Group and students or administrative penalties;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confidential student or employee information;</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employment-related claims relating to alleged employment discrimination, wage and hour violations; and</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regulatory investigations or penalties resulting from the Group’s failure to comply with applicable laws and regulations.</w:t>
      </w:r>
    </w:p>
    <w:p>
      <w:pPr>
        <w:spacing w:after="0" w:line="11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addition to traditional media, there has been an increasing use of social media platforms and similar devices in China, including instant messaging applications, such as Weixin/WeChat, social media websites and other forms of internet-based communications that provide individuals with access to a broad audience of consumers and other interested persons. The availability of information on instant messaging applications and social media platforms is virtually immediate as is its impact without affording the Group an opportunity for redress or correction. The opportunity for dissemination of information, including inaccurate information, is seemingly limitless and readily available. Information concerning the Group and the Group’s shareholders, directors, officers and employees may be posted on such platforms at any time. The risks associated with any such negative publicity or incorrect information cannot be completely eliminated or mitigated and may materially harm the Group’s reputation, business, financial condition and results of operations.</w:t>
      </w:r>
    </w:p>
    <w:p>
      <w:pPr>
        <w:spacing w:after="0" w:line="7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Group faces risks associated with the lack of a private school operating permit for online education services as well as uncertainties surrounding PRC laws and regulations governing the education industry in general, including the Law for Promoting Private Education and its Implementation Rules.</w:t>
      </w:r>
    </w:p>
    <w:p>
      <w:pPr>
        <w:spacing w:after="0" w:line="6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Certain of our subsidiaries and the VIEs through which the Group operates its online education business, currently do not hold a private school operating permit, and the Group may be subject to risks of administrative sanctions due to the lack of such permit.</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November 7, 2016, China’s National People’s Congress passed an amendment to the Promotion of Private Education Law, or the Amendment, which became effective on September 1, 2017. The Amendment applies different regulatory requirements to non-profit and for-profit private schools.</w:t>
      </w:r>
    </w:p>
    <w:p>
      <w:pPr>
        <w:spacing w:after="0" w:line="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December 2016, several PRC government agencies, including the MOE, the State Administration for Industry and Commerce which has now merged into the newly-established State Administration for Market Regulation, or the SAMR, and the Ministry of Human Resources and Social Welfare, jointly promulgated the Implementation Rules on the Supervision and Administration of For-profit Private Schools, or the Implementation Rules. Under the Implementation Rules, the establishment, division, merger or any other material change in a for-profit private school shall be approved by the competent education authorities or the authorities in charge of labor and social welfare and be registered with the competent local branch of SAMR, and a duly approved private school will be granted a private school operating permit. The Implementation Rules also provide that the provisions contained therein should be applicable to “for-profit private training institutions” in an analogous manner. See “Item 4. Information on the Company—4.B. Business Overview—Regulation—Regulation Relating to Private Education—The Law for Promoting Private Education and its Implementing Rules.”</w:t>
      </w:r>
    </w:p>
    <w:p>
      <w:pPr>
        <w:spacing w:after="0" w:line="8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the Group has not received any notice of warning or been subject to any penalties or disciplinary action from government authorities due to the lack of a private school operating permit for online education services. In April 2021, the State Council promulgated the Amended Regulations on the Implementation of Law for Promotion Private Education Law of PRC, or Amended Implementing Rules, which became effective on September 1, 2021. The Amended Implementing Rules provide, among others, that a private school engaging in online education activities using internet technology shall obtain an appropriate private school operating permit. The Amended Implementing Rules, however, do not specify whether an online tutoring service provider like the Group shall obtain such private school operating permit and what requirements that an online tutoring service provider like the Group need to</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jc w:val="both"/>
        <w:spacing w:after="0" w:line="251" w:lineRule="auto"/>
        <w:rPr>
          <w:sz w:val="20"/>
          <w:szCs w:val="20"/>
          <w:color w:val="auto"/>
        </w:rPr>
      </w:pPr>
      <w:r>
        <w:rPr>
          <w:rFonts w:ascii="Times New Roman" w:cs="Times New Roman" w:eastAsia="Times New Roman" w:hAnsi="Times New Roman"/>
          <w:sz w:val="18"/>
          <w:szCs w:val="18"/>
          <w:color w:val="auto"/>
        </w:rPr>
        <w:t>satisfy in order to obtain a private school operating permit, nor does it specify which level of government authority has the authority to accept and examine the Group’s application for the private school operating permit. According to the Q&amp;A published on the official website of Beijing Municipal Education Commission in April 2022, the education department is only responsible for the issues related to institutions providing academic subjects tutoring services for primary and secondary school. We cannot assure you that the PRC government will not in the future require the Group to obtain a private school operating permit. If the PRC government requires the Group to obtain a private school operating permit or introduces additional amendments and guidelines to expand the coverage of the Amendment or Amended Implementing Rules to explicitly cover online education service providers, and if the Group fails to do so, the Group may be subject to fines up to five times the illegitimate gains generated from the provision of training services without a proper license, other administrative sanctions, such as being ordered to refund tuition payments to the students, or criminal liabilities, for the lack of a private school operating permit. The Group may also be subject to regulatory requirements that are more stringent than the ones currently applicable to the Group, including those relating to sales and marketing, courses and educational content offerings, teachers’ qualification, as well as tuition fee rates and tuition refund policies, or laws and regulations that require the Group to obtain and maintain additional licenses and permits, and the Group may incur substantial expenses or alter or change the Group’s business to comply with these requirements. For example, pursuant to the Interim Measures of Wuhan for the Administration of Private Training Institutions promulgated by Wuhan Municipal Government effective on March 15, 2018, private training institutions shall abide by the following provisions with respect of refund fees: (i) if a student requires a refund before the beginning of the course, the institution shall refund all the fees paid to it with deduction of the educational service fees and other fees actually incurred; (ii) if a student requires a refund after the beginning of the course, the institution shall refund the remaining part of the fees after deducting the corresponding proportion of the tuition fees, the fees for collection and management and the relevant taxes and fees in accordance with the proportion of the class hours completed; (iii) where an institution fails to fulfill the commitments with the student, and the student requires a refund, the institution shall refund all the fees paid by the student; and</w:t>
      </w:r>
    </w:p>
    <w:p>
      <w:pPr>
        <w:spacing w:after="0" w:line="10" w:lineRule="exact"/>
        <w:rPr>
          <w:sz w:val="20"/>
          <w:szCs w:val="20"/>
          <w:color w:val="auto"/>
        </w:rPr>
      </w:pPr>
    </w:p>
    <w:p>
      <w:pPr>
        <w:jc w:val="both"/>
        <w:ind w:firstLine="8"/>
        <w:spacing w:after="0" w:line="252" w:lineRule="auto"/>
        <w:tabs>
          <w:tab w:leader="none" w:pos="3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shall complete the examination and verification within three working days upon the receipt of the refund requirement and shall refund to the student within 30 days. It is uncertain as to whether and how such measures and rules would be applicable to the Group, and whether any future laws and regulations with respect to the tuition refund requirements for online education service providers like the Group will be introduced. The Group has been exposed to refund dispute between the Group and students in the past. We cannot assure you that if the Group is subject to more stringent refund regulatory requirements, the Group can adjust the Group’s refund policy to comply with these requirements on a timely manner, which may cause the Group’s more refund disputes with students and may have a material and adverse effect on the Group’s business, operating results and financial condition.</w:t>
      </w:r>
    </w:p>
    <w:p>
      <w:pPr>
        <w:spacing w:after="0" w:line="8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the Amendment and the Implementation Rules, a material change in a for-profit private school shall be approved by the competent education authorities or the authorities in charge of labor and social welfare before it can be registered with the competent local branch of SAMR. If the Group was required to expand the authorized scope of the Group’s business license to cover the Group’s business of online education services, which shall be registered with the SAMR, to comply with applicable licensing requirements, the Group may not able to do so before the Group has obtained a private school operating permit. If any of the foregoing were to happen, the Group’s business operations may be disrupted, and the Group’s financial condition, results of operations and reputation may be materially and adversely affected.</w:t>
      </w:r>
    </w:p>
    <w:p>
      <w:pPr>
        <w:spacing w:after="0" w:line="7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Moreover, the MOE, jointly with certain other PRC government authorities, promulgated the Opinions on Guiding and Regulating the Orderly and Healthy Development of Educational Mobile Apps on August 10, 2019, or the Opinions on Educational Apps, which requires, among others, mobile apps that offer services for school teaching and management, student learning and student life, or home-school interactions, with school faculty, students or parents as the main users, and with education or learning as the main application scenarios, be filed with the competent provincial regulatory authorities for education before the end of 2019. Subsequently, on November 11, 2019, MOE issued the Administrative Measures on Filing of Educational Mobile Apps, which requires, among others, that educational mobile app providers shall file their educational mobile apps and that filings of existing educational mobile apps shall be completed before January 31, 2020. See “Item 4. Information on the Company—4.B. Business Overview—Regulation—Regulations on Online and Distance Education.” The educational mobile apps Shangde Jigou and Shangde Zikao had been filed with competent regulatory authority as required under the Opinions on Educational Apps. However, as the Opinions on Educational Apps are relatively new and evolving, and the Group’s business model and practices are continuing to evolve and adapt, we cannot assure you that the Group will be in full compliance with all applicable laws, regulations and rules. Additionally, the Group may face challenges in completing or maintaining required filings for any new educational apps it introduces in the future in a timely manner, or at all. For example, as of the date of this annual report, the filings of certain of our or the VIEs’ educational mobile apps, such as Jixiang Jiaoyu, Shufan Jiaoyu, Zhizi Ketang, Tiantian Bannixue, Lexueyun Ketang and Qingzhou Yun Ketang, have not been completed. If the Group fails to promptly complete such filing and comply with other applicable regulatory requirements, the Group may be blacklisted by the MOE or its local counterparts and prohibited from submitting any filings for six months, or may be subject to fines, regulatory orders to suspend the Group’s operations or other regulatory and disciplinary sanctions.</w:t>
      </w:r>
    </w:p>
    <w:p>
      <w:pPr>
        <w:spacing w:after="0" w:line="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to the existing regulatory regime, it is uncertain whether and how the PRC government would promulgate additional laws and regulations regarding the online education industry, and there is no assurance that the Group can comply with any such newly promulgated laws and regulations in a timely manner, or at all. The Group’s failure to fully comply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with these existing and future laws and regulations may materially and adversely affect the Group’s business, financial condition and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and uncertainties associated with the PRC laws, regulations and policies on the broader education industry.</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education industry in China is highly regulated and subject to ongoing policy changes, creating uncertainties that could impact our business, financial condition, and results of operations. The PRC government has implemented strict regulatory oversight over the private education sector in recent years, particularly in areas such as after-school tutoring, vocational training, and online education. Future changes in laws, regulations, or enforcement practices could create new compliance challenges for market participants, including our business.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While the Group’s primary focus is adult online education, the most restrictive policies, such as the Opinions on Further Alleviating the Burden of Homework and After-School Tutoring for Students in Compulsory Education (the Alleviating Burden Opinion) introduced in 2021, are primarily targeted at K-12 after-school tutoring, the broader regulatory environment for private education is evolving and subject to change. The regulatory authorities may introduce new requirements, restrictions or compliance obligations that could directly or indirectly affect our business operations.</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the Group’s business, financial condition, results of operations and prospect have not been materially and adversely affected by recent regulatory changes in the PRC private education industry. It is uncertain whether and how the PRC government would introduce additional laws, regulations and guidance that may impact adult education, vocational training, or other aspects of our business. If new regulations impose stricter operational, financial, or ethical standards, or if the authorities expand their enforcement efforts, we may be required to adjust our business model, obtain new approvals, or modify our service offerings, which could lead to increased compliance costs, operational disruptions, or limitations on our growth prospects. Due to the complexity and uncertainty of the regulatory environment, we cannot assure you that the Group will be in full compliance with newly introduced laws and regulations in a timely manner, or at all. Failure to regain compliance may subject the Group to fines or other penalties or be required to terminate certain operations, in which case the Group’s business, financial condition and results of operations could be materially and adversely affected further. For more details of the relevant laws and regulations, please refer to “Item 4. Information on the Company—4.B. Business Overview—Regulation.”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Group faces regulatory risks and uncertainties associated with the Group’s teachers’ lack of teaching licenses.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Pursuant to the Amended Implementing Rules and the Implementation Rules, the teachers employed by a for-profit private school shall obtain the teaching licenses or relevant professional skill qualifications required by PRC laws and regulations, although the definition or the scope of the “relevant professional skill qualifications” is not explicitly stated in the Implementation Rules. A substantial majority of the Group’s teachers currently do not hold teaching licenses.</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the Group has not received any notice of warning or been subject to any penalties or disciplinary action from government authorities due to the lack of teaching licenses. The current PRC laws and regulations, including the Amendment, the Amended Implementing Rules and the Implementation Rules, remain unclear as to whether the teachers of an online education service provider who provides adult online education and adult personal interest learning education like the Group are required to obtain and hold teaching licenses. We cannot assure you that the PRC government authorities will not take a contrary view. In the event that in the future the Group’s teachers are required by laws to obtain teaching licenses, we cannot assure you that they can meet the requirements for applying for teaching licenses. If the Group’s teachers are not able to apply for and obtain the teaching licenses on a timely basis, or at all, the Group may be ordered to rectify such noncompliance or subject to penalties under the then-effective PRC laws and regulations, in which case the Group’s business may be disrupted, and the Group’s financial condition, reputation and prospects would be materially and adversely affected.</w:t>
      </w:r>
    </w:p>
    <w:p>
      <w:pPr>
        <w:spacing w:after="0" w:line="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Group faces regulatory risks and uncertainties with respect to the licensing requirement for the online transmission of internet audio-visual programs.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December 20, 2007, the State Administration of Press Publication Radio Film and Television, or SAPPRFT, and the Ministry of Industry and Information Technology, or MIIT, jointly promulgated the Administrative Provisions on Internet Audio-Visual Program Services, or the Audio-Visual Program Provisions, which became effective on January 31, 2008 and were amended on August 28, 2015. Among other things, the Audio-Visual Program Provisions stipulate that no entities or individuals may provide Internet audio-visual program services without a License for Online Transmission of Audio-Visual Programs issued by SAPPRFT or completing the relevant filing with SAPPRFT or its local bureaus, and only state-owned or state-controlled entities are eligible to apply for a License for Online Transmission of Audio-Visual Programs. On April 1, 2010, SAPPRFT promulgated the Provisional Implementations of Tentative Categories of Internet Audio-Visual Program Services, or the Categories, which clarified the scope of Internet audio-visual programs services, which was amended on March 10, 2017. According to the Categories, there are four categories of Internet audio-visual program services which are further divided into seventeen sub-categories. Sub-category No. 3 to the second category covers the making and editing of certain specialized audio-visual programs concerning, among other things, educational content, and broadcasting such content to the general public online. Sub-category No. 5 of the first category and sub-category No.</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7 of the second category cover the live broadcasting of important political, martial, economic, social, cultural, sports activities or events or general social or community cultural activities, sports games and other organized activities. However, there are still significant uncertainties relating to the interpretation and implementation of the Audio-Visual Program Provisions, in particular, the scope of “internet audio-visual programs.” See “Item 4. Information on the Company—4.B. Business Overview—Regulation—Regulations Relating to Online Transmission of Audio-Visual Programs.”</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 delivers courses in live streaming format. The Group’s teachers and students communicate and interact live with each other via the Group’s virtual learning community. The audio and video data are transmitted through the platforms between specific recipients instantly without any further redaction. We believe the nature of the raw data the Group transmits distinguishes the Group from general providers of internet audio-visual program services, such as the operator of online video websites, and the provision of the Audio-Visual Program Provisions are not applicable with regard to the Group’s offering of the courses. However, we cannot assure you that the competent PRC government authorities will not ultimately take a view contrary to the Group’s opinion. In addition, the Group also offers video recordings of live streaming courses and certain other audio-video contents on the Group’s online platforms to students as supplementary course materials. If the government authorities determine that the Group’s offering of the courses fall within the relevant category of Internet audio-visual program services under the Categories, the Group may be required to obtain the License for Online Transmission of Audio-Visual Programs.</w:t>
      </w:r>
    </w:p>
    <w:p>
      <w:pPr>
        <w:spacing w:after="0" w:line="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Categories describe “Internet audio-visual program services” in a very broad, vague manner and are unclear as to whether online courses, whether delivered in a live streaming format or through video recordings, fall into the definition of audio-visual programs. The Group has made inquiries to the relevant bureaus of SAPPRFT and was informed that online educational content provided through live streaming or recorded courses does not fall within the scope of internet audio-visual programs, the transmission of which does not require a License for Online Transmission of Audio-Visual Programs. We cannot assure you that the PRC government will not ultimately take a view that live streaming or recorded courses or any other content offered on the Group’s platforms are subject to the Audio-Visual Program Provisions. The Group currently does not hold a License for Online Transmission of Audio-Visual Programs. If the PRC government determines that the Group’s content should be considered as “internet audio-visual programs” for the purpose of the Audio-Visual Program Provisions, the Group may be required to obtain a License for Online Transmission of Audio-Visual Programs. The Group is, however, not eligible to apply for such license since the Group is not a state-owned or state-controlled entity. If this were to occur, the Group may be subject to penalties, fines, legal sanctions or an order to suspend the provision of the Group’s live streaming courses. As of the date of this annual report, the Group has not received any notice of warning or been subject to penalties or other disciplinary action from the relevant governmental authorities regarding the lack of a License for Online Transmission of Audio-Visual Programs in conducting of the Group’s business.</w:t>
      </w:r>
    </w:p>
    <w:p>
      <w:pPr>
        <w:spacing w:after="0" w:line="7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obtain and maintain other approvals, licenses, permits or filings applicable to the Group’s business could have a material adverse impact on the Group’s business, financial conditions and results of operations.</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 number of PRC regulatory authorities, such as the SAMR, the Cyberspace Administration of China, the MITT, the SAPPRFT, and the State Council Information Office, the Ministry of Civil Affairs, and the Ministry of Human Resources and Social Welfare, oversee different aspects of the Group’s business operations, and the Group is required to obtain a wide range of government approvals, licenses, permits and filings in connection with the Group’s operations.</w:t>
      </w:r>
    </w:p>
    <w:p>
      <w:pPr>
        <w:spacing w:after="0" w:line="7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Group currently does not hold several approvals, licenses and permits that may be required for certain aspects of the Group’s business operations. Under the current PRC laws and regulations, the provision of the Group’s educational content through the Group’s online platform may be considered “online publishing” and may require the Group to obtain an Internet Publishing License, which the Group currently does not have. See “Item 4. Information on the Company—4.B. Business Overview—Regulation—Regulations Relating to Online Publishing.” As of the date of this annual report, the Group has not received any notice of warning or been subject to any penalties or disciplinary action from government authorities due to the lack of an Internet Publishing License for online education services.</w:t>
      </w:r>
    </w:p>
    <w:p>
      <w:pPr>
        <w:spacing w:after="0" w:line="7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One of our subsidiaries, Wuhan Shangde, has registered “computer technology training” and “art training” in its authorized scope of business. However, the VIEs and certain of their operating subsidiaries currently do not include “occupational training” and “educational facilitation services” in their authorized scope of business. Based on the Group’s consultation with the competent government authorities in Beijing, such government authorities currently may not accept applications for inclusion of “occupational training,” “educational facilitation services” or similar items in the scope of business of companies that do not hold a private school operating permit. For additional information about the private school operating permit, see “—The Group faces risks associated with the lack of a private school operating permit for online education services as well as uncertainties surrounding PRC laws and regulations governing the education industry in general, including the Law for Promoting Private Education and its Implementation Rules.” Even if the application were to be accepted, there is no assurance that it will be approved by the government authorities in a timely fashion, or at all. Furthermore, certain of the VIEs and their operating subsidiaries that engage in online educational services may be required by relevant government authorities to obtain the Value-Added Telecommunications Business Operating License and the License for the Production and Operation of Radio and Television Program. In addition, certain mobile apps do not complete the filing procedures under the Notice on the Filing of Mobile Internet Apps. The Group and/or third parties post information on the Group’s mobile apps and websites that may be viewed as news information, and the release of such</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jc w:val="both"/>
        <w:spacing w:after="0" w:line="252" w:lineRule="auto"/>
        <w:rPr>
          <w:sz w:val="20"/>
          <w:szCs w:val="20"/>
          <w:color w:val="auto"/>
        </w:rPr>
      </w:pPr>
      <w:r>
        <w:rPr>
          <w:rFonts w:ascii="Times New Roman" w:cs="Times New Roman" w:eastAsia="Times New Roman" w:hAnsi="Times New Roman"/>
          <w:sz w:val="18"/>
          <w:szCs w:val="18"/>
          <w:color w:val="auto"/>
        </w:rPr>
        <w:t>information on the Group’s mobile apps and websites may be deemed as Internet news information services and therefore require the VIEs or their operating subsidiaries to obtain Internet news information licenses. In addition, if the government authorities deem printing and providing physical education materials to users as “publication distribution” under Administrative Provisions on the Publications Market, we, the VIEs or their operating subsidiaries may be required to obtain the Publication License. Furthermore, although certain of the VIEs and their operating subsidiaries have obtained the Value-Added Telecommunications Business Operating License, also known as the ICP License, that specifically permits such VIEs to provide certain internet information services, due to uncertainties with respect to the interpretation of relevant laws and regulations by PRC government authorities, we cannot assure you that such ICP License covers all the telecommunication services the VIEs and their operating subsidiaries currently provide, and in the event that such ICP License is found not to cover all the telecommunication services the VIEs and their operating subsidiaries currently provide, the VIEs and their operating subsidiaries may be required to obtain an additional Value-Added Telecommunications Business Operating License or to update their existing ICP License. If it comes to the attention of the government authorities that the VIEs and their operating subsidiaries are operating beyond their respective authorized scope of business, the Group may be subject to fines, confiscation of the gains derived from the noncompliant operations, or may be required to cease the VIEs’ noncompliant operations. In addition, the Group delivers courses in live streaming format on the Group’s proprietary live streaming platform which the relevant authorities may regard as a live-streaming platform and may thus require the Group to make necessary filings as a live-streaming platform. See “Item 4. Information on the Company—4.B. Business Overview—Regulation—Regulations Relating to Internet Live Streaming Services.”</w:t>
      </w:r>
    </w:p>
    <w:p>
      <w:pPr>
        <w:spacing w:after="0" w:line="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the Group has not been subject to any fines or other form of regulatory or administrative penalties or sanctions due to the lack of any aforementioned approvals, licenses or, permits or filings. However, we cannot guarantee that the government authorities will not impose any penalties or sanctions on the Group in the future, which may include warnings, fines, mandates to remedy any violations, confiscation of the gains derived from the services for which approvals, licenses, permits or filings are required, and/or an order to cease to provide such services. In addition, we cannot guarantee that the government will not promulgate new laws and regulations that require additional licenses, permits, approvals and/or filings for the operation of any of the Group’s existing or future business. Besides, the Group may develop new business lines or change the operations of certain of the Group’s current business among our PRC subsidiaries or the VIEs, which may require the Group to obtain additional licenses, approvals, permits, registrations and filings while there can be no assurance that the Group is able to successfully obtain such licenses, approvals, permits, registrations and filings in a timely manner or at all. In addition, there can be no assurance that the Group will be able to maintain their existing licenses, approvals, registrations or permits necessary to provide the Group’s current online services in China, renew any of them when their current term expires, or update existing licenses or obtain additional licenses, approvals, permits, registrations or filings necessary for the Group’s business expansion from time to time. If the Group is unable to obtain or maintain such licenses, permits, approvals or filings in a timely fashion, the Group could be subject to penalties and operational disruption and the Group’s financial condition and results of operations could be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Group may not be able to continue to recruit, train and retain a sufficient number of qualified faculty members.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Group’s faculty members are key to the quality of the Group’s educational services, as well as the Group’s brand and reputation. The Group’s ability to continue to attract faculty members, including teachers and mentors, with necessary experience and qualifications is a key driver in the success of the Group’s business. The Group seeks to recruit qualified faculty members who are dedicated to teaching and are able to communicate with students in an interactive online setting.</w:t>
      </w:r>
    </w:p>
    <w:p>
      <w:pPr>
        <w:spacing w:after="0" w:line="7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Additionally, given the interactive nature of the Group’s live streaming lessons, the Group tends to hire teachers and mentors with strong education background and good communication skills enabling them to engage and interact with students. The market for recruitment of faculty members in China is competitive. In order to recruit qualified full-time teachers and mentors, the Group must provide candidates with competitive compensation packages and offer attractive career development opportunities. Although the Group has not experienced major difficulties in recruiting or training qualified teachers and mentors in the past, we cannot guarantee the Group will be able to continue to recruit, train and retain a sufficient number of qualified faculty members in the future as the Group continues to expand course offerings and business scale, which may have a material adverse effect on the Group’s business, financial condition and results of operations.</w:t>
      </w:r>
    </w:p>
    <w:p>
      <w:pPr>
        <w:spacing w:after="0" w:line="7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Group may not be able to timely improve or expand course and educational content offerings in a cost-effective manner to make them appealing to existing and prospective students, or at all.</w:t>
      </w:r>
    </w:p>
    <w:p>
      <w:pPr>
        <w:spacing w:after="0" w:line="5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Group regularly and constantly updates existing courses and educational content and develops new courses and educational content to meet student’s demand and the latest market trends. The revisions, improvements and expansions of existing course and content offerings and the development of new course and content offerings may not be accepted by existing or prospective students. Even if the Group is able to develop acceptable new course and educational content offerings, the Group may not be able to introduce them as quickly as students require or as quickly as the Group’s competitors introduce competing offerings. The process of performing detailed market research and recruiting qualified faculty for new course and educational content offerings could be costly and time-consuming. Furthermore, offering new courses or content or upgrading existing ones may require the Group to make significant investments in educational content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development, increase sales and marketing efforts and reallocate resources from other uses, all of which may not be successful. If the Group is unsuccessful in pursuing course and educational content development and upgrading opportunities due to the financial constraints, failure to attract qualified faculty, or other factors, the Group’s ability to attract and retain students could be impaired and the Group’s financial results could suffer.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Group faces risks associated with the online live streaming course delivery model.</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believe that, even with the proliferation of internet and mobile devices in China, some of the Group’s target students may still be inclined to choose traditional face-to-face lessons offered by offline learning providers over online courses as they find the former more intimate and reliable. We cannot assure you that the Group’s live streaming course delivery format will continue to be attractive to students in the future. If the Group’s live streaming course delivery model becomes less appealing to students, the Group’s business and prospects may be affected. In addition, there is no assurance that the Group’s live streaming capacity will be able to support a growing number of students accessing the Group’s courses online without any service interruptions. Furthermore, we cannot assure that the Group will be able to address PRC regulatory and legislative developments relating to online streaming business. See “—The Group faces regulatory risks and uncertainties with respect to the licensing requirement for the online transmission of internet audio-visual programs” and “—The failure to obtain and maintain other approvals, licenses, permits or filings applicable to the Group’s business could have a material adverse impact on the Group’s business, financial conditions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Group is subject to the risks associated with third-party live streaming service providers.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Currently, while the Group relies on the proprietary live streaming platform to deliver online courses, the Group also uses certain third-party vendors to provide live streaming services to support the Group’s online course delivery. Because the live streaming technologies and infrastructure are owned and managed by third parties, any problems with the reliability and performance of such technologies and infrastructure could result in unanticipated delays and unscheduled service interruption could further cause the Group to be unable to deliver the Group’s courses in a live streaming format, forcing the Group to resort to using prerecorded lectures. The Group’s inability to deliver live streaming courses during service interruptions may damage the quality of the Group’s education service and student engagement and experience and negatively impact the Group’s reputation, financial condition and results of operations.</w:t>
      </w:r>
    </w:p>
    <w:p>
      <w:pPr>
        <w:spacing w:after="0" w:line="8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Group does not maintain long-term arrangements with the live streaming service providers, including the third-party service providers related to live streaming technologies and infrastructure. The term of the service agreements the Group enters into with third-party live streaming service providers are generally one year. If the Group cannot renew such agreements upon their expirations or terminations on commercially reasonable terms, or at all, or if the live streaming service providers become unwilling or unable to provide the Group with live streaming services at any time for any reasons, the Group’s ability to deliver live streaming online courses will be severely impacted, and the students’ learning experience and the Group’s reputation will be harmed.</w:t>
      </w:r>
    </w:p>
    <w:p>
      <w:pPr>
        <w:spacing w:after="0" w:line="7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adequately and promptly respond to changes in the exams students must take to pursue their desired degrees, diplomas or certifications could cause the Group’s education services to be less attractive to students.</w:t>
      </w:r>
    </w:p>
    <w:p>
      <w:pPr>
        <w:spacing w:after="0" w:line="5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There have been continuous changes in the curriculum requirements associated with, and the format of, the exams the Group’s existing and prospective students must take to pursue their desired degrees, diplomas or certifications, the manner in which the exams are administered, as well as topics frequently tested in the exams. These changes require the Group to continually update and enhance the Group’s course offerings, educational content and teaching methods. Any inability to track and respond to these changes in a timely and cost-effective manner would make the Group’s education services less attractive to students, which may materially and adversely affect the Group’s reputation and ability to continue to attract students without a significant decrease in the Group’s tuition. In addition, as the Group further expands the course offerings, we cannot assure that the Group will be able to adapt the Group’s existing educational content and methods to new courses that the Group has limited experience in teaching.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Group may face risks associated with the installment tuition payment plan the Group offers to its students.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2015, the Group launched an installment payment option enabling eligible students to obtain loans from accredited third-party credit providers in China to finance all or part of their tuition. The third-party credit providers are responsible for performing credit assessment, approving loan applications, providing the funds, and collecting delinquent loan payments. Under the loan agreement between the borrowing student and the lending credit provider, the borrowing student is obligated to repay the loan principal in installments over a period ranging from 3 to 12 months. Under the cooperation agreement between the Group and each credit provider, the Group is obligated to pay the full amount of interest payable under a loan to the credit providers. The Group does not provide any guarantees for the repayment of student loans in favor of the credit providers. In 2023, 2024 and 2025, the Group’s student loan coverage ratio was 1.3%, 1.9% and 1.7%, respectively. For the same periods, the Group made interest payments of RMB1.5 million, RMB1.7 million and RMB1.9 million (US$0.3 million), respectively, to the credit providers. The decrease was mainly due to the students’ preference for lump-sum payment for interest, professional skills and professional certification preparation courses.</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However, the Group plans to continue to make the interest payments for students under their loans and pay service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fees to the credit providers, which may place strains on the Group’s financial resources in the future. The Group may be subject to risks associated with an increase in interest rates to the extent that the Group continues to make interest payments for the loans taken by students. If the Group ceases to do so due to increases in interest rates or for other reasons, the Group’s course packages may become more costly for students to purchase, which could in turn negatively impact the Group’s business, financial condition and reputation.</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availability of funding from the Group’s existing and potential credit providers depends on many factors, such as their liquidity and capital sufficiency, the legal and regulatory environment, the general economic conditions, default rates of students on the loans, and, where applicable, the availability of lenders on the credit providers’ platforms. In addition, the Group’s credit providers may seek to acquire borrowers independently instead of through cooperation with us. The Group currently works with a limited number of credit providers and we cannot assure you that the Group’s credit providers will continue to cooperate with the Group on commercially favorable terms, or at all, or that existing or potential credit providers will be able to provide loans in a sufficient amount to meet students’ borrowing needs. If any of these were to occur, the Group’s course packages may become less compelling to prospective students who wish to obtain student loans, and as a result the Group’s business and financial condition may be negatively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 to or failures of the Group’s IT infrastructure could reduce student satisfaction and could harm the Group’s operations.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performance and reliability of the Group’s IT infrastructure is critical to the Group’s operations and reputation. The Group provides course offerings and educational content to students and faculty primarily through the Group’s applications and platforms built upon Genesis, the Group’s proprietary IT infrastructure. In addition, the Group’s employees, including the faculty and sales and marketing personnel, rely on the Group’s integrated IT infrastructure to carry out their marketing, sales, operation and teaching functions. As part of their educational experience, students interact with their peers and the Group’s faculty via the platforms on a frequent basis. Accordingly, any errors, defects, disruptions or other performance problems with the Group’s IT infrastructure could damage the Group’s reputation, decrease student satisfaction and retention, adversely impact the Group’s ability to attract new students and expand the Group’s course offerings, and materially disrupt the Group’s operations. If any of these occur, the Group’s business operations, reputation and prospects could be harmed.</w:t>
      </w:r>
    </w:p>
    <w:p>
      <w:pPr>
        <w:spacing w:after="0" w:line="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Group’s business depends on the continued success of the Group’s brand “Sunlands,” and if the Group fails to maintain and enhance recognition of the Group’s brand, the Group may face difficulty enrolling new students, and the Group’s reputation and operating results may be harmed.</w:t>
      </w:r>
    </w:p>
    <w:p>
      <w:pPr>
        <w:spacing w:after="0" w:line="11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believe that market awareness of the Group’s brand “Sunlands” has contributed significantly to the success of the Group’s business. Maintaining and enhancing the Group’s brand are critical to the Group’s efforts to grow the Group’s student enrollments and gross billings. Failure to maintain and enhance the Group’s brand recognition could have a material and adverse effect on the Group’s business, operating results and financial condition. The Group has devoted significant resources to the Group’s brand promotion efforts in recent years, but the Group cannot assure you that these efforts will be successful. If the Group are unable to further enhance the Group’s brand recognition, or if the Group incur excessive marketing and promotion expenses, or if the Group’s brand image is negatively impacted by any negative publicity, the Group’s business and results of operations may be materially and adversely affected.</w:t>
      </w:r>
    </w:p>
    <w:p>
      <w:pPr>
        <w:spacing w:after="0" w:line="7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Students may decide not to continue taking the Group’s courses for a number of reasons, including a perceived lack of improvement in their academic performance or general dissatisfaction with the Group’s course and educational content offerings, which may adversely affect the Group’s business, financial condition, results of operations and reputation.</w:t>
      </w:r>
    </w:p>
    <w:p>
      <w:pPr>
        <w:spacing w:after="0" w:line="6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success of the Group’s business depends on the Group’s ability to deliver high-quality learning experiences and help students achieve their learning objectives. The Group may not always be able to meet students’ expectations in terms of academic performance due to a variety of reasons, many of which are outside of the Group’s control. The Group may face increased dropout rates and student dissatisfaction due to students’ perceptions of the Group’s failure to help them achieve their anticipated academic goals, students’ overall dissatisfaction with the quality of the Group’s course and educational content offerings and the Group’s faculty, as well as changing views of the value of the diplomas, degrees and qualifications they are pursuing through taking the Group’s courses. These factors may contribute to reduced student engagement and increased challenges in attracting and enrolling prospective students, all of which may adversely affect the Group’s prospects, business, financial condition, results of operations and reputation.</w:t>
      </w:r>
    </w:p>
    <w:p>
      <w:pPr>
        <w:spacing w:after="0" w:line="7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the Group relies on certain types of course offerings to generate revenues, the Group will be subject to concentration risks, including risks resulting from changes in government policies.</w:t>
      </w:r>
    </w:p>
    <w:p>
      <w:pPr>
        <w:spacing w:after="0" w:line="13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Group’s reliance on certain types of course offerings may expose the Group to concentration risks. For example, the Group has historically relied on the Group’s Self-taught Higher Education Examination, or the STE course offerings, to generate revenues. In recent years, the interest, professional skills and professional certification preparation course offerings have contributed to an increasing proportion of the Group’s overall revenues. In 2023, 2024 and 2025, the Group’s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interest, professional skills and professional certification preparation courses represented approximately 67.1%, 75.3% and 74.2%, respectively, of the Group’s net revenues, and approximately 98.4%, 99.1% and 99.9%, respectively, of the Group’s gross billings. In addition, the Group’s interest, professional skills and professional certification preparation courses represented approximately 95.0%, 97.6% and 98.1%, respectively, of the Group’s new student enrollments in 2023, 2024 and 2025.</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interest, professional skills and professional certification preparation course offerings include diversified course offerings, and thus we believe the Group currently is not reliant on certain types of course offerings for revenue generation. However, if the Group become reliant on certain types of course offerings to generate revenues in the future, and if there are significant reductions in the perceived value of any of the courses on which the Group relies significantly to generate the Group’s revenues or gross billings, the demand for and attractiveness of the Group’s course offerings may be adversely affected, which could have an adverse impact on the Group’s financial condition and results of operations.</w:t>
      </w:r>
    </w:p>
    <w:p>
      <w:pPr>
        <w:spacing w:after="0" w:line="7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Group fails to effectively identify, pursue and consummate strategic alliances or acquisitions, the Group’s ability to grow and to achieve profitability could be impacted.</w:t>
      </w:r>
    </w:p>
    <w:p>
      <w:pPr>
        <w:spacing w:after="0" w:line="11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Group may from time to time engage in evaluations of, and discussions with, possible domestic and international acquisition or alliance candidates. The Group may not be able to identify suitable strategic alliances or acquisition opportunities, complete such transactions on commercially favorable terms, or successfully integrate business operations, infrastructure and management philosophies of acquired businesses and companies. There may be particular complexities, regulatory or otherwise, associated with the Group’s expansion into new markets, and the Group’s strategies may not succeed beyond the Group’s current markets. If the Group are unable to effectively address these challenges, the Group’s ability to execute acquisitions as a component of the Group’s long-term strategy will be impaired, which could have an adverse effect on the Group’s growth.</w:t>
      </w:r>
    </w:p>
    <w:p>
      <w:pPr>
        <w:spacing w:after="0" w:line="7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Group faces intense competition in the Group’s industry, which could divert student to the Group’s competitors, lead to pricing pressure and loss of market share, and significantly reduce the Group’s gross billings and net revenues.</w:t>
      </w:r>
    </w:p>
    <w:p>
      <w:pPr>
        <w:spacing w:after="0" w:line="13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China’s adult online education market and adult personal interest learning market are intensely competitive. The Group competes with other online education service providers or traditional offline players, for student enrollments and engagement, high-quality academic and administrative faculty, and sales and marketing personnel, among other things. Some of the Group’s current and future competitors may have substantially greater name recognition and financial and other resources than the Group does, which may enable them to compete more effectively for potential students and decrease the Group’s market share. The Group also expects to face competition as a result of new entrants to the adult online education market and the adult personal interest learning market.</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 may not be able to compete successfully against current or future competitors and may face competitive pressures that could adversely affect the Group’s business or results of operations. For example, increased competition may result in pricing pressure for the Group in terms of the tuition the Group are able to negotiate to receive from a student. In addition, online education is characterized by rapid changes in students’ technological requirements and expectations and evolving market standards, and the Group’s competitors may develop platforms or other technologies that are superior to the platform and technology the Group uses. These differences may affect the Group’s ability to recruit and retain students, which may render the Group’s online course offerings less competitive. The increasingly competitive landscape may also result in longer and more complex sales cycles with a prospective student or a decrease in the Group’s market share, any of which could negatively affect the Group’s gross billings and net revenues and the Group’s ability to grow the Group’s business.</w:t>
      </w:r>
    </w:p>
    <w:p>
      <w:pPr>
        <w:spacing w:after="0" w:line="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Group’s security measures are breached or fail and result in unauthorized disclosure of data by the Group’s employees or the Group’s third-party agents, the Group could lose existing students, fail to attract new students and be exposed to protracted and costly litigation.</w:t>
      </w:r>
    </w:p>
    <w:p>
      <w:pPr>
        <w:spacing w:after="0" w:line="11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Maintaining platform security is of critical importance to students because the platform stores and transmits proprietary and confidential information, which may include sensitive personally identifiable information that may be subject to stringent legal and regulatory obligations. As an online education service provider, the Group faces an increasing number of threats to the Group’s IT infrastructure, including unauthorized activity and access by the Group’s employees or third-party agents, system viruses, worms, malicious code and organized cyberattacks, which could breach the Group’s security and disrupt the Group’s business. For example, the Group has introduced data security and confidentiality protocols into the cooperation agreements the Group enters into with third-party sales agents with whom the Group shares prospective students’ contact information, and the Group has made technical improvements in the Group’s IT infrastructure to prevent unauthorized access of confidential or sensitive personal information by the Group’s employees and third-party sales agents in the process of engaging prospective students. These measures, however, may not be as effective as the Group anticipates. In addition, there is no assurance that the Group’s third-party sales agents will comply with contractual and legal requirements with respect to data privacy when they collect data from the Group’s prospective students. If the Group’s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security measures are breached or fail as a result of third-party action, employee error, malfeasance or otherwise, the Group could be subject to liability or the Group’s business could be interrupted, potentially over an extended period of time. Any or all of these issues could harm the Group’s reputation, adversely affect the Group’s ability to attract and enroll prospective students, cause prospective students not to enroll or stay enrolled, or subject the Group to third-party lawsuits, regulatory fines or other action or liability. Further, any reputational damage resulting from breach of the Group’s security measures could create distrust of the Group’s company by prospective students or investors. The Group may be required to expend significant additional resources to protect against the threat of these disruptions and security breaches or to alleviate problems caused by such disruptions or breaches.</w:t>
      </w:r>
    </w:p>
    <w:p>
      <w:pPr>
        <w:spacing w:after="0" w:line="7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concerns could limit the Group’s ability to collect and leverage the Group’s user data and disclosure of user data could adversely impact the Group’s business and reputation.</w:t>
      </w:r>
    </w:p>
    <w:p>
      <w:pPr>
        <w:spacing w:after="0" w:line="11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the ordinary course of the Group’s business and in particular in connection with conducting sales and marketing activities with the Group’s existing and prospective students as well as the utilization of the Group’s personalized study programs, the Group collects and utilizes data supplied by the users. The Group currently faces certain legal obligations regarding the manner in which the Group treats such information. Increased regulation of data utilization practices, including self-regulation or findings under existing laws that limit the Group’s ability to collect, transfer and use data, could have an adverse effect on the Group’s business. While we have security measures in place to protect the data of the Group’s users, the Group’s study programs and underlying infrastructure may be materially damaged or compromised as a result of various factors, such as efforts by individuals or groups of hackers and sophisticated organizations, cyberattacks on the Group’s internally built infrastructure, and vulnerabilities in systems and applications from third-party service providers. In addition, if the Group were to disclose data about the Group’s users in a manner that was objectionable to them, the Group’s business reputation could be adversely affected, and the Group could face potential legal claims and administrative penalties that could impact the Group’s operating results. For further details, see “Item 4. Information on the Company—4.B. Business Overview—Data Privacy and Security” and “Item 16K. Cybersecurity.”</w:t>
      </w:r>
    </w:p>
    <w:p>
      <w:pPr>
        <w:spacing w:after="0" w:line="8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Internationally, the Group may become subject to additional and/or more stringent legal obligations concerning the Group’s treatment of customer and other personal information, such as laws regarding data localization and/or restrictions on data export. Failure to comply with these obligations could subject the Group to liability, and to the extent that the Group need to alter the Group’s business model or practices to adapt to these obligations, the Group could incur additional expenses.</w:t>
      </w:r>
    </w:p>
    <w:p>
      <w:pPr>
        <w:spacing w:after="0" w:line="68"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Group is subject to a variety of laws and other obligations regarding data protection, and any failure to comply with applicable laws and obligations could have a material adverse effect on the Group’s business, financial condition and results of operations.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Group is subject to various regulatory requirements relating to the security and privacy of data, including restrictions on the collection, storage and use of personal information and requirements to take steps to prevent personal data from being divulged, stolen, or tampered with. See “Item 4. Information on the Company—4.B. Business Overview—Regulation—Regulations Relating to Internet Information Security and Privacy Protection.” Regulatory requirements regarding the protection of data are constantly evolving and can be subject to differing interpretations or significant change, making the extent of the Group’s responsibilities in that regard uncertain. For example, the Cyber Security Law of the PRC became effective in June 2017, but there are great uncertainties as to the interpretation and application of the law. It is possible that those regulatory requirements may be interpreted and applied in a manner that is inconsistent with the Group’s practices. In addition, the Office of the Central Cyberspace Affairs Commission, the MIIT, the Ministry of Public Security, and the SAMR jointly issued an announcement on January 23, 2019 regarding carrying out special campaigns against mobile internet application programs collecting and using personal information in violation of applicable laws and regulations, which prohibits business operators from collecting personal information irrelevant to their services, or forcing users to give authorization in disguised manner. In addition, the PRC regulatory authorities have recently taken steps to strengthen the regulation on data protection and conducted several rounds of relevant inspections recently. The Group has been taking and will continue to take reasonable measures to comply with such announcement, provisions and inspection requirements.</w:t>
      </w:r>
    </w:p>
    <w:p>
      <w:pPr>
        <w:spacing w:after="0" w:line="8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promulgated the PRC Data Security Law, effective on September 1, 2021. On July 30, 2021, the State Council promulgated the Regulations on Critical Information Infrastructure Security Protection, which became effective on September 1, 2021. On August 20, 2021, the Standing Committee of the National People’s Congress promulgated the PRC Personal Information Protection Law, which came into effect on November 1, 2021. In addition, on January 4, 2022, the CAC announced the adoption of the Revised Cybersecurity Review Measures, which became effective on February 15, 2022 and repealed the Cybersecurity Review Measures promulgated on April 13, 2020. Such Measures further restate and expand the applicable scope of the cybersecurity review. Pursuant to the Revised Cybersecurity Review Measures, critical information infrastructure operators that procure internet products and services, and network platform operators engaging in data processing activities, must be subject to the cybersecurity review if their activities affect or may affect national security. In addition, network platform operators holding over one million users’ personal information shall apply with the Cybersecurity Review Office for a cybersecurity review before listing abroad. On January 4, 2022, the CAC published the Administrative Provisions on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Internet Information Service Algorithm Recommendation on its website, which became effective on March 1, 2022. Furthermore, on July 7, 2022, the CAC promulgated the Security Assessment Measures for Outbound Data Transfer, effective from September 1, 2022, to regulate outbound data transfer activities, protect the rights and interests of personal information, safeguard national security and social public interests, and promote the cross-border security and free flow of data. On March 22, 2024, the CAC published the Provisions on Promoting and Regulating Cross-bound Data Flows, which streamline and provide clarity to the governance framework for outbound data transfer.</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These newly promulgated laws and regulations reflect PRC government further attempts to strengthen the legal protection for the national network security, data security, the security of critical information infrastructure and the security of personal information protection. For details on regulations over cybersecurity, data protection and privacy in the PRC, see “Item 4. Information on the Company—4.B. Business Overview—Regulation—Regulations Relating to Internet Information Security and Privacy Protection.”</w:t>
      </w:r>
    </w:p>
    <w:p>
      <w:pPr>
        <w:spacing w:after="0" w:line="72"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Based on the Group’s understanding of the above PRC laws and regulations and assessment of our cybersecurity, data protection, and privacy practices, the Group’s business operations do not violate any of the above PRC laws and regulations currently in force in all material aspects except for the uncertainties as disclosed in this annual report. The Group has not relied upon the opinion of PRC legal counsel with respect to its conclusion that the Group is compliant with PRC laws and regulations regarding cybersecurity, data protection, and privacy. As advised by Tian Yuan Law Firm, our PRC legal counsel, the Group is not legally required under PRC laws and regulations to engage an external legal counsel to conduct a review of its cybersecurity, data protection, and privacy practices in the PRC. The PRC laws and regulations impose enhanced compliance requirements for critical information infrastructure operators; however, as of the date of this annual report, the Group has not been identified by the PRC regulators as a “critical information infrastructure operator” under the relevant cybersecurity laws and regulations. Nevertheless, the Group strives to adhere to heightened standards of cybersecurity and data privacy for the interests of its users and shareholders, and accordingly the Group has established compliance procedures and programs to identify and mitigate risks in this regard. As a result, the Group’s portal system, operation system and major mobile app have achieved scores of approximately 80 / 100 on tests conducted by independent third-party institutions, which speaks to effective measures adopted by the Group in compliance with applicable cybersecurity and data privacy laws and regulations. Therefore, we believe that the business operations of the Group do not violate any of the laws and regulations over cybersecurity and data privacy currently in force in any material aspect. However, should it become necessary or required under PRC laws and regulations, the Group will promptly engage external legal counsel to assess and provide an opinion on its compliance status with respect to cybersecurity and data privacy and disclose the findings of such review in accordance with SEC rules.</w:t>
      </w:r>
    </w:p>
    <w:p>
      <w:pPr>
        <w:spacing w:after="0" w:line="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Group has been taking and will continue to take reasonable measures to comply with the aforementioned laws, regulations, announcement, provisions and inspection requirements; however, as these laws, regulations, announcements and provisions are relatively new, and the related implementation rules have not yet been promulgated, it remains uncertain how these laws, regulations, announcements and provisions will be implemented. For example, there have been no clarifications from the relevant authorities as to the detailed standards for determining whether an activity is one that “affects or may affect national security”, thus uncertainties remain as to whether the Groups’ data processing activities shall be subject to a cybersecurity review. We cannot assure you the Group can adapt the operations to these laws, regulations, announcement and provisions in a timely manner. Evolving interpretations of such laws, regulations, announcements and provisions or any future regulatory changes might impose additional restrictions on or obligations of the Group generating and processing personal information and other data. The Group may be subject to additional regulations, laws and policies adopted by the PRC government to apply more stringent social and ethical standards in cybersecurity and data privacy resulting from the increased global focus on this area. To the extent that the Group needs to alter the Group’s business model or practices to adapt to these announcement and provisions and future regulations, laws and policies, the Group could incur additional expenses.</w:t>
      </w:r>
    </w:p>
    <w:p>
      <w:pPr>
        <w:spacing w:after="0" w:line="84"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Any failure, or perceived failure by the Group, or by third-party partners to maintain the security of students’ data and other confidential information or to comply with applicable privacy, cybersecurity, data security and personal information protection laws, regulations, policies, contractual provisions, industry standards, and other requirements, may result in civil or regulatory liability, including governmental or data protection authority enforcement actions and investigations, fines, penalties, enforcement orders requiring the Group to cease operating in a certain way, litigation, or adverse publicity, and may require the Group to expend significant resources in responding to and defending allegations and claims. Moreover, claims or allegations that the Group has failed to adequately protect users’ data, or otherwise violated applicable privacy, cybersecurity, data security and personal information protection laws, regulations, policies, contractual provisions, industry standards, or other requirements, may result in damage to the Group’s reputation and a loss of confidence in the Group by users or partners, potentially causing the Group to lose users, business partners and revenues, which could have a material adverse effect on the Group’s business, financial condition and results of operations. Furthermore, the PRC regulatory and enforcement regime with regard to privacy, cybersecurity, data security and personal information protection is still evolving. PRC regulators have been increasingly focused on regulation in the areas of cybersecurity, data security and data protection. We cannot assure you that relevant regulators will not interpret or implement these laws or regulations in ways that negatively affect the Group. It is possible that the Group may become subject to additional or new laws and regulations, policies and interpretations, which may result in additional expenses to the Group and subject the Group to potential liability and negative publicity. The Group expects that these areas will receive greater attention and focus from regulators, and</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attract continued or greater public scrutiny and attention going forward, which could increase compliance costs and subject the Group to heightened risks and challenges associated with data security and protection. If the Group is unable to manage these risks, the Group could become subject to penalties, fines, suspension of business and revocation of required licenses, and the Group’s reputation and results of operations could be materially and adversely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Tuition refunds or potential refund disputes may negatively affect the Group’s cash flow, financial condition, and reputation.</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 offers different tuition refund options to students depending on the time of enrollment and subject to certain conditions and restrictions in the service contract between the Group and each student. Generally, a student is offered a full, unconditional refund within 24 hours upon enrollment. If the student makes a refund request after taking at least one live streaming course lasting 30 minutes by reason of any material academic issue of the Group’s courses within certain refund period, the Group offers a refund excluding the registration fees and the fees of delivered courses upon the Group’s confirmation. In addition, the Group offers students a refund for the undelivered courses excluding the registration fees. Starting from June 2019, the Group offers such refund during the entire service period. When calculating gross billings for a specific period, the Group deducts the total amount of refunds from the total amount of cash received for the sale of course packages for such period. See “Item 4. Information on the Company—4.B. Business Overview —Tuition and Fees.”</w:t>
      </w:r>
    </w:p>
    <w:p>
      <w:pPr>
        <w:spacing w:after="0" w:line="84"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2023, 2024 and 2025, the Group had made RMB94.2 million, RMB76.3 million and RMB101.6 million (US$14.5 million) of refund payments, respectively, most of which were made pursuant to the Group’s tuition refund policy, see “Item 4. Information on the Company—4.B. Business Overview —Tuition and Fees.” The number of refund requests and the amount of refunds could be affected by a number of factors. These factors include, without limitation to, student dissatisfaction with the Group’s teaching quality and the Group’s course and educational content offerings, privacy concerns relating to the Group’s online platforms, negative publicity regarding the Group or online education in general, the terms and scope of the Group’s refund policy, and any change or development in PRC laws and regulations with respect to fees and tuitions charged by online education providers like the Group. See “—The Group faces risks associated with the lack of a private school operating permit for online education services as well as uncertainties surrounding PRC laws and regulations governing the education industry in general, including the Law for Promoting Private Education and its Implementing Rules.” As part of the Group’s efforts to enhance user experience, from June 2019, the Group amended certain terms of refund policy to facilitate a more flexible and smoother refund process. Any refund payments that the Group may be required to make to the students, as well as the expenses the Group could incur for processing refunds and resolving refund disputes, could be substantial and could adversely affect the Group’s gross billings, net revenues, liquidity and financial condition. A high volume of refunds and refund disputes may also generate negative publicity that could harm the Group’s reputation. The Group has experienced in the past, and may experience in the future, negative publicity in relation to refund disputes between the Group and the students, which may significantly harm the Group’s brand name and divert the Group’s attention from operating business.</w:t>
      </w:r>
    </w:p>
    <w:p>
      <w:pPr>
        <w:spacing w:after="0" w:line="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the Group will not be subject to liability claims or legal or regulatory liability for any inappropriate or illegal content, which could subject the Group to liabilities and cause damages to the Group’s reputation.</w:t>
      </w:r>
    </w:p>
    <w:p>
      <w:pPr>
        <w:spacing w:after="0" w:line="13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Although the Group implements various monitoring procedures to identify and remove inappropriate or illegal content, we cannot assure you that there will be no inappropriate or illegal content included in the Group’s content offerings including content generated and uploaded to the Group’s online platforms by the users. For example, the Group has been historically penalized for inaccurate advertising. The Group may face civil, administrative or criminal liability or legal or regulatory sanctions, such as requiring the Group to restrict or discontinue the Group’s content, products or services, if an individual or corporate, governmental or other entity believes that any of the content offerings violates any laws, regulations or governmental policies or infringes upon its legal rights. Even if such a claim were not successful, defending such a claim may cause the Group to incur substantial costs. Moreover, any accusation of inappropriate or illegal content in the Group’s content offerings could lead to significant negative publicity, which could harm the Group’s reputation,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Group’s success depends on the continuing efforts of the Group’s senior management team and other key employees.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 depends on the continued contributions of our senior management and other key employees, including, in particular, Mr. Jianhong Yin, also known as Peng Ou, our founder and the chairman of our board of directors, and Mr. Tongbo Liu, our director and Chief Executive Officer. The loss of the services of any of the Group’s senior management or other key employees could harm the Group’s business. Competition for qualified talents in China is intense. If one or more of the Group’s senior management or other key employees are unable or unwilling to continue in their present positions, the Group may not be able to find replacements in a timely manner, or at all, and the Group’s business may be disrupted. Moreover, if any member of the Group’s senior management team or any of the Group’s other key personnel joins a competitor or forms or invests in a competing business, the Group may lose student enrollments, qualified teaching faculty members and other key sales and marketing personnel to the Group’s competitors. The Group’s future success is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also dependent on the Group’s ability to attract a significant number of qualified employees and retain existing key employees. If the Group is unable to do so, the Group’s business and growth may be materially and adversely affected. The Group’s need to significantly increase the number of qualified employees and retain key employees may cause the Group to materially increase compensation-related costs, including share-based compensation.</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Group cannot maintain the corporate culture as the Group grows, the Group could lose the innovation, collaboration and focus that contribute to the Group’s business.</w:t>
      </w:r>
    </w:p>
    <w:p>
      <w:pPr>
        <w:spacing w:after="0" w:line="11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believe that a critical component of the Group’s success is the corporate culture, which fosters innovations and has roots in a deep understanding of the students and the evolving education industry in China. As the Group continues to expand and grow its business, it may find it difficult to maintain these valuable aspects of the Group’s corporate culture. Any failure to preserve the culture could undermine the Group’s reputation in the marketplace and negatively impact the Group’s ability to attract and retain employees and students, which would in turn jeopardize the Group’s future success.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Group may from time to time be subject to infringement claims relating to intellectual properties of third parties.</w:t>
      </w:r>
    </w:p>
    <w:p>
      <w:pPr>
        <w:spacing w:after="0" w:line="20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cannot assure you that the Group’s course offerings and educational contents and the Group’s IT technologies and platforms do not or will not infringe upon copyrights or other intellectual property rights held by third parties. The Group may encounter disputes from time to time over rights and obligations concerning intellectual properties, and the Group may not prevail in those disputes.</w:t>
      </w:r>
    </w:p>
    <w:p>
      <w:pPr>
        <w:spacing w:after="0" w:line="6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Group has adopted policies and procedures to prohibit the students and employees from infringing upon third-party copyright or intellectual property rights. However, we cannot ensure that they will not, against the Group’s policies, use third-party copyrighted materials or intellectual property without proper authorization in the Group’s classes or via any medium through which the Group provides services. The Group may incur liability for unauthorized duplication or distribution of materials posted on the Group’s websites or used in the Group’s classes. The Group has been involved in claims against the Group alleging the Group’s infringement of third-party intellectual property rights and the Group may be subject to such claims in the future. The Group has not entered into any licensing arrangements with, or otherwise obtained any consent from, the government agencies administering the STE exams for using certain exam questions in the Group’s quiz banks. Although the Group has never been subject to any legal or administrative penalties or proceedings relating to the Group’s use of these sample questions, we cannot assure you that the Group will not be subject to infringement claims associated with the Group’s use of real STE questions in the future. Any such intellectual property infringement claim could result in costly litigation and divert the Group’s management attention and resources, which in turn could negatively affect the Group’s business, financial condition and prospect.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Group fails to protect the Group’s intellectual property rights, the Group’s brand and business may suffer.</w:t>
      </w:r>
    </w:p>
    <w:p>
      <w:pPr>
        <w:spacing w:after="0" w:line="1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Group relies on a combination of patent, copyright, trademark and trade secret laws and restrictions on disclosure to protect the Group’s intellectual property rights. Although the Group seeks to obtain copyright or patent protection for the Group’s intellectual property when applicable, it is possible that the Group may not be able to do so successfully or that the copyright or patent the Group has obtained may not be sufficient to protect all of the Group’s intellectual property rights. In particular, the Group relies, to the great extent, upon the Group’s educational content developed in-house, including course syllabi and outlines, quiz banks, teaching notes, and learning outcomes trees, to provide high-quality online education services. Despite the Group’s efforts to protect the proprietary education contents and other intellectual property rights, unauthorized parties may attempt to copy or duplicate the Group’s intellectual property or otherwise use the Group’s intellectual properties without obtaining the Group’s consent. Monitoring unauthorized use of the Group’s intellectual property is difficult and costly, and we cannot be certain that the steps the Group has taken will effectively prevent misappropriation of the Group’s intellectual properties. If the Group is not successful in protecting the Group’s intellectual property rights, the Group’s business and results of operations may be adversely affected.</w:t>
      </w:r>
    </w:p>
    <w:p>
      <w:pPr>
        <w:spacing w:after="0" w:line="8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Group’s students, employees and third-party vendors may engage in intentional or negligent misconduct or other improper activities or misuse the Group’s platform, which could harm the Group’s brand and reputation.</w:t>
      </w:r>
    </w:p>
    <w:p>
      <w:pPr>
        <w:spacing w:after="0" w:line="11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 is exposed to the risk of fraud or other misconducts committed by students, employees and vendors, including certain third-party sales and marketing agencies. For example, in some instances, students and faculty members may post to the Group’s platform articles or other third-party content for use in class discussions. The PRC laws governing the fair use of these third-party materials are imprecise and adjudicated on a case-by-case basis, which makes it challenging for the Group to adopt and implement policies governing these practices. The Group could, as a result, incur liability to third parties for the unauthorized duplication, distribution or other use of these materials. Any such claims could subject the Group to costly litigation and impose a significant strain on the Group’s financial resources and attention of management personnel regardless of whether the claims have merit. The Group may be required to alter or cease the Group’s uses of such materials, which may include changing or removing content from courses or altering the functionality of the Group’s platform, or to pay monetary damages. Fraud or other misconducts by students, employees or third parties may also involve engaging in unauthorized misrepresentation to the Group’s potential students and misappropriating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third-party intellectual property and other propitiatory rights during marketing activities, misusing sensitive personal information of students, and engaging in bribery or other unlawful payments, any of which could result in customer complaints, regulatory and legal liabilities, as well as serious harm to the Group’s brand and reputation.</w:t>
      </w:r>
    </w:p>
    <w:p>
      <w:pPr>
        <w:spacing w:after="0" w:line="6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Group’s courses undergo multiple rounds of internal review before being broadly released. While the Group proactively monitors the live courses and other content and communications to ensure that the Group is able to identify content that may be deemed inappropriate or in violation of laws, regulations and government policies, since the Group has limited control over the real-time and offline behavior of the Group’s users and employees, to the extent any improper behavior is associated with the Group’s content and services, the Group’s ability to protect its reputation may be limited. If any of the Group’s users and employees suffer or allege to have suffered harm following contact initiated through the Group’s services, the Group may face civil lawsuits or other liabilities. In response to allegations of illegal or inappropriate activities, PRC government authorities may intervene and hold the Group liable for non-compliance with PRC laws and regulations concerning the dissemination of information on the internet and subject the Group to administrative penalties or other sanctions, such as requiring the Group to restrict or discontinue the Group’s content or services. As a result, the Group’s business may suffer and the Group’s reputation, business, financial condition and results of operations may be materially and adversely affected.</w:t>
      </w:r>
    </w:p>
    <w:p>
      <w:pPr>
        <w:spacing w:after="0" w:line="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Group may be the subject of detrimental conduct by third parties such as the Group’s competitors, including complaints to regulatory agencies and the public dissemination of malicious assessments of the Group’s business, which could have a negative impact on the Group’s reputation and cause the Group to lose market share, students and revenues, and adversely affect the price of the ADSs.</w:t>
      </w:r>
    </w:p>
    <w:p>
      <w:pPr>
        <w:spacing w:after="0" w:line="13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 has been, and in the future may be, the target of anti-competitive, harassing or other detrimental conduct by third parties including the Group’s competitors. Such conduct may include complaints, anonymous or otherwise, to regulatory agencies regarding the Group’s operations, accounting, business relationships, business prospects and business ethics. Additionally, allegations, directly or indirectly against the Group, may be posted online by anyone, whether or not related to the Group, on an anonymous basis. The Group may be subject to government or regulatory investigation as a result of such third-party conduct and may be required to expend significant time and incur substantial costs to address such third-party conduct, and there is no assurance that the Group will be able to conclusively refute each of the allegations within a reasonable period of time, or at all. The Group’s reputation may also be materially negatively affected as a result of the public dissemination of anonymous allegations or malicious statements about the Group’s business, which in turn may cause the Group to lose students and revenues, and adversely affect the price of the ADSs.</w:t>
      </w:r>
    </w:p>
    <w:p>
      <w:pPr>
        <w:spacing w:after="0" w:line="8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Group’s user metrics and other estimates are subject to inaccuracy in measuring the Group’s operating performance, which may harm the Group’s reputation.</w:t>
      </w:r>
    </w:p>
    <w:p>
      <w:pPr>
        <w:spacing w:after="0" w:line="13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Group continually reviews the number of students, new student enrollments, gross billings per new student enrollment, and other operating metrics to evaluate growth trends, measure the Group’s performance and make strategic decisions. These metrics are calculated using internal data, have not been validated by an independent third party and may not be indicative of the Group’s future operating performance. While these numbers are based on what we believe to be reasonable estimates for the applicable period of measurement, there are inherent challenges in measuring how the Group’s website and mobile application are used across a large student base. For example, the Group may not be able to identify individual students who have multiple accounts from multiple students who share one account on the Group’s website or mobile application. In addition, the Group collects student reviews to measure student satisfaction rate and other student engagement metrics, but these reviews may not be representative of the Group’s entire student population. Errors or inaccuracies in the Group’s metrics or data could result in incorrect business decisions and inefficiencies. For instance, if a significant understatement or overstatement of student satisfaction or marketing spending were to occur, the Group might expend resources to implement unnecessary business measures or fail to take required actions to remedy an unfavorable trend. If investors do not perceive the Group’s operating metrics to accurately represent the Group’s operating performance, or if the Group discovers material inaccuracies in the Group’s operating metrics, the Group’s reputation may be harmed.</w:t>
      </w:r>
    </w:p>
    <w:p>
      <w:pPr>
        <w:spacing w:after="0" w:line="7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Group fails to maintain an effective internal control over financial reporting, the Group may be unable to accurately and timely report our results of operations, meet our reporting obligations or prevent fraud and investor confidence in our company and the market price of the ADSs may decline.</w:t>
      </w:r>
    </w:p>
    <w:p>
      <w:pPr>
        <w:spacing w:after="0" w:line="6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 public company, we are subject to the Sarbanes-Oxley Act of 2002. Section 404 of the Sarbanes-Oxley Act of 2002 requires us to evaluate and determine the effectiveness of the Group’s internal control over financial reporting, report any material weaknesses in such internal controls and provide a management report on internal control over financial reporting.</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Group’s management has concluded that the Group’s internal control over financial reporting was effective as of December 31, 2025. See “Item</w:t>
      </w:r>
    </w:p>
    <w:p>
      <w:pPr>
        <w:spacing w:after="0" w:line="27" w:lineRule="exact"/>
        <w:rPr>
          <w:sz w:val="20"/>
          <w:szCs w:val="20"/>
          <w:color w:val="auto"/>
        </w:rPr>
      </w:pPr>
    </w:p>
    <w:p>
      <w:pPr>
        <w:jc w:val="both"/>
        <w:ind w:firstLine="8"/>
        <w:spacing w:after="0" w:line="255" w:lineRule="auto"/>
        <w:tabs>
          <w:tab w:leader="none" w:pos="2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and Procedures—Management’s Annual Report on Internal Control over Financial Reporting.” We are exempt from the requirement of an attestation report issued by our registered public accounting firm because we are a non-accelerated filer. The Group will endeavor to maintain an effective internal control system, but any failure may cause the Group’s management not be able to conclude that the Group has effective internal</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control over financial reporting at a reasonable assurance level. To the extent the Group’s independent registered public accounting firm is required to attest to, and report on, the effectiveness of the Group’s internal control over financial reporting in the future, it may not be able to conclude that the Group has effective internal control over financial reporting at a reasonable assurance level. This could in turn result in the loss of investor confidence in the reliability of the Group’s financial statements and negatively impact the trading price of the ADSs. Furthermore, the Group has incurred and may need to incur additional costs and use additional management and other resources in an effort to comply with Section 404 of the Sarbanes-Oxley Act and other requirements going forward.</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addition, there is no assurance that we or our auditor will not identify deficiencies in the Group’s internal control over financial reporting that are deemed to be material weaknesses and render the Group’s internal control over financial reporting ineffective for any future periods. If the Group fails to maintain the adequacy of its internal control over financial reporting, as these standards are modified, supplemented or amended from time to time, the Group may not be able to conclude on an ongoing basis that the Group has effective internal control over financial reporting in accordance with Section</w:t>
      </w:r>
    </w:p>
    <w:p>
      <w:pPr>
        <w:spacing w:after="0" w:line="3" w:lineRule="exact"/>
        <w:rPr>
          <w:sz w:val="20"/>
          <w:szCs w:val="20"/>
          <w:color w:val="auto"/>
        </w:rPr>
      </w:pPr>
    </w:p>
    <w:p>
      <w:pPr>
        <w:jc w:val="both"/>
        <w:ind w:firstLine="8"/>
        <w:spacing w:after="0" w:line="253" w:lineRule="auto"/>
        <w:tabs>
          <w:tab w:leader="none" w:pos="3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speaking, if the Group fails to achieve and to maintain effective internal control environment, we could suffer material misstatements in our financial statements and fail to meet our reporting obligations, which could cause investors to lose confidence in our reported financial information. This could in turn limit our access to capital markets, harm our results of operations, and lead to a negative impact on the trading price of the ADSs. Additionally, ineffective internal control over financial reporting could expose the Group to increased risk of fraud or misuse of corporate assets and subject the Group to potential delisting from the NYSE, regulatory investigations and civil or criminal sanctions.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as a result of being a public company, particularly after we ceased to qualify as an “emerging growth company.”</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are a public company and expect to continue to incur significant legal, accounting and other expenses that we did not incur as a private company. The Sarbanes-Oxley Act of 2002, as well as rules subsequently implemented by the U.S. Securities and Exchange Commission, or the SEC, and the NYSE, impose various requirements on the corporate governance practices of public companies. We will incur additional costs associated with our public company reporting requirements. It may also be more difficult for the Group to find qualified persons to serve on our board of directors or as executive officers. In addition, as we have ceased to be an “emerging growth company” as such term is defined in the JOBS Act, we expect to incur significant expenses and devote substantial management effort toward ensuring compliance with the requirements of Section 404 and the other rules and regulations of the SEC. We are currently evaluating and monitoring developments with respect to these rules and regulations, and we cannot predict or estimate with any degree of certainty the amount of additional costs we may incur or the timing of such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 incentives, which may result in increased share-based compensation expenses.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adopted an equity incentive plan in October 2017, or the 2017 Plan, for the purpose of granting share-based compensation awards to employees, officers, directors and consultants to incentivize their performance and promote the success of the Group’s business.</w:t>
      </w:r>
    </w:p>
    <w:p>
      <w:pPr>
        <w:spacing w:after="0" w:line="5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account for compensation costs for all share-based awards using a fair-value based method and recognize expenses in our consolidated statements of operations in accordance with U.S. GAAP. Under the 2017 Plan, we are authorized to grant options, restricted stock units and other types of awards the administrator of the 2017 Plan decides. Under the 2017 Plan, the maximum aggregate number of shares which may be issued pursuant to all awards is 829,349 shares. As of the date of this annual report, options to purchase a total of 31,550 ordinary shares were outstanding under the 2017 Plan. We believe the granting of share-based awards is of significant importance to our ability to attract and retain key personnel and employees, and we will continue to grant share-based awards in the future. As a result, our expenses associated with share-based compensation may increase, which may have an adverse effect on our results of operations.</w:t>
      </w:r>
    </w:p>
    <w:p>
      <w:pPr>
        <w:spacing w:after="0" w:line="7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Group fails to make adequate contributions to various employee benefits plans as required by PRC regulations, the Group may be subject to penalties.</w:t>
      </w:r>
    </w:p>
    <w:p>
      <w:pPr>
        <w:spacing w:after="0" w:line="11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Companies operating in China are required to participate in various government-sponsored employee benefit plans, including certain social insurance, housing funds and other welfare-oriented payment obligations, and contribute to the plans in amounts equal to certain percentages of salaries, including bonuses and allowances, of employees up to a maximum amount specified by the local government from time to time at locations where the Group’s employees are based. The requirement of employee benefit plans has not been implemented consistently by the local governments in China given the different levels of economic development in different locations. If the Group fails to make adequate contributions to various employee benefit plans and comply with applicable PRC labor-related laws, the Group may be subject to late payment penalties, and the Group could be required to make up the contributions for these plans as well as to pay late fees and fines. If the Group is subject to late fees or fines in relation to the underpaid employee benefits, the Group’s financial condition and results of operations may be adversely affected. In addition, to the extent that the Group can make a reasonable estimate of the liability arising from the Group’s failure in making full contributions to various employee benefit plans, the Group will record a related contingent liability. However, the amount of the Group’s estimates may be inaccurate, in which case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the Group’s financial condition and cash flow may be adversely affected if the Group were to pay late fees or fines in relation to the underpaid employee benefits.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costs in the PRC may adversely affect the Group’s business and results of operations.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currently effective PRC Labor Contract Law was first adopted on June 29, 2007 and later amended on December 28, 2012. The PRC Labor Contract Law has reinforced the protection of employees who, under the PRC Labor Contract Law, have the right, among others, to have written employment contracts, to enter into employment contracts with no fixed term under certain circumstances, to receive overtime wages and to terminate or alter terms in labor contracts. Furthermore, the PRC Labor Contract Law sets forth additional restrictions and increases the costs involved with dismissing employees. To the extent that the Group needs to significantly reduce the Group’s workforce, the PRC Labor Contract Law could adversely affect the Group’s ability to do so in a timely and cost-effective manner, and the Group’s results of operations could be adversely affected. In addition, for employees whose employment contracts include noncompetition terms, the PRC Labor Contract Law requires the Group to pay monthly compensation after such employment is terminated, which will increase the Group’s operating expenses.</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addition, the Group is required by PRC laws and regulations to make social insurance registration and open housing fund account with relevant governmental authorities and pay various statutory employee benefits, including pensions, housing fund, medical insurance, work-related injury insurance, unemployment insurance and maternity insurance to designated government agencies for the benefit of the Group’s employees. The relevant government agencies may examine whether an employer has made adequate payments of the requisite statutory employee benefits, and those employers who fail to make adequate payments may be subject to late payment fees, fines and/or other penalties. If the Group fails to make adequate social insurance and housing fund contributions, the Group may be subject to fines and legal sanctions, and the Group’s business, financial condition and results of operations may be adversely affected. We expect that the Group’s labor costs, including wages and employee benefits, will continue to increase. Unless the Group is able to pass on these increased labor costs to the Group’s customers by increasing the prices of the Group’s products and services, the Group’s financial conditions and results of operations would be materially and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Group faces certain risks relating to the real properties that the Group leases.</w:t>
      </w:r>
    </w:p>
    <w:p>
      <w:pPr>
        <w:spacing w:after="0" w:line="20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Group leases real properties from third parties primarily for the Group’s office use in China, and the lease agreements for most of these leased properties have not been registered with the PRC governmental authorities as required by PRC law. Although the failure to do so does not in itself invalidate the leases, the Group may be ordered by the PRC government authorities to rectify such noncompliance and, if such noncompliance were not rectified within a given period of time, the Group may be subject to fines imposed by PRC government authorities ranging from RMB1,000 and RMB10,000 for the Group’s lease agreements that have not been registered with the relevant PRC governmental authorities.</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the Group is not aware of any regulatory or governmental actions, claims or investigations being contemplated or any challenges by third parties to the Group’s use of the Group’s leased properties the lease agreements of which have not been registered with the government authorities. However, we cannot assure you that the government authorities will not impose fines on the Group due to the Group’s failure to register any of the Group’s lease agreements, which may negatively impact the Group’s financial condition.</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Group leases real properties from third parties in China for marketing and providing offline consultation related to the Group’s online services for potential students or existing students. Some of the ownership certificates or other similar proof of certain leased properties have not been provided to the Group by the relevant lessors. Therefore, we cannot assure you that such lessors are entitled to lease the relevant real properties to us. If the lessors are not entitled to lease the real properties to the Group and the owners of such real properties decline to ratify the lease agreements between the Group and the respective lessors, the Group may not be able to enforce the Group’s rights to lease such properties under the respective lease agreements against the owners. As of the date of this annual report, the Group is not aware of any claim or challenge brought by any third parties concerning the use of the Group’s leased properties without obtaining proper ownership proof. If the Group’s lease agreements are claimed as null and void by third parties who are the real owners of such leased real properties, the Group could be required to vacate the properties, in the event of which the Group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the Group is unable to relocate the Group’s operations in a timely manner, the Group’s operations may be interrupted.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Group’s operations depend on the performance of the internet infrastructure and telecommunications networks in China.</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successful operation of the Group’s business depends on the performance of the internet infrastructure and telecommunications networks in China. Almost all access to the internet is maintained through state-owned telecommunications operators under the administrative control and regulatory supervision of the MIIT. Moreover, the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Group has entered into contracts with various subsidiaries of a limited number of telecommunications service providers at provincial level and rely on them to provide the Group with data communications capacity through local telecommunications lines. The Group has limited access to alternative networks or services in the event of disruptions, failures or other problems with China’s internet infrastructure or the telecommunications networks provided by telecommunications service providers. The Group’s platform regularly serves a large number of users and advertisers. With the expansion of the Group’s business, the Group may be required to upgrade the Group’s technology and infrastructure to keep up with the increasing traffic on the Group’s platform. However, the Group has no control over the costs of the services provided by telecommunications service providers. If the prices the Group pays for telecommunications and internet services rise significantly, the Group’s results of operations may be materially and adversely affected. If internet access fees or other charges to internet users increase, the Group’s user traffic may decline and the Group’s business may be harmed.</w:t>
      </w:r>
    </w:p>
    <w:p>
      <w:pPr>
        <w:spacing w:after="0" w:line="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Group may be subject to litigations, allegations, complaints and investigations from time to time arising out of business operations. We and certain of our directors and officers have been named as defendants in a shareholder class action lawsuit, which could have a material adverse impact on the Group’s business, financial condition, results of operation, cash flows and reputation.</w:t>
      </w:r>
    </w:p>
    <w:p>
      <w:pPr>
        <w:spacing w:after="0" w:line="13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Group has been and may continue to be involved in legal and other disputes in the ordinary course of business operations. For example, we and certain of our directors and officers have been named as defendants in a class action lawsuit. For details, see “Item 8. Financial Information—8.A. Consolidated Statements and Other Financial Information—Legal Proceedings.” We cannot guarantee that the Group will not be a target for lawsuits in the future, including putative class action lawsuits brought by shareholders. There can be no assurance that the Group will be able to prevail in the Group’s defense or reverse any unfavorable judgment on appeal, and the Group may decide to settle lawsuits on unfavorable terms. Any adverse outcome of these cases, including any plaintiffs’ appeal of the judgment in these cases, could result in payments of substantial monetary damages or fines, or changes to the Group’s business practices, and thus have a material adverse effect on the Group’s business, financial condition, results of operation, cash flows and reputation. In addition, there can be no assurance that the Group’s insurance carriers will cover all or part of the defense costs, or any liabilities that may arise from these matters. The litigation process may utilize a significant portion of the Group’s cash resources and divert management’s attention from the day-to-day operations of our company, all of which could harm the Group’s business. The Group also may be subject to claims for indemnification related to these matters, and the Group cannot predict the impact that indemnification claims may have on the Group’s business or financial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Group currently does not have any business insurance coverage.</w:t>
      </w:r>
    </w:p>
    <w:p>
      <w:pPr>
        <w:spacing w:after="0" w:line="20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Insurance companies in China currently do not offer as extensive an array of insurance products as insurance companies in more developed economies. Currently, the Group does not have any business liability or disruption insurance to cover the Group’s operations. The Group has determined that the costs of insuring for these risks and the difficulties associated with acquiring such insurance on commercially reasonable terms make it impractical for the Group to have such insurance. Any uninsured business disruptions may result in the Group’s incurring substantial costs and the diversion of resources, which could have an adverse effect on the Group’s results of operations and financial condition.</w:t>
      </w:r>
    </w:p>
    <w:p>
      <w:pPr>
        <w:spacing w:after="0" w:line="7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Group faces risks related to natural disasters, extreme weather conditions, health epidemics and other catastrophic incidents, which could significantly disrupt the Group’s operations.</w:t>
      </w:r>
    </w:p>
    <w:p>
      <w:pPr>
        <w:spacing w:after="0" w:line="11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China has in the past experienced significant natural disasters, including earthquakes, extreme weather conditions, as well as health scares related to epidemic diseases, and any similar event could materially impact the Group’s business in the future. If a disaster or other disruption were to occur in the future that affects the regions where the Group operates business, the Group’s operations could be materially and adversely affected due to loss of personnel and damages to property. Even if the Group is not directly affected, such a disaster or disruption could affect the operations or financial condition of the Group’s ecosystem participants, which could harm the Group’s results of operations.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accidents, disasters and public health challenges in China and globally could impact the Group’s business and results of operations. These types of events could negatively impact user activity and the Group’s local operations, if any, in the affected regions, or, depending upon the severity, across China or globally, which could adversely impact the Group’s business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1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There are uncertainties regarding the interpretation and application of current and future PRC laws, regulations, and rules relating to the agreements that establish the VIE structure for the Group’s operations in China, including potential future actions by the PRC government, which could affect the enforceability of our contractual arrangements with the VIEs and, consequently, significantly affect the Group’s financial condition and results of operations. If the PRC government finds such agreements non-compliant with relevant PRC laws, regulations, and rules, or if these laws, regulations and rules or the interpretation thereof change in the future, we could be subject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severe penalties or be forced to relinquish our interests in the VIEs.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Foreign investment in the value-added telecommunication services industry in China is extensively regulated and subject to numerous restrictions. Pursuant to the latest list of special management measures for the market entry of foreign investment, or the Negative List, published by the National Development and Reform Commission and the Ministry of Commerce and effective on November 1, 2024, with a few exceptions, foreign investors are not allowed to own more than 50% of the equity interests in a value-added telecommunication service provider.</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and our wholly-owned PRC subsidiaries are currently considered foreign-invested enterprise. Accordingly, our PRC subsidiaries are not eligible to provide value-added telecommunication services in China. To ensure strict compliance with the PRC laws and regulations, such business activities were conducted through the VIEs and their respective subsidiaries. Our wholly-owned subsidiaries in China have entered into a series of contractual arrangements with the VIEs, their respective shareholders and their respective subsidiaries, which enable us to (i) direct the activities of the VIEs that most significantly impact the VIEs’ economic performance, (ii) receive substantially all of the economic benefits of the VIEs, and (iii) have an exclusive option to purchase all or part of the equity interests and assets in the VIEs when and to the extent permitted by PRC law. As a result of these contractual arrangements, we are considered the primary beneficiary of the VIEs for accounting purposes and are able to consolidate their operating results in the Group’s financial statements under U.S. GAAP. See “Item 4. Information on the Company—4.C. Organizational Structure” for further details.</w:t>
      </w:r>
    </w:p>
    <w:p>
      <w:pPr>
        <w:spacing w:after="0" w:line="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Since the laws and regulations are still evolving and new PRC laws, regulations, rules and interpretations may be introduced to impose additional requirements, posing additional challenges to our corporate structure and contractual arrangements, there are uncertainties regarding whether the Group could comply with new laws, regulations, rules and interpretations in a timely manner, or at all. Any failure to comply with such regulatory requirements may challenge the validity and enforceability of the Group’s contractual arrangements.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the PRC government finds that the Group’s contractual arrangements do not comply with its restrictions on foreign investment in the value-added telecommunication services, or if the PRC government otherwise finds that we, the VIEs, or any of their subsidiaries are in violation of PRC laws or regulations or lack the necessary permits or licenses to operate the Group’s business, the relevant PRC regulatory authorities, including the MIIT and SAMR, would have broad discretion in dealing with such violations or failures, including, without limitation:</w:t>
      </w:r>
    </w:p>
    <w:p>
      <w:pPr>
        <w:spacing w:after="0" w:line="72" w:lineRule="exact"/>
        <w:rPr>
          <w:sz w:val="20"/>
          <w:szCs w:val="20"/>
          <w:color w:val="auto"/>
        </w:rPr>
      </w:pPr>
    </w:p>
    <w:p>
      <w:pPr>
        <w:ind w:left="760" w:hanging="513"/>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and/or operating licenses of such entities;</w:t>
      </w:r>
    </w:p>
    <w:p>
      <w:pPr>
        <w:spacing w:after="0" w:line="117" w:lineRule="exact"/>
        <w:rPr>
          <w:rFonts w:ascii="Times New Roman" w:cs="Times New Roman" w:eastAsia="Times New Roman" w:hAnsi="Times New Roman"/>
          <w:sz w:val="18"/>
          <w:szCs w:val="18"/>
          <w:color w:val="auto"/>
        </w:rPr>
      </w:pPr>
    </w:p>
    <w:p>
      <w:pPr>
        <w:ind w:left="760" w:hanging="513"/>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placing restrictions or onerous conditions on the Group’ operation through any transactions between our PRC subsidiaries and the VIEs;</w:t>
      </w:r>
    </w:p>
    <w:p>
      <w:pPr>
        <w:spacing w:after="0" w:line="53" w:lineRule="exact"/>
        <w:rPr>
          <w:rFonts w:ascii="Times New Roman" w:cs="Times New Roman" w:eastAsia="Times New Roman" w:hAnsi="Times New Roman"/>
          <w:sz w:val="18"/>
          <w:szCs w:val="18"/>
          <w:color w:val="auto"/>
        </w:rPr>
      </w:pPr>
    </w:p>
    <w:p>
      <w:pPr>
        <w:ind w:left="760" w:right="20" w:hanging="513"/>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from our PRC subsidiaries or the VIEs, or imposing other requirements with which the Group may not be able to comply;</w:t>
      </w:r>
    </w:p>
    <w:p>
      <w:pPr>
        <w:spacing w:after="0" w:line="53" w:lineRule="exact"/>
        <w:rPr>
          <w:rFonts w:ascii="Times New Roman" w:cs="Times New Roman" w:eastAsia="Times New Roman" w:hAnsi="Times New Roman"/>
          <w:sz w:val="18"/>
          <w:szCs w:val="18"/>
          <w:color w:val="auto"/>
        </w:rPr>
      </w:pPr>
    </w:p>
    <w:p>
      <w:pPr>
        <w:jc w:val="both"/>
        <w:ind w:left="760" w:hanging="513"/>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Group to restructure the Group’s ownership structure or operations, including terminating the contractual arrangements with the VIEs and deregistering the equity pledges of the VIEs, which in turn would affect our ability to consolidate or derive economic interests from the VIEs; or</w:t>
      </w:r>
    </w:p>
    <w:p>
      <w:pPr>
        <w:spacing w:after="0" w:line="6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our use of the proceeds of our initial public offering to finance the Group’s business and operations in China.</w:t>
      </w:r>
    </w:p>
    <w:p>
      <w:pPr>
        <w:spacing w:after="0" w:line="11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Any of these actions could cause significant disruptions to the Group’s business operations and severely damage the Group’s reputation, which would in turn materially and adversely affect the Group’s business, financial condition and results of operations. In addition, new PRC laws, regulations, and rules may be introduced to impose additional requirements, posing additional challenges to the Group’s corporate structure and contractual arrangements. If any of these occurrences results in our inability to direct the activities of the VIEs or our failure to receive the economic benefits from the VIEs and/or our inability to claim our contractual rights over the assets of the VIEs that conduct the Group’s operations in China, we may not be able to consolidate the entity in our consolidated financial statements in accordance with U.S. GAAP, which could materially and adversely affect the Group’s financial condition and results of operations and cause the ADSs to significantly decline in value or become worthless.</w:t>
      </w:r>
    </w:p>
    <w:p>
      <w:pPr>
        <w:spacing w:after="0" w:line="8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February 17, 2023, the CSRC released the Trial Administrative Measures of Overseas Securities Offering and Listing by Domestic Companies, or the Overseas Listing Trial Measures, and five supporting guidelines, effective on March 31, 2023. At the press conference held for the Overseas Listing Trial Measures on the same day, officials from the CSRC clarified that, as for companies seeking overseas listing with contractual arrangements, the CSRC will solicit opinions from relevant regulatory authorities and complete the filing of the overseas listing of such companies if they duly meet the compliance requirements, and support the development and growth of these companies by enabling them to utilize two markets and two kinds of resources. If the Group fails to complete the filing with the CSRC in a timely manner or at all, for any future offerings, listing or any other capital raising activities, which are subject to the filings under the Overseas Listing Trial Measures, due to the Group’s contractual arrangements, our ability to raise or utilize funds could be materially and adversely affected, and we may even need to unwind the Group’s contractual arrangements or restructure the Group’s business operations to rectify the failure to complete the filings. However, given that the Overseas Listing Trial Measures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were recently promulgated, there remain substantial uncertainties as to their interpretation, application, and enforcement and how they will affect the Group’s operations and future financing.</w:t>
      </w:r>
    </w:p>
    <w:p>
      <w:pPr>
        <w:spacing w:after="0" w:line="5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VIEs and their respective shareholders for a significant portion of the Group’s business operations which may not be as effective as direct ownership.</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relied and expect to continue to rely on contractual arrangements with the VIEs, their respective shareholders and their respective subsidiaries to operate the Group’s online education services business in China. These contractual arrangements may not be as effective as direct ownership. For example, the VIEs and their respective shareholders could breach their contractual arrangements with us by, among other things, failing to conduct their operations in an acceptable manner or taking other actions that are detrimental to our interests. The revenues contributed by the VIEs and their respective subsidiaries constituted 63.4%, 83.9% and 48.5% of the Group’s total net revenues in 2023, 2024 and 2025, respectively.</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we had direct ownership of the VIEs, we would be able to exercise our rights as a shareholder to effect changes in the board of directors of the VIEs, which in turn could implement changes, subject to any applicable fiduciary obligations, at the management and operational level. However, under the current contractual arrangements, we rely on the performance by the VIEs and their respective shareholders of their obligations under the contracts. The shareholders of the VIEs may not act in the best interests of our company or may not perform their obligations under these contracts. Such risks exist throughout the period in which we intend to operate certain portions of the Group’s business through the contractual arrangements with the VIEs. If any disputes relating to these contracts remain unresolved, we will have to enforce our rights under these contracts through the operations of PRC law and arbitration, litigation and other legal proceedings and therefore will be subject to uncertainties in the PRC legal system. Therefore, our contractual arrangements with the VIEs may not be as effective as direct ownership would be.</w:t>
      </w:r>
    </w:p>
    <w:p>
      <w:pPr>
        <w:spacing w:after="0" w:line="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VIEs or their respective shareholders to perform their obligations under our contractual arrangements with them would have a material and adverse effect on the Group’s business.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If any of the VIEs or their respective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claiming damages, which we cannot assure will be effective under PRC law. For example, if the shareholders of the VIEs refuse to transfer their equity interest in the VIEs to us or our designee if we exercise the purchase option pursuant to these contractual arrangements, or if they otherwise act in bad faith toward us, then we may have to take legal actions to compel them to perform their contractual obligations. In addition, if any third parties claim any interest in such shareholders’ equity interests in the VIEs, our ability to exercise shareholders’ rights or foreclose the share pledge according to the contractual arrangements may be impaired. If these or other disputes between the shareholders of the VIEs and third parties were to impair the contractual arrangements that make us the primary beneficiary of the VIEs for accounting purposes, our ability to consolidate the financial results of the VIEs would be affected, which would in turn result in a material adverse effect on the Group’s business, operations and financial condition.</w:t>
      </w:r>
    </w:p>
    <w:p>
      <w:pPr>
        <w:spacing w:after="0" w:line="8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contractual arrangements are governed by PRC laws. Accordingly, these contracts would be interpreted in accordance with PRC laws, and any disputes would be resolved in accordance with PRC legal procedures.</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legal system in the PRC is evolving and the evolution of the PRC legal system could limit our ability to enforce these contractual arrangements. Meanwhile, there are very few precedents and little formal guidance as to how contractual arrangements in the context of a VIE should be interpreted or enforced under PRC laws.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which would require additional expenses and delay. In the event we are unable to enforce these contractual arrangements, or if we suffer significant delays or other obstacles in the process of enforcing these contractual arrangements, we may not be considered as the primary beneficiary of the VIEs for accounting purposes, and the Group’s ability to conduct business may be negatively affected.</w:t>
      </w:r>
    </w:p>
    <w:p>
      <w:pPr>
        <w:spacing w:after="0" w:line="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the VIEs may have actual or potential conflicts of interest with us, which may materially and adversely affect the Group’s business and financial condition.</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shareholders of the VIEs may have actual or potential conflicts of interest with us. These shareholders may refuse to sign or breach, or cause the VIEs to breach, or refuse to renew, the existing contractual arrangements we have with them and the VIEs, which would have a material and adverse effect on our ability to be considered as the primary beneficiary of the VIEs for accounting purposes and receive economic benefits from the VIEs.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in our favor. Currently, we do not have any arrangements to address potential conflicts of interest between these shareholders and our company. If we cannot resolve any conflict of interest or dispute between us and these shareholders, we would have to rely on legal proceedings, which could result in disruption of the Group’s business and subject us to substantial uncertainty as to the outcome of any such legal proceedings.</w:t>
      </w:r>
    </w:p>
    <w:p>
      <w:pPr>
        <w:spacing w:after="0" w:line="6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the VIEs may be subject to scrutiny by the PRC tax authorities and they may determine that the Group owes additional taxes, which could negatively affect the Group’s financial condition and the value of your investment.</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within ten years after the taxable year when the transactions are conducted. The Group could face material and adverse tax consequences if the PRC tax authorities determine that the VIE contractual arrangements were not entered into on an arm’s-length basis in such a way as to result in an impermissible reduction in taxes under applicable PRC laws, rules and regulations, and adjust the income of the VIEs in the form of a transfer pricing adjustment. A transfer pricing adjustment could, among other things, result in a reduction of expense deductions recorded by the VIEs for PRC tax purposes, which could in turn increase tax liabilities without reducing our PRC subsidiary’s tax expenses. In addition, the PRC tax authorities may impose late payment fees and other penalties on the VIEs for the adjusted but unpaid taxes according to the applicable regulations. The Group’s financial position could be materially and adversely affected if the VIEs’ tax liabilities increase or if it is required to pay late payment fees and other penalties.</w:t>
      </w:r>
    </w:p>
    <w:p>
      <w:pPr>
        <w:spacing w:after="0" w:line="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or otherwise benefit from, the licenses, approvals and assets held by the VIEs, which could severely disrupt the Group’s business, render the Group unable to conduct some or all of the business operations and constrain the Group’s growth.</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part of our contractual arrangements with the VIEs, the VIEs hold certain assets, licenses and permits that are material to their business operations, such as the ICP License and the License for the Production and Operation of Radio and Television Program. The contractual arrangements contain terms that specifically obligate VIEs’ shareholders to ensure the valid existence of the VIEs and restrict the disposal of material assets of the VIEs. However, in the event the VIEs’ shareholders breach the terms of these contractual arrangements and voluntarily liquidate the VIEs, or the VIEs declare bankruptcy and all or part of its assets become subject to liens or rights of third-party creditors, or are otherwise disposed of without our consent, we may be unable to conduct some or all of the Group’s business operations or otherwise benefit from the assets held by the VIEs, which could have a material adverse effect on the Group’s business, financial condition and results of operations. Furthermore, if the VIEs undergo a voluntary or involuntary liquidation proceeding, their shareholders or unrelated third-party creditors may claim rights to some or all of the assets of the VIEs, thereby hindering the Group’s ability to operate business as well as constrain the Group’s growth.</w:t>
      </w:r>
    </w:p>
    <w:p>
      <w:pPr>
        <w:spacing w:after="0" w:line="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existing shareholders have substantial influence over our company, and their interests may not be aligned with the interests of our other stockholders.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Mr. Peng Ou, our founder and the chairman of our board of directors, owns approximately 65.7% of our voting power and Mr. Tongbo Liu, our director and our Chief Executive Officer, owns approximately 11.7% of our voting power as of the date of this annual report. In addition, Mr. Peng Ou, Mr. Tongbo Liu and certain of our senior management and employees collectively beneficially own approximately 8.2% of our issued and outstanding Class A ordinary shares and 96.2% of our issued and outstanding Class C ordinary shares, which constitute approximately 77.6% of the aggregate voting power of our total issued and outstanding share capital as of the date of this annual report. See “—Risks Related to the ADSs—Our triple-class share structure with different voting rights will limit your ability to influence corporate matters and could discourage others from pursuing any change of control transactions that holders of our Class A ordinary shares and ADSs may view as beneficial.” As a result, Mr. Peng Ou, Mr. Tongbo Liu and certain of our senior management and employees have significant influence over the Group’s business, including decisions regarding mergers, consolidations, liquidations and the sale of all or substantially all of our assets, election of directors and other significant corporate actions. This concentration of ownership may also have the effect of discouraging, delaying or preventing a future change of control, which could deprive our stockholders of an opportunity to receive a premium for their shares as part of a sale of our company and might reduce the price of the ADSs.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filing or other requirements of the China Securities Regulatory Commission or other PRC government authorities may be required under PRC law in connection with our issuance of securities overseas, and if required, we cannot predict whether or for how long the Group will be able to obtain such approval or complete such filing or other requirements.</w:t>
      </w:r>
    </w:p>
    <w:p>
      <w:pPr>
        <w:spacing w:after="0" w:line="6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purport to require offshore special purpose vehicles that are controlled by PRC companies or individuals and that acquire PRC domestic companies or assets by using such offshore special purpose vehicles’ shares as a means of payment for the purpose of seeking a public listing on an overseas stock exchange, to obtain CSRC approval prior to publicly listing their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securities on an overseas stock exchange. The interpretation and application of the regulations remain unclear. If CSRC approval under the M&amp;A Rules is required, it is uncertain whether it would be possible for the Group to obtain the approval, and any failure to obtain or delay in obtaining CSRC approval for our future issuance of securities overseas would subject the Group to sanctions imposed by the CSRC and other PRC regulatory agencies.</w:t>
      </w:r>
    </w:p>
    <w:p>
      <w:pPr>
        <w:spacing w:after="0" w:line="6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Furthermore, the Opinions on Strictly Cracking Down on Illegal Securities Activities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although such opinions did not specify the definition of “illegal securities activities.” Such opinions further provided that the special provisions of the State Council on overseas offerings and listings by those companies limited by shares will be revised and therefore the duties of domestic industry competent authorities and regulatory agencies will be clarified.</w:t>
      </w:r>
    </w:p>
    <w:p>
      <w:pPr>
        <w:spacing w:after="0" w:line="7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On February 17, 2023, the CSRC released the Overseas Listing Trial Measures, and five supporting guidelines, effective on March 31, 2023. Pursuant to the Overseas Listing Trial Measures, domestic companies that seek to offer or list securities overseas, either in direct or indirect means, are required to report and file required documents with the CSRC. In addition, domestic companies that have been listed on a foreign stock exchange prior to the effective date of the Overseas Listing Trial Measures are required to file with the CSRC within three working days of the completion of fund raising activities on the same overseas capital market and shall make required filing immediately after they submit application for their listing or offering securities in other overseas capital markets.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See “Item 4. Information on the Company—4.B. Business Overview—Regulation—M&amp;A Regulations and Overseas Listings.” However, since the Overseas Listing Trial Measures was newly promulgated, the interpretation, application and enforcement of Overseas Listing Trial Measures remain unclear. We cannot assure you that we could complete the filing procedure in relation to any further capital raising activities as required in a timely manner, or at all. The CSRC or other PRC regulatory agencies also may take further actions requiring the Group, or making it advisable for the Group, not to proceed with such offering or maintain the listing status of the ADSs. If we proceed with any of such offering or maintain the listing status of the ADSs without obtaining the CSRC’s approval to the extent it is required, or if the Group is unable to comply with any new approval or filing requirements which might be adopted for offerings that we have completed prior to the effective date of the Overseas Listing Trial Measures, the Group may face regulatory actions or other sanctions from the CSRC or other PRC regulatory agencies. These regulatory agencies may impose fines and penalties on the Group’s operations in China, limit the Group’s ability to pay dividends outside of China, limit the Group’s operating privileges in China, delay or restrict the repatriation of the proceeds from offering of securities overseas into China or take other actions that could have a material adverse effect on the Group’s business, financial condition, results of operations and prospects, as well as the trading price of the ADSs.</w:t>
      </w:r>
    </w:p>
    <w:p>
      <w:pPr>
        <w:spacing w:after="0" w:line="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Furthermore, if there are any other approvals, filings and/or other administration procedures to be obtained from or completed with the CSRC or other PRC regulatory agencies as required by any new laws and regulations for any of our future proposed offering of securities overseas or the listing of the ADSs, we cannot assure you that the Group can obtain the required approval or complete the required filings or other regulatory procedures in a timely manner, or at all. Any failure to obtain the relevant approvals or complete the filings and other relevant regulatory procedures may subject the Group to regulatory actions or other sanctions from the CSRC or other PRC regulatory agencies, which may have a material adverse effect on the Group’s business, financial condition or results of operations.</w:t>
      </w:r>
    </w:p>
    <w:p>
      <w:pPr>
        <w:spacing w:after="0" w:line="7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the Group’s business and operations.</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Substantially all of the Group’s assets and operations are located in China. Accordingly, the Group’s business, financial condition, results of operations and prospects may be influenced to a significant degree by political, economic and social conditions in China generally. The Chinese government continues to play a significant role in regulating industry development by imposing industrial policies. The Chinese government also exercises significant regulation over China’s economic growth through allocating resources, controlling payment of foreign currency-denominated obligations, setting monetary policy and providing preferential treatment to particular industries or companies.</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Meanwhile, economic conditions in China are sensitive to global economic conditions, changes in domestic economic and political policies and the expected or perceived overall economic growth rate in China. There have been concerns over the relationship among China and other Asian countries, which may result in or intensify potential conflicts in relation to territorial disputes. In recent years, there have also been ongoing concerns about the relationship and the trade disputes between the United States and China. These tensions have been marked by the imposition of higher tariffs and retaliatory measures from both sides, reflecting broader strategies to address perceived trade imbalances. While these developments have not directly impacted our business, prolonged trade disputes may disrupt global economic conditions, potentially impacting our business and growth prospects.</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on October 28, 2024, the U.S. Department of the Treasury issued a final rule on outbound investment,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color w:val="auto"/>
        </w:rPr>
        <w:t>effective January 2, 2025, which restricts or requires notification of certain investments by U.S. persons in Chinese entities involved in semiconductors, quantum technologies, and artificial intelligence. Although we believe we are not currently subject to these restrictions, future developments in our business or changes in law may result in such designation, which may materially and adversely affect our ability to raise capital. On February 21, 2025, the United States President Donald Trump issued a National Security Presidential Memorandum titled the America First Investment Policy (the “America First Investment Policy”) to provide guidance on investment oversight. The America First Investment Policy includes directives to, among other things, (i) determine if adequate financial auditing standards are upheld for companies covered by the HFCAA, and (ii) review the variable interest entity and subsidiary structures used by “foreign-adversary companies” to trade on United States exchanges, as well as allegations of fraudulent behavior by these companies, to protect United States investors. More recently, in May 2025, top Republican officers in the United States have asked SEC to consider whether Chinese companies listed on the U.S. stock exchange should be delisted for failing to protect U.S. investors. We face risks of losing deposits in the event of the closure or systematic failures of banks and if banks or financial institutions close or fail due to issues such as bankruptcy, fraud, or insolvency. These failures can destabilize the financial system and harm the wider economy as a whole. It is unclear whether these challenges and uncertainties will be addressed or resolved, and how they might impact global political and economic conditions over the long term.</w:t>
      </w:r>
    </w:p>
    <w:p>
      <w:pPr>
        <w:spacing w:after="0" w:line="8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past decades, growth has been uneven, both geographically and among various sectors of the economy. Any adverse changes in economic conditions in China, in the policies of the Chinese government or in the laws and regulations in China could have a material adverse effect on the overall economic growth of China. Such developments could adversely affect the Group’s business and operating results, lead to a reduction in demand for the Group’s services and adversely affect the Group’s competitive position. The Chinese government has implemented various measures to encourage economic growth and guide the allocation of resources. Some of these measures may benefit the overall Chinese economy, but may have a negative effect on us. For example, the Group’s financial condition and results of operations may be adversely affected by government regulation over capital investments or changes in tax regulations. In addition, in the past the Chinese government has implemented certain measures, including interest rate adjustment. It is uncertain whether these measures would cause decreased economic activity in China, which may adversely affect the Group’s business and operating results.</w:t>
      </w:r>
    </w:p>
    <w:p>
      <w:pPr>
        <w:spacing w:after="0" w:line="76"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Evolution of the PRC legal system, including changes in policies, laws and regulations in China, could adversely affect the Group. The enforcement of laws and rules and regulations in China may change quickly, which could result in a material adverse change in the Group’s operations and the value of the ADSs.</w:t>
      </w:r>
    </w:p>
    <w:p>
      <w:pPr>
        <w:spacing w:after="0" w:line="6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Unlike the common law system, prior court decisions under the civil law system may be cited for reference but have limited precedential value.</w:t>
      </w:r>
    </w:p>
    <w:p>
      <w:pPr>
        <w:spacing w:after="0" w:line="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1979, the PRC government began to promulgate a comprehensive system of laws and regulations governing economic matters in general. The overall effect of legislation over the past three decades has significantly enhanced the protections afforded to various forms of foreign investments in China. However, the PRC legal system continues to evolve rapidly, and recently enacted laws and regulations may not sufficiently cover all aspects of economic activities in China. In particular, the interpretation and enforcement of these laws and regulations involve uncertainties and may change quickly with short notice, which could result in a material adverse change in the Group’s operations and the value of the ADSs. Since PRC administrative and court authorities have discretion in interpreting and implementing statutory provisions and contractual terms, it may be difficult to evaluate the outcome of administrative and court proceedings and the level of legal protection the Group enjoys. These uncertainties may affect the Group’s judgment on the relevance of legal requirements and the Group’s ability to enforce contractual rights or tort claims. In addition, the regulatory uncertainties may be exploited through unmerited or frivolous legal actions or threats in attempts to extract payments or benefits from the Group.</w:t>
      </w:r>
    </w:p>
    <w:p>
      <w:pPr>
        <w:spacing w:after="0" w:line="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However, as there are still regulatory uncertainties in this regard, we cannot assure you that the Group will be able to comply with new laws and regulations in all respects in a timely manner, and the Group may be ordered to rectify, suspend or terminate any actions or services that are deemed illegal by the regulatory authorities and become subject to material penalties, which may materially harm the Group’s business, financial condition, results of operations and prospects.</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Furthermore, the PRC legal system is based in part on government policies and rules, some of which are not published on a timely basis or are published with short notice. As a result, we may not be aware of the Group’s violation of any of these policies and rules until sometime after the violation. In addition, administrative and court proceedings may be protracted, resulting in substantial costs and diversion of resources and management attention.</w:t>
      </w:r>
    </w:p>
    <w:p>
      <w:pPr>
        <w:spacing w:after="0" w:line="6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over the Group’s business operation in China could result in a material adverse change in the Group’s operations in China and the value of the ADSs. The Chinese government may intervene or influence the Group’s operations in China at any time, or may exert more regulation over offerings conducted overseas and/or foreign investment in China-based issuers. Any actions by the Chinese government to exert more oversight and regulation over offerings that are conducted overseas and/or foreign investment in China-based issuers could significantly limit or completely hinder our ability to offer or continue to offer securities to investors and cause the value of such securities to significantly decline or become worthless.</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PRC government has significant oversight and discretion over the conduct of the Group’s business and may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spacing w:after="0" w:line="253" w:lineRule="auto"/>
        <w:rPr>
          <w:sz w:val="20"/>
          <w:szCs w:val="20"/>
          <w:color w:val="auto"/>
        </w:rPr>
      </w:pPr>
      <w:r>
        <w:rPr>
          <w:rFonts w:ascii="Times New Roman" w:cs="Times New Roman" w:eastAsia="Times New Roman" w:hAnsi="Times New Roman"/>
          <w:sz w:val="18"/>
          <w:szCs w:val="18"/>
          <w:color w:val="auto"/>
        </w:rPr>
        <w:t>intervene with or influence the Group’s operations as the government deems appropriate to further regulatory, political and societal goals. The PRC government has recently published new policies that adversely affected educational industry, especially the educational services related to K-12 students, and we cannot rule out the possibility whether it will in the future further release regulations or policies regarding educational industry that could further adversely affect the Group’s business, financial condition and results of operations. Furthermore, the PRC government has also recently indicated an intent to exert more oversight and regulation over securities offerings and other capital markets activities that are conducted overseas and foreign investment in China-based issuers like us. For details, see “Item 3. Key Information—D. Risk Factors—Risks Related to Doing Business in China—Evolution of the PRC legal system, including changes in policies, laws and regulations in China, could adversely affect the Group. The enforcement of laws and rules and regulations in China may change quickly, which could result in a material adverse change in the Group’s operations and the value of the ADSs.”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including Hong Kong, against the Group or the Group’s management named in the annual report based on foreign laws.</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and currently substantially all of the Group’s business operations are conducted in the PRC through our subsidiaries incorporated in the PRC and the contractual arrangements among our PRC subsidiaries and the VIEs. Substantially all of the Group’s assets are located in China. In addition, all our directors and senior executive officers reside within China for a significant portion of the time and most are PRC nationals, while two of our directors are Hong Kong residents. The Group does not have any material operations or assets in Hong Kong. It may be difficult for our shareholders to effect service of process upon the Group or those persons inside China, including Hong Kong. In addition, neither China nor Hong Kong has treaties providing for the reciprocal recognition and enforcement of judgments of courts with the Cayman Islands and many other countries and regions. Therefore, recognition and enforcement in China or Hong Kong of judgments of a court in any of these non-PRC jurisdictions in relation to any matter not subject to a binding arbitration provision may be difficult or impossible.</w:t>
      </w:r>
    </w:p>
    <w:p>
      <w:pPr>
        <w:spacing w:after="0" w:line="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and Hong Kong subsidiaries to fund any cash and financing requirements we may have, and any limitation on the ability of these subsidiaries in the PRC, including Hong Kong, to make payments to us could have a material and adverse effect on our ability to conduct the Group’s business.</w:t>
      </w:r>
    </w:p>
    <w:p>
      <w:pPr>
        <w:spacing w:after="0" w:line="6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are a Cayman Islands holding company and we rely principally on dividends and other distributions on equity from our PRC and Hong Kong subsidiaries for our cash requirements, including for services of any debt we may incur. To the extent cash in the business is in the PRC, including Hong Kong, or a PRC (including Hong Kong) entity, the funds may not be available to fund operations or for other use outside of the PRC or Hong Kong due to interventions in or the imposition of restrictions and limitations by the PRC government to transfer cash from a PRC entity to the use outside the PRC. Our subsidiaries are permitted to pay dividends to their shareholders, and eventually to Sunlands Technology Group, only out of their retained earnings, if any, as determined in accordance with the applicable accounting standards and regulations. Such payment of dividends by entities registered in China, including Hong Kong, is subject to limitations, which could result in limitations on the availability of cash to fund dividends or make distributions to holders of our securities. For example, our PRC subsidiaries and the VIEs are required to make appropriations to certain statutory reserve funds or may make appropriations to certain discretionary funds, which are not distributable as cash dividends except in the event of a solvent liquidation of the companies.</w:t>
      </w:r>
    </w:p>
    <w:p>
      <w:pPr>
        <w:spacing w:after="0" w:line="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PRC subsidiary’s ability to distribute dividends is based upon its distributable earnings. Current PRC regulations permit our PRC subsidiaries to pay dividends to its respective shareholders only out of their accumulated profits, if any, determined in accordance with PRC accounting standards and regulations. In addition, each of our PRC subsidiary, the VIEs and their respective subsidiaries are required to set aside at least 10% of its after-tax profits each year, if any, to fund a statutory reserve until such reserve reaches 50% of its registered capital.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the Group’s businesses, pay dividends or otherwise fund and conduct the Group’s business.</w:t>
      </w:r>
    </w:p>
    <w:p>
      <w:pPr>
        <w:spacing w:after="0" w:line="8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To address the persistent capital outflow and the depreciation of Renminbi against U.S. dollars in the fourth quarter of 2016, the People’s Bank of China and the State Administration of Foreign Exchange, or SAFE, implemented a series of capital regulation measures in the subsequent months, including stricter vetting procedures for China-based companies to remit foreign currency for overseas acquisitions, dividend payments and shareholder loan repayments. For instance, the Circular on Promoting the Reform of Foreign Exchange Management and Improving Authenticity and Compliance Review, or the SAFE Circular 3, issued on January 26, 2017, provides that the banks shall, when dealing with dividend remittance transactions from domestic enterprise to its offshore shareholders of more than US$50,000, review the relevant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board resolutions, original tax filing form and audited financial statements of such domestic enterprise based on the principal of genuine transaction. It is uncertain whether the PRC government would continue to strengthen its capital regulation and our PRC subsidiaries’ dividends and whether other distributions would be subject to tightened scrutiny in the future. Any limitation on the ability of our PRC subsidiaries to pay dividends or make other distributions to us could materially and adversely limit our ability to grow, make investments or acquisitions that could be beneficial to the Group’s business, pay dividends, or otherwise fund and conduct the Group’s business.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details about the applicable regulations and rules relating to such cash transfers through our Group, see “Item 3. Key Information—Restrictions on Foreign Exchange and the Ability to Transfer Cash between Entities, Across Borders and to U.S. Investors.” and “—Governmental regulation of currency conversion may limit the Group’s ability to utilize the Group’s net revenues effectively and affect the value of your investment.”</w:t>
      </w:r>
    </w:p>
    <w:p>
      <w:pPr>
        <w:spacing w:after="0" w:line="6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custodians or authorized users of the Group’s controlling non-tangible assets, including chops and seals, may fail to fulfill their responsibilities, or misappropriate or misuse these assets.</w:t>
      </w:r>
    </w:p>
    <w:p>
      <w:pPr>
        <w:spacing w:after="0" w:line="11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Under the PRC law, legal documents for corporate transactions, including agreements and contracts are executed using the chop or seal of the signing entity or with the signature of a legal representative whose designation is registered and filed with relevant PRC industry and commerce authorities.</w:t>
      </w:r>
    </w:p>
    <w:p>
      <w:pPr>
        <w:spacing w:after="0" w:line="5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order to secure the use of the Group’s chops and seals, the Group has established internal control procedures and rules for using these chops and seals. In any event that the chops and seals are intended to be used, the responsible personnel will submit the application through the Group’s office automation system and the application will be verified and approved by authorized employees in accordance with the Group’s internal control procedures and rules. In addition, in order to maintain the physical security of the Group’s chops, the Group generally has them stored in secured locations accessible only to authorized employees. Although the Group monitors such authorized employees, the procedures may not be sufficient to prevent all instances of abuse or negligence. There is a risk that the Group’s employees could abuse their authority, for example, by entering into a contract not approved by the Group or seeking to gain control of one of the Group’s subsidiaries or the VIEs. If any employee obtains, misuses or misappropriates the Group’s chops and seals or other controlling non-tangible assets for whatever reason, the Group could experience disruption to the Group’s normal business operations. The Group may have to take corporate or legal action, which could involve significant time and resources to resolve and divert management from the Group’s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the Group’s results of operations and the value of your investment.</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value of Renminbi against U.S. dollars and other currencies may fluctuate and is affected by, among other things, changes in political and economic conditions and the foreign exchange policy adopted by the governments of the PRC, the United States or other countries. On July 21, 2005, the PRC government changed its policy of pegging the value of Renminbi to U.S. dollars. Following the removal of the U.S. dollar peg, Renminbi appreciated more than 20% against U.S. dollars over the following three years. Since June 2010, Renminbi has started to appreciate slowly against U.S. dollars, though there have been periods when U.S. dollars has appreciated against Renminbi. On August 11, 2015, the PBOC allowed Renminbi to depreciate by approximately 2% against U.S. dollars. Since then and until the end of 2016, Renminbi has depreciated against U.S. dollars by approximately 10%. It is difficult to predict how long such depreciation of Renminbi against U.S. dollars may last and when and how the relationship between Renminbi and U.S. dollars may change again.</w:t>
      </w:r>
    </w:p>
    <w:p>
      <w:pPr>
        <w:spacing w:after="0" w:line="8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All of the Group’s revenue and substantially all of the Group’s costs are denominated in Renminbi. We are a holding company and we rely on dividends paid by our operating subsidiaries in China for our cash needs. Any significant revaluation of Renminbi may materially and adversely affect the Group’s results of operations and financial position reported in Renminbi when translated into U.S. dollars, and the value of, and any dividends payable on, the ADSs in U.S. dollars. To the extent that we need to convert U.S. dollars we receive from the initial public offering into Renminbi for our operations, appreciation of Renminbi against U.S. dollars would have an adverse effect on Renminbi amount we would receive. Conversely, if we decide to convert our Renminbi into U.S. dollars for the purpose of making payments for dividends on our ordinary shares or ADSs or for other business purposes, appreciation of U.S. dollars against Renminbi would have a negative effect on the amount of U.S. dollars.</w:t>
      </w:r>
    </w:p>
    <w:p>
      <w:pPr>
        <w:spacing w:after="0" w:line="7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regulation of currency conversion may limit the Group’s ability to utilize the Group’s net revenues effectively and affect the value of your investment.</w:t>
      </w:r>
    </w:p>
    <w:p>
      <w:pPr>
        <w:spacing w:after="0" w:line="5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PRC government imposes regulation on the convertibility of the Renminbi into foreign currencies and, in certain cases, the remittance of currency out of China. The Group receives substantially all revenues in Renminbi. Under the Group’s current corporate structure, our Cayman Islands holding company primarily relies on dividend payments from our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18"/>
          <w:szCs w:val="18"/>
          <w:color w:val="auto"/>
        </w:rPr>
        <w:t>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the VIEs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regulation system prevents the Group from obtaining sufficient foreign currencies to satisfy the Group’s foreign currency demands, we may not be able to pay dividends in foreign currencies to our shareholders, including holders of the ADSs.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PRC regulations may make it more difficult for the Group to pursue growth through acquisitions.</w:t>
      </w:r>
    </w:p>
    <w:p>
      <w:pPr>
        <w:spacing w:after="0" w:line="12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Among other things, the Regulations on Mergers and Acquisitions of Domestic Enterprises by Foreign Investors, or the M&amp;A Rules, adopted by six PRC regulatory agencies in 2006 and amended in 2009, established additional procedures and requirements that could make merger and acquisition activities by foreign investors more time-consuming and complex. Such regulation requires, among other things, that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and recently amended in 2024, are triggered. Moreover, the Anti-Monopoly Law promulgated by the Standing Committee of the National People’s Congress which became effective in 2008 and was amended in June 2022, requires that transactions which are deemed concentrations and involve parties with specified turnover thresholds must be cleared by the relevant governmental authorities before they can be completed. On February 7, 2021, the Anti-monopoly Commission of the State Council, published the Anti-Monopoly Guidelines for the Internet Platform Economy Sector that aims at specifying some of the circumstances under which an activity of internet platforms may be identified as monopolistic act as well as setting out merger controlling filing procedures involving variable interest entities. In addition, PRC national security review rules which became effective in September 2011 require acquisitions by foreign investors of PRC companies engaged in military related or certain other industries that are crucial to national security be subject to security review before consummation of any such acquisition. The Measures for the Security Review of Foreign Investments promulgated by the National Development and Reform Commission and MOFCOM which became effective from January 2021 further requires that security review by relevant governmental authorities shall be conducted in accordance with the provisions of the Measures for foreign investments that affect or may affect national security. The Group may pursue potential strategic acquisitions that are complementary to the Group’s business and operations. Complying with the requirements of these regulations to complete such transactions could be time-consuming, and any required approval processes, including obtaining approval or clearance from the MOFCOM, may delay or inhibit the Group’s ability to complete such transactions, which could affect the Group’s ability to expand the Group’s business or maintain the Group’s market share.</w:t>
      </w:r>
    </w:p>
    <w:p>
      <w:pPr>
        <w:spacing w:after="0" w:line="7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the establishment of offshore special purpose companies by PRC residents may subject our PRC resident beneficial owners or our PRC subsidiaries to liabilities or penalties, limit our ability to inject capital into our PRC subsidiaries, limit our PRC subsidiaries’ ability to increase their registered capital or distribute profits to us, or may otherwise adversely affect the Group.</w:t>
      </w:r>
    </w:p>
    <w:p>
      <w:pPr>
        <w:spacing w:after="0" w:line="6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July 2014, SAFE promulgated the Circular on Relevant Issues Concerning Foreign Exchange Control on Domestic Residents’ Offshore Investment and Financing and Roundtrip Investment Through Special Purpose Vehicles, or SAFE Circular 37, to replace the Notice on Relevant Issues Concerning Foreign Exchange Administration for Domestic Residents’ Financing and Roundtrip Investment Through Offshore Special Purpose Vehicles, or SAFE Circular 75, which ceased to be effective upon the promulgation of SAFE Circular 37.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make in the future.</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Under SAFE Circular 37, PRC residents who make, or have prior to the implementation of SAFE Circular 37 made, direct or indirect investments in offshore special purpose vehicles, or SPVs, will be required to register such investments with SAFE or its local branches. In addition, any PRC resident who is a direct or indirect shareholder of an SPV is required to update its filed registration with the local branch of SAFE with respect to that SPV, to reflect any material change. Moreover, any subsidiary of such SPV in China is required to urge the PRC resident shareholders to update their registration with the local branch of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spacing w:after="0" w:line="255" w:lineRule="auto"/>
        <w:rPr>
          <w:sz w:val="20"/>
          <w:szCs w:val="20"/>
          <w:color w:val="auto"/>
        </w:rPr>
      </w:pPr>
      <w:r>
        <w:rPr>
          <w:rFonts w:ascii="Times New Roman" w:cs="Times New Roman" w:eastAsia="Times New Roman" w:hAnsi="Times New Roman"/>
          <w:sz w:val="18"/>
          <w:szCs w:val="18"/>
          <w:color w:val="auto"/>
        </w:rPr>
        <w:t>making additional capital contributions into its subsidiary in China. On February 13, 2015, the SAFE promulgated a Notice on Further Simplifying and Improving Foreign Exchange Administration Policy on Direct Investment, or SAFE Notice 13, which became effective on June 1,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 SAFE Notice 13 further provides that annual inspection of inbound foreign direct investments and outbound overseas direct investments is canceled. Instead, relevant entities or individuals, as the case may be, shall register data and information with respect to their inbound foreign direct investments and outbound overseas direct investment interests with SAFE.</w:t>
      </w:r>
    </w:p>
    <w:p>
      <w:pPr>
        <w:spacing w:after="0" w:line="8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have requested our shareholders that we are aware of being subject to SAFE regulations to make all necessary registrations, filings and amendments with the local SAFE branch or qualified banks as required by SAFE Circular 37. We cannot assure you, however, that all of these individuals may continue to make required registrations, filings or updates on a timely manner, or at all. We can provide no assurance that we are or will in the future continue to be informed of identities of all PRC residents holding direct or indirect interest in our company. Any failure or inability by such individuals to comply with SAFE regulations may subject the Group to fines or legal sanctions, such as restrictions on our cross-border investment activities or our PRC subsidiary’s ability to distribute dividends to, or obtain foreign exchange-denominated loans from, our company or prevent us from making distributions or paying dividends. As a result, the Group’s business operations and our ability to make distributions to you could be materially and adversely affected.</w:t>
      </w:r>
    </w:p>
    <w:p>
      <w:pPr>
        <w:spacing w:after="0" w:line="8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Furthermore, as these foreign exchange regulations are still relatively new and their interpretation and implementation has been constantly evolving, it is unclear how these regulations, and any future regulation concerning offshore or cross-border transactions, will be interpreted, amended and implemented by the relevant government authorities. For example, the Group may be subject to a more stringent review and approval process with respect to our foreign exchange activities, such as remittance of dividends and foreign-currency-denominated borrowings, which may adversely affect the Group’s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the Group’s business and prospects.</w:t>
      </w:r>
    </w:p>
    <w:p>
      <w:pPr>
        <w:spacing w:after="0" w:line="7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the Group to fines and other legal or administrative sanctions.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because we are an overseas-listed company. Failure to complete the SAFE registrations may subject them to fines and legal sanctions, there may be additional restrictions on the ability of them to exercise their stock options or remit proceeds gained from sale of their stock into the PRC. We also face regulatory uncertainties that could restrict our ability to adopt additional incentive plans for our directors, executive officers and employees under PRC law. See “Item 4. Information on the Company—4.B. Business Overview—Regulation—Regulations on Foreign Exchange—Regulations on Stock Incentive Plans.”</w:t>
      </w:r>
    </w:p>
    <w:p>
      <w:pPr>
        <w:spacing w:after="0" w:line="78"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enterprise income tax purposes, such classification could result in unfavorable tax consequences to the Group and our non-PRC shareholders and ADS holders.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State Administration of Taxation, or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believe our company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is a PRC resident enterprise for enterprise income tax purposes, we will be subject to PRC enterprise income on our worldwide income at the rate of 25%. Furthermore, we are required to withhold a 10% withholding tax from dividends we pay to our shareholders that are non-resident enterprises, including the holders of the ADSs. In addition, non-resident enterprise shareholders (including the ADS holders) may be subject to PRC tax on gains realized on the sale or other disposition of ADSs or ordinary shares, if such income is treated as sourced from within the PRC. Furthermore, if we are deemed a PRC resident enterprise, dividends paid to our non-PRC individual shareholders (including the ADS holders) and any gain realized on the transfer of ADSs or ordinary shares by such shareholders may be subject to PRC tax at a rate of 20% (which, in the case of dividends, may be withheld at source by us).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ordinary shares.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February 3, 2015, the SAT issued the Public Notice Regarding Certain Corporate Income Tax Matters on Indirect Transfer of Properties by Non-Tax Resident Enterprises, or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6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circulars, or to establish that our company should not be taxed under these circulars, which may have a material adverse effect on the Group’s financial condition and results of operations.</w:t>
      </w:r>
    </w:p>
    <w:p>
      <w:pPr>
        <w:spacing w:after="0" w:line="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the interpretation and implementation of the newly enacted Foreign Investment Law and how it may impact the Group’s business, financial condition and results of operations.</w:t>
      </w:r>
    </w:p>
    <w:p>
      <w:pPr>
        <w:spacing w:after="0" w:line="5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March 15, 2019, the National People’s Congress promulgated the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enacted Foreign Investment Law does not touch upon the relevant concepts and regulatory regimes of “actual control” in determining whether a company is considered a foreign invested enterprise, and thus this regulatory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8"/>
          <w:szCs w:val="18"/>
          <w:color w:val="auto"/>
        </w:rPr>
        <w:t>topic remains unclear under the Foreign Investment Law. On December 26, 2019, the State Council published the Implementation Rules of Foreign Investment Law, which came into effect on January 1, 2020. The Implementation Rules of Foreign Investment Law restates certain principles of the Foreign Investment Law. However, since the Foreign Investment Law and the Implementation Rules of Foreign Investment Law are relatively new, uncertainties still exist in relation to its interpretation and implementation. For instance, though the Foreign Investment Law does not explicitly classify contractual arrangements as a form of foreign investment, it contains a catch-all provision under the definition of “foreign investment,” which includes investments made by foreign investors in China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 Furthermore, if future laws, administrative regulations or provisions prescribed by the State Council mandate further actions to be taken by companies with respect to existing contractual arrangements, such as unwinding the Group’s existing contractual arrangements and/or disposal of the Group’s related business operations, the Group may face uncertainties as to whether the Group can complete such actions in a timely manner, or at all. Failure to take timely and appropriate measures to cope with any of these or similar regulatory compliance challenges could materially and adversely affect the Group’s current corporate structure, financial condition and business operations.</w:t>
      </w:r>
    </w:p>
    <w:p>
      <w:pPr>
        <w:spacing w:after="0" w:line="7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PCAOB had previously been unable to inspect our auditor in relation to their audit work performed for the Group's financial statements, and any future inability to do so would deprive investors of the benefits of such inspections.</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Public Company Accounting Oversight Board (United States), or the PCAOB, is subject to laws in the United States pursuant to which the PCAOB conducts regular inspections to assess its compliance with the applicable professional standards. Since our auditor is located in mainland China, a jurisdiction where the PCAOB had been unable to conduct inspections without the approval of the Chinese authorities until 2022, our auditor was historically uninspected by the PCAOB.</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with the China Securities Regulatory Commission and the Ministry of Finance of the People’s Republic of China governing inspections and investigations of audit firms based in China, which marks the first step toward providing access for the PCAOB to inspect and investigate registered public accounting firms headquartered in Mainland China and Hong Kong. On December 15, 2022, the PCAOB announced that it was able to conduct inspections and investigations completely of PCAOB-registered public accounting firms headquartered in mainland China and Hong Kong in 2022, and vacated its previous 2021 Determinations accordingly. This marks the first time that Chinese authorities allowed access for complete inspections and investigations meeting U.S. standards, as required under the Sarbanes-Oxley Act.</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 past lack of the PCAOB inspections in mainland China prevented the PCAOB from fully evaluating audits and quality control procedures of our independent registered public accounting firm, which made it more difficult to evaluate the effectiveness of our independent registered public accounting firm’s audit procedures or quality control procedures as compared to auditors outside of mainland China that were subject to the PCAOB inspections. Any future lack of the PCAOB inspections in mainland China would prevent the PCAOB from fully evaluating audits and quality control procedures of our auditor, as a result of which the Group and investors will be deprived of the benefits of such PCAOB inspections, which could cause investors to lose confidence in our audit procedures and the quality of the Group’s financial statements.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ADSs will be delisted and the ADSs and shares will be prohibited from trading in the United States under the Holding Foreign Companies Accountable Act, or the HFCAA, if the PCAOB is unable to inspect or investigate completely auditors located in China for two consecutive years.</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HFCAA was signed into law on December 18, 2020. Under the HFCAA, as amended by the Consolidated Appropriations Act of 2023, if the SEC determines that we have filed audit reports issued by a registered public accounting firm that has not been subject to complete PCAOB inspection or investigation for two consecutive years, the SEC shall prohibit our ADSs from being traded on a national securities exchange or in the over-the-counter trading market in the United States.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December 2, 2021, the SEC adopted final amendments implementing the HFCAA, which include requirements to disclose the auditor's name and location, the percentage of shares owned by governmental entities, whether any governmental entity has a controlling financial interest in the issuer, the name of each Chinese Communist Party official who is a member of the issuer's board of directors, and whether the issuer's articles of incorporation contain any charter of the Chinese Communist Party.</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December 16, 2021, the PCAOB issued a determination that it was unable to inspect or investigate completely registered public accounting firms headquartered in mainland China and Hong Kong. We were consequently identified as a Commission-identified issuer under the HFCAA. On December 15, 2022, the PCAOB vacated that determination after securing complete access to inspect and investigate registered public accounting firms headquartered in mainland China and Hong Kong for the first time in history. As a result, we were removed from the Commission-identified issuer list and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are not currently at risk of a trading prohibition under the HFCAA. As of the date of this annual report, there are no PCAOB determinations in effect with respect to auditors headquartered in mainland China or Hong Kong.</w:t>
      </w:r>
    </w:p>
    <w:p>
      <w:pPr>
        <w:spacing w:after="0" w:line="5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PCAOB conducts annual assessments of whether it continues to have complete access. Should PRC authorities obstruct or otherwise fail to facilitate the PCAOB's access at any point in the future, the PCAOB may immediately consider issuing a new determination, which could result in our being re-identified as a Commission-identified issuer and, if the determination remains in effect for two consecutive years, subject our ADSs to a trading prohibition under the HFCAA. Whether complete access will be maintained is subject to uncertainty and depends on factors outside our and our auditor's control, including the state of U.S.-China relations and the continued cooperation of PRC regulatory authorities.The current geopolitical environment introduces additional dimensions of risk. Escalating trade tensions between the United States and China, including sweeping tariff measures and technology-sector restrictions imposed in 2025, have materially increased bilateral regulatory uncertainty. Separately, proposals under consideration in the U.S. Congress in 2025 to dissolve the PCAOB and transfer its functions to the SEC, if enacted, could undermine the existing inspection framework: the PCAOB's status as a non-governmental entity was integral to China's agreement to the 2022 inspection arrangement, and it is uncertain whether PRC authorities would extend the same cooperation to a direct U.S. government agency. Any such structural change, or any deterioration in U.S.-China relations that leads PRC authorities to restrict PCAOB access, could result in our being re-identified as a Commission-identified issuer and, if that determination remains in effect for two consecutive years, subject our ADSs to a trading prohibition under the HFCAA.</w:t>
      </w:r>
    </w:p>
    <w:p>
      <w:pPr>
        <w:spacing w:after="0" w:line="8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Any prohibition on trading in our ADSs would substantially impair shareholders’ ability to buy or sell the ADSs, adversely affect the price of the ADSs, significantly impair our ability to raise capital on acceptable terms, and have a material adverse effect on our business, financial condition and prospects. There is no certainty that we would be able to list the ADSs on a non-U.S. exchange or develop an alternative trading market for our shares outside the United States on a timely basis or at all.</w:t>
      </w:r>
    </w:p>
    <w:p>
      <w:pPr>
        <w:spacing w:after="0" w:line="6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 and censorship of information disseminated over the internet in China may adversely affect the Group’s business and reputation and subject the Group to liability for information displayed on our website.</w:t>
      </w:r>
    </w:p>
    <w:p>
      <w:pPr>
        <w:spacing w:after="0" w:line="5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licenses, and the closure of the concerned websites. The website operator may also be held liable for such censored information displayed on or linked to the websites. If the Group’s website is found to be in violation of any such requirements, the Group may be penalized by relevant authorities, and the Group’s operations or reputation could be adversely affected.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China.</w:t>
      </w:r>
    </w:p>
    <w:p>
      <w:pPr>
        <w:spacing w:after="0" w:line="12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Article 177 of the PRC Securities Law, or Article 177, which became effective in March 2020, prohibits, without the approval of the securities regulatory authority in China, (i) foreign securities regulators from engaging in any inspection activities within China and (ii) anyone from providing any documents or materials relating to capital markets activities to foreign parties.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 In addition, the Overseas Listing Trial Measures provides, among others, that domestic companies or individuals shall obtain the consent from the CSRC and relevant competent departments, if they provide relevant documents and materials in accordance with the requirements of overseas securities regulators for investigation and collection of evidence. However, since the Overseas Listing Trial Measures was newly promulgated, the interpretation, application and enforcement of Overseas Listing Trial Measures remain unclear. If the Group is required to obtain the consent from the CSRC and relevant competent departments when providing information needed for regulatory investigations or litigation initiated outside China, it is uncertain whether the Group could obtain such consent in a timely manner, or at all. See also “—Risks Related to the ADSs—You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price for the ADSs falls below US$1.00 for an extended period of time, or falls to US$0.16 at any time, the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ADSs may be delisted from the NYSE.</w:t>
      </w:r>
    </w:p>
    <w:p>
      <w:pPr>
        <w:spacing w:after="0" w:line="12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Pursuant to NYSE Rule 802.01C, a company will be considered to be below compliance standards if the average closing price of a security as reported on the consolidated tape is less than US$1.00 over a consecutive 30 trading-day period. Once notified, the company must bring its share price and average share price back above US$1.00 within the applicable cure period following receipt of the notification. The company can regain compliance at any time during the cure period if on the last trading day of any calendar month during the cure period the company has a closing share price of at least US$1.00 and an average closing share price of at least US$1.00 over the 30 trading-day period ending on the last trading day of that month. In the event that at the expiration of the cure period, both a US$1.00 closing share price on the last trading day of the cure period and a US$1.00 average closing share price over the 30 trading-day period ending on the last trading day of the cure period are not attained, the NYSE will commence suspension and delisting procedures. In addition, we understand that the NYSE has a policy to suspend trading immediately and commence delisting procedures if the market price of securities falls to US$0.16 or less. We received a letter from the NYSE dated July 23, 2021 notifying us that the stock prices of the ADSs are below compliance standards due to the fact that the average closing price of the ADSs was less than $1.00 for a consecutive 30 trading-day period. In response to the letter from the NYSE, we changed the ratio of the ADSs representing our Class A ordinary shares from each 25 ADSs representing one Class A ordinary share to each two ADSs representing one Class A ordinary share, effective August 31, 2021. However, we cannot assure you that the ADSs will remain in compliance with the NYSE listing rules going forward. If the ADSs are delisted from the NYSE, the liquidity and value of an investment in the ADSs will be materially and adversely affected.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is likely to be volatile, which could result in substantial losses to investors.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72" w:lineRule="exact"/>
        <w:rPr>
          <w:sz w:val="20"/>
          <w:szCs w:val="20"/>
          <w:color w:val="auto"/>
        </w:rPr>
      </w:pPr>
    </w:p>
    <w:p>
      <w:pPr>
        <w:ind w:left="760" w:hanging="513"/>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and cash flows;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the Group or our competitors;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solutions and expansions by the Group or our competitors;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the Group, the Group’s services or the Group’s industry;</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regulations, rules or policies relevant for the Group’s business;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117" w:lineRule="exact"/>
        <w:rPr>
          <w:rFonts w:ascii="Times New Roman" w:cs="Times New Roman" w:eastAsia="Times New Roman" w:hAnsi="Times New Roman"/>
          <w:sz w:val="18"/>
          <w:szCs w:val="18"/>
          <w:color w:val="auto"/>
        </w:rPr>
      </w:pPr>
    </w:p>
    <w:p>
      <w:pPr>
        <w:ind w:left="760" w:hanging="513"/>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a lack of effective internal control over financial reporting resulting in financial; inadequate corporate governance policies, or allegations of fraud, among other things, involving China-based issuers; and</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will trade.</w:t>
      </w:r>
    </w:p>
    <w:p>
      <w:pPr>
        <w:spacing w:after="0" w:line="11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management’s attention and other resources from the Group’s business and operations and require the Group to incur significant expenses to defend the suit, which could harm the Group’s results of operations. Any such class action suit, whether or not successful, could harm the Group’s reputation and restrict our ability to raise capital in the future. In addition, if a claim is successfully made against us, we may be required to pay significant damages, which could have a material adverse effect on the Group’s financial condition and results of operations.</w:t>
      </w:r>
    </w:p>
    <w:p>
      <w:pPr>
        <w:spacing w:after="0" w:line="7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the Group’s business, or if they adversely change their recommendations regarding the ADSs, the market price for the ADSs and trading volume could decline.</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the Group’s business. If one or more analysts who cover the Group downgrade the ADSs, the market price for the ADSs would likely decline. If one or more of these analysts cease to cover the Group or fail to regularly publish reports on the Group, we could lose visibility in the financial markets, which in turn could cause the market price or trading volume for the ADSs to decline.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ADSs could adversely affect their market price.</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Sales of substantial amounts of the ADSs in the public market, or the perception that these sales could occur, could adversely affect the market price of the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the ADSs.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enforcement actions by the SEC or other U.S. authorities.</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the Group’s business. Even if such allegations are ultimately proven to be groundless, allegations against the Group could severely impact the Group’s business operations, and any investment in the ADSs could be greatly reduced or even rendered worthless.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a price appreciation of the ADSs for a return on your investment.</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the Group’s business. As a result, we do not expect to pay any cash dividends in the foreseeable future. Therefore, you should not rely on an investment in the ADSs as a source for any future dividend income.</w:t>
      </w:r>
    </w:p>
    <w:p>
      <w:pPr>
        <w:spacing w:after="0" w:line="6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Under Cayman Islands law, a Cayman Islands exempted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the Group from our subsidiaries, the Group’s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7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Our corporate affairs are governed by our memorandum and articles of association, as amended from time to time, the Companies Act (As Revised) of the Cayman Islands and the common law of the Cayman Islands. The rights of shareholders to take action against our directors, actions by our minority shareholders and the fiduciary duties of our directors to the Group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addition, Cayman Islands companies may not have standing to initiate a shareholder derivative action in a federal court of the United States.</w:t>
      </w:r>
    </w:p>
    <w:p>
      <w:pPr>
        <w:spacing w:after="0" w:line="11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or obtain copies of register of members or corporate records (other than copies of the memorandum and articles of association, the register of mortgages and charges, and any special resolutions passed by the shareholders) of these companies. The Registrar of Companies of the Cayman Islands shall make available the list of the names of the current directors of the Company (and where applicable the current alternate directors of the Company) for inspection by any person upon payment of a fee by such person.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8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a Cayman Islands exempted company and substantially all of our assets are located outside of the United States. Substantially all of the Group’s current operations are conducted in China. In addition, most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7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the voting of your Class A ordinary shares underlying the ADSs.</w:t>
      </w:r>
    </w:p>
    <w:p>
      <w:pPr>
        <w:spacing w:after="0" w:line="51"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the ADSs, you will not have any direct right to attend general meetings of our shareholders or to cast any votes at such meetings. You will only be able to exercise the voting rights which attach to the underlying Class A ordinary shares represented by your ADSs indirectly by giving voting instructions to the depositary in accordance with the provisions of the deposit agreement. Under the deposit agreement, you may vote only by giving voting instructions to the depositary, as holder of the underlying Class A ordinary shares represented by your ADSs. Upon receipt of your voting instructions, the depositary may try to vote the underlying Class A ordinary shares represented by your ADSs in accordance with your instructions. If we ask for your instructions, then upon receipt of your voting instructions, the depositary will try to vote the underlying Class A ordinary shares in accordance with those instructions. If we do not instruct the depositary to ask for your instructions, the depositary may still vote in accordance with instructions you give, but it is not required to do so. You will not be able to directly exercise any right to vote with respect to the underlying Class A ordinary shares unless you withdraw the shares and become the registered holder of such shares prior to the record date for the general meeting. When a general meeting is convened, you may not receive sufficient advance notice of the meeting to enable you to withdraw the underlying Class A ordinary shares represented by your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fourth amended and restated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your ADSs and becoming the registered holder of such shares prior to the record date, so that you would not be able to attend the general meeting or to vote directly. Where any matter is to be put to a vote at a general meeting, the depositary will notify you of the upcoming vote and to deliver our voting materials to you. We cannot assure you that you will receive the voting material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underlying Class A ordinary shares represented by your ADSs are voted and you may have no legal remedy if the underlying Class A ordinary shares represented by your ADSs are not voted as you requested.</w:t>
      </w:r>
    </w:p>
    <w:p>
      <w:pPr>
        <w:spacing w:after="0" w:line="9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triple-class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adopted a triple-class share structure such that our ordinary shares consist of Class A ordinary shares, Class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spacing w:after="0" w:line="258" w:lineRule="auto"/>
        <w:rPr>
          <w:sz w:val="20"/>
          <w:szCs w:val="20"/>
          <w:color w:val="auto"/>
        </w:rPr>
      </w:pPr>
      <w:r>
        <w:rPr>
          <w:rFonts w:ascii="Times New Roman" w:cs="Times New Roman" w:eastAsia="Times New Roman" w:hAnsi="Times New Roman"/>
          <w:sz w:val="18"/>
          <w:szCs w:val="18"/>
          <w:color w:val="auto"/>
        </w:rPr>
        <w:t>B ordinary shares and Class C ordinary shares. In respect of matters requiring the votes of shareholders, each Class A ordinary share is entitled to one vote, each Class B ordinary share is entitled to seven votes, and each Class C ordinary share is entitled to ten votes. Each Class B ordinary share or Class C ordinary share is convertible into one Class A ordinary share at any time by the holder thereof. Class A ordinary shares are not convertible into Class B ordinary shares or Class C ordinary shares, Class B ordinary shares are not convertible into Class C ordinary shares, and Class C ordinary shares are not convertible into Class B ordinary shares under any circumstances.</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Mr. Peng Ou, our founder and chairman of our board of directors, Mr. Tongbo Liu, our chief executive officer and director, and certain of our current and prior senior management and employees collectively beneficially own all of our issued and outstanding Class C ordinary shares. These Class C ordinary shares constitute approximately 49.8% of our total issued and outstanding share capital and 80.0% of the aggregate voting power of our total issued and outstanding share capital as of the date of this annual report. PV PLUTO LIMITED, an entity wholly owned and controlled by Primavera Capital Fund, beneficially owns all of our issued and outstanding Class B ordinary shares, which constitutes approximately 12.3% of our total issued and outstanding share capital and 13.9% of the aggregate voting power of our total issued and outstanding share capital as of the date of this annual report.</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a result of this triple-class share structure and the concentration of ownership, Mr. Peng Ou, Mr. Tongbo Liu and certain of our senior management and employees will have significant influence over the Group’s business, including decisions regarding mergers, consolidations, liquidations and the sale of all or substantially all of our assets, election of directors and other significant corporate actions. They may take actions that are not in the best interest of the Group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triple-class voting structure may render the ADSs representing our class A ordinary shares ineligible for inclusion in certain stock market indices, and thus adversely affect the trading price and liquidity of the ADSs.</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cannot predict whether our triple-class share structure with different voting rights will result in a lower or more volatile market price of the ADSs, in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triple-class voting structure may prevent the inclusion of the ADSs representing our class A ordinary shares in such indices, which could adversely affect the trading price and liquidity of the ADSs representing our class A ordinary shares. In addition, several shareholder advisory firms have announced their opposition to the use of multiple class structure and our triple-class structure may cause shareholder advisory firms to publish negative commentary about our corporate governance, in which case the market price and liquidity of the ADSs could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the inability to participate in rights offerings.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your ADSs.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it expedient in connection with the performance of its duties. The depositary may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securities rules and regulations in the United States that are applicable to U.S. domestic issuers, including:</w:t>
      </w:r>
    </w:p>
    <w:p>
      <w:pPr>
        <w:spacing w:after="0" w:line="117" w:lineRule="exact"/>
        <w:rPr>
          <w:sz w:val="20"/>
          <w:szCs w:val="20"/>
          <w:color w:val="auto"/>
        </w:rPr>
      </w:pPr>
    </w:p>
    <w:p>
      <w:pPr>
        <w:ind w:left="760" w:hanging="513"/>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760" w:right="20" w:hanging="513"/>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 and</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11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as press releases, distributed pursuant to the rules and regulations of the NYSE. Press releases relating to financial results and material events will also be furnished to the SEC on Form 6-K. However, the information we are required to file with or furnish to the SEC are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71"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As an exempted company incorporated in the Cayman Islands, we are permitted to adopt certain home country practices in relation to corporate governance matters that differ significantly from the New York Stock Exchange corporate governance listing standards. These practices may afford less protection to shareholders than they would enjoy if we complied fully with the New York Stock Exchange corporate governance listing standards.</w:t>
      </w:r>
    </w:p>
    <w:p>
      <w:pPr>
        <w:spacing w:after="0" w:line="4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a Cayman Islands exempted company listed on the New York Stock Exchange, we are subject to New York Stock Exchange corporate governance listing standards. However, New York Stock Exchange rules permit a foreign private issuer like us to follow the corporate governance practices of its home country. Certain corporate governance practices in the Cayman Islands, which is our home country, may differ significantly from the New York Stock Exchange corporate governance listing standards. We have followed and intend to continue to follow Cayman Islands corporate governance practices in lieu of the corporate governance requirements of the New York Stock Exchange that listed companies must have: (i) a majority of independent directors;</w:t>
      </w:r>
    </w:p>
    <w:p>
      <w:pPr>
        <w:spacing w:after="0" w:line="3" w:lineRule="exact"/>
        <w:rPr>
          <w:sz w:val="20"/>
          <w:szCs w:val="20"/>
          <w:color w:val="auto"/>
        </w:rPr>
      </w:pPr>
    </w:p>
    <w:p>
      <w:pPr>
        <w:jc w:val="both"/>
        <w:ind w:firstLine="8"/>
        <w:spacing w:after="0" w:line="255" w:lineRule="auto"/>
        <w:tabs>
          <w:tab w:leader="none" w:pos="27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nominating/corporate governance committee composed entirely of independent directors; and (iii) a compensation committee composed entirely of independent directors. To the extent we choose to follow home country practice in the future, our shareholders may be afforded less protection than they otherwise would enjoy under New York Stock Exchange corporate governance listing standards applicable to U.S. domestic issuers.</w:t>
      </w:r>
    </w:p>
    <w:p>
      <w:pPr>
        <w:spacing w:after="0" w:line="7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that we likely were a passive foreign investment company, or PFIC, for U.S. federal income tax purposes for our 2025 taxable year, and that there is a risk that we may be a PFIC for the current and possibly future taxable years, which could result in adverse U.S. federal income tax consequences to U.S. investors in the ADSs or our ordinary shares.</w:t>
      </w:r>
    </w:p>
    <w:p>
      <w:pPr>
        <w:spacing w:after="0" w:line="6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75% or more of its gross income consists of passive income or (ii) 50% or more of the average quarterly value of its assets consists of assets that produce, or are held for the production of, passive income. For purposes of the above calculations, a non-U.S. corporation that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investment gains. Cash is a passive asset for these purposes. Goodwill and other intangible assets are active assets under the PFIC rules to the extent attributable to activities that produce active income.</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determination of our PFIC status is subject to certain uncertainties and is made by applying principles and methodologies that are in some circumstances unclear.</w:t>
      </w:r>
    </w:p>
    <w:p>
      <w:pPr>
        <w:spacing w:after="0" w:line="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Based on the composition of our income and assets and the value of our assets, including goodwill and other intangible assets, which is based on the market price of the ADSs, we believe that we were likely a PFIC for the 2025 taxable year. In addition, it is not entirely clear how the contractual arrangements between our wholly-owned PRC subsidiaries, our consolidated affiliated entities and the shareholders of our consolidated affiliated entities will be treated for purposes of the PFIC rules. Because the treatment of the contractual arrangements is not entirely clear, because we hold a substantial amount of cash and because our PFIC status for any taxable year will depend on the composition of our income and assets and the value of our assets from time to time (which may be determined, in part, by reference to the market price of the ADSs or ordinary shares, which has been, and may continue to be, volatile), there is a risk that we may be a PFIC for our current taxable year and possibly future taxable years. If we are or were a PFIC for any taxable year during which a U.S. investor holds ADSs or ordinary shares, certain adverse U.S. federal income tax consequences could apply to such U.S. investor. See “Item 10. Additional Information—10.E. Taxation—Material U.S. Federal Income Tax Considerations—Passive Foreign Investment Company Rules.”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4.A. History and Development of the Company</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Group commenced education service business in August 2003. The Group remained an offline, classroom-based education service provider until the Group transitioned to an exclusively online education model in 2014.</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September 2015, Sunlands Technology Group (formerly known as “Studyvip Online Education International Limited” and “Sunlands Online Education Group”), our current ultimate holding company, was incorporated under the laws of the Cayman Islands. It was renamed as Sunlands Online Education Group in October 2017, and further renamed as Sunlands Technology Group in August 2018.</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October 2015, our wholly-owned subsidiary, Sunlands Online Education HK Limited, or Sunlands HK, was incorporated in Hong Kong.</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July 2017, Tianjin Alaman Education Technology Co., Ltd. (formerly known as “Tianjin Studyvip Education Co., Limited”), or Tianjin Alaman, our wholly-owned subsidiary, was incorporated in the PRC. It was renamed as Tianjin Alaman Education Technology Co., Ltd. in February 2021 and was deregistered in March 2024.</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August 2017, Wuhan Studyvip Online Education Co. Limited, or Wuhan Zhibo, our wholly-owned subsidiary, was incorporated in the PRC.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Wuhan Zhibo is wholly owned by Sunlands HK.</w:t>
      </w:r>
    </w:p>
    <w:p>
      <w:pPr>
        <w:spacing w:after="0" w:line="9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June 2019, Hubei Zhidao Online Education Technology Co., Ltd. (formerly known as “Wuhan Shangde Online Education Technology Co., Ltd.” and “Wuhan Zhidao Online Education Technology Co., Ltd.”), or Wuhan Shangde, our wholly-owned subsidiary, was incorporated in the PRC. It was renamed as Wuhan Zhidao Online Education Technology Co., Ltd. in November 2022 and was further renamed as Hubei Zhidao Online Education Technology Co., Ltd. in August 2025. Wuhan Shangde is wholly owned by Wuhan Zhibo.</w:t>
      </w:r>
    </w:p>
    <w:p>
      <w:pPr>
        <w:spacing w:after="0" w:line="7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In December 2020, Cheerwins Technology Group, or Cheerwins Cayman, our wholly-owned subsidiary, was incorporated in Cayman. In March 2025, Cheerwins Cayman was dissolved.</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January 2021, Cheerwins Online Education HK limited, or Cheerwins HK, our wholly-owned subsidiary, was incorporated in Hong Kong.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Cheerwins HK is wholly owned by Cheerwins Cayman and was deregistered in November 2024.</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April 2021, FireSky Investment HK Limited, or FireSky Investment, our wholly-owned subsidiary, was incorporated in Hong Kong.</w:t>
      </w:r>
    </w:p>
    <w:p>
      <w:pPr>
        <w:spacing w:after="0" w:line="11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In June 2021, Wuhan Zhongtudao Technology Co., Ltd, or Wuhan Zhongtudao, our wholly-owned subsidiary, was incorporated in the PRC. Wuhan Zhongtudao is wholly owned by FireSky Investment. In December 2025, Wuhan Zhongtudao was dissolved.</w:t>
      </w:r>
    </w:p>
    <w:p>
      <w:pPr>
        <w:spacing w:after="0" w:line="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Currently, substantially all of the Group’s business operations are conducted in the PRC through our subsidiaries incorporated in the PRC, and the contractual arrangements among our PRC subsidiaries and the VIEs. Our wholly-owned PRC subsidiaries would enter into a series of contractual arrangements, including the Exclusive Technical Consultation and Service Agreement, the Business Operation Agreement, the Equity Interest Pledge Agreement, the Option Agreement, and Powers of Attorney, with the VIEs, their shareholders, and, where applicable, their operating subsidiaries (the “VIE Contractual Arrangements”). The VIE Contractual Arrangements allow us to (i) direct the activities of the VIEs that most significantly impact the VIEs’ economic performance, (ii) receive substantially all of the economic benefits of the VIEs, and (iii) have an exclusive option to purchase all or part of the equity interests in the VIEs when and to the extent permitted by PRC law. As a result, we are considered the primary beneficiary of the VIEs for accounting purposes and are able to consolidate their operating results in the Group’s financial statements under U.S. GAAP.</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December 2013, we entered into the VIE Contractual Arrangements with Beijing Shangde Jiaxun Education Technology Co., Ltd., or Sunlands Jiaxun, and its shareholders and operating subsidiaries, including the predecessor of Beijing Yuanchilaxiang Education Technology Co., Ltd (formerly known as “Beijing Shangde Online Education Technology Co., Ltd.”), or Beijing Sunlands, a limited liability company through which we currently conduct business in the PRC. As part of our plan to obtain equity financing in the PRC, we terminated the VIE Contractual Arrangements with Sunlands Jiaxun, and its shareholders and operating subsidiaries, through a series of transactions from 2015 to 2016.</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August 2017, Wuhan Zhibo entered into the VIE Contractual Arrangements with Beijing Sunlands and its shareholders. In March 2023, due to the change of shareholders of Beijing Sunlands, Wuhan Zhibo updated the VIE Contractual Arrangements with Beijing Sunlands and its new shareholders. In December 2025, Wuhan Zhibo terminated the contractual arrangements with Beijing Sunlands, its shareholders and its operating subsidiaries, and Beijing Sunlands became a wholly-owned subsidiary of Wuhan Zhibo since then.</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May 2018, Tianjin Alaman entered into the VIE Contractual Arrangements with Tianjin Shangde Online Education Technology Co., Ltd, or Tianjin Shangde, and its shareholders. As part of our efforts to streamline our corporate structure, the VIE Contractual Arrangements between Tianjin Alaman and Tianjin Shangde were terminated in December 2020.</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From September 2019 to December 2020, Wuhan Zhibo entered into the VIE Contractual Arrangements with (i) Wuhan Xiaoyan Technology Co., Ltd., or Wuhan Xiaoyan, (ii) Wuhan Jiayan Online Education Technology Co., Ltd., or Wuhan Jiayan, (iii) Beijing Odysseus Education Technology Co., Ltd., or Beijing Odysseus, (iv) Guangzhou Wudawei Education Technology Co., Ltd., or Guangzhou Wudawei, (v) Guangzhou Tianyong Online Education Technology Co., Ltd., or Guangzhou Tianyong, and (vi) Hubei Yuanji Online Technology Co., Ltd. (formerly known as “Wuhan Hadeliang Online Education Technology Co., Ltd.,” “Wuhan Xingui Online Technology Co., Ltd.” and “Wuhan Yuanji Online Technology Co., Ltd.”), or Wuhan Hadeliang, and (vii) Tianjin Shangde, as well as their shareholders. As part of our efforts to streamline our corporate structure, the VIE Contractual Arrangements between Wuhan Zhibo and (i) Wuhan Xiaoyan, (ii) Beijing Odysseus, (iii) Guangzhou Wudawei, (iv) Guangzhou Tianyong, (v) Wuhan Hadeliang, (vi) Wuhan Jiayan and (vii) Tianjin Shangde, as well as their shareholders, were terminated respectively through a series of transactions from April 2021 to October 2023.</w:t>
      </w:r>
    </w:p>
    <w:p>
      <w:pPr>
        <w:spacing w:after="0" w:line="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From December 2020 to February 2021, Tianjin Alaman entered into the VIE Contractual Arrangements with (i) Hubei Fangtang Technology Co., Ltd. (formerly known as “Wuhan Fangtang Education Technology Co., Ltd.” and “Wuhan Fangtang Technology Co., Ltd.”), or Wuhan Fangtang, (ii) Beijing Zhiziyuanshui Education Technology Co., Ltd., or Beijing Zhiziyuanshui, and (iii) Beijing Feibian Education Technology Co., Ltd., or Beijing Feibian, as well as their shareholders. As part of our efforts to streamline our corporate structure, the VIE Contractual Arrangements between Tianjin Alaman and (i) Wuhan Fangtang, (ii) Beijing Zhiziyuanshui, and (iii) Beijing Feibian, as well as their shareholders, were terminated respectively through a series of transactions from April 2022 to June 2022.</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June 2021, Wuhan Zhongtudao entered into the VIE Contractual Arrangements with Wuhan Xiaoyan and its shareholders. In November 2025, Wuhan Zhongtudao terminated the VIE Contractual Arrangements with Wuhan Xiaoyan and its shareholders. Following such termination and the subsequent dissolution of Wuhan Zhongtudao, in December 2025, Wuhan Zhibo entered into the VIE Contractual Arrangements with Wuhan Xiaoyan and its shareholders.</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November 2021, Wuhan Zhibo entered into the VIE Contractual Arrangements with Beijing Lingding Management Consulting Co., Ltd., or Beijing Lingding, and its shareholders. In August 2023, due to the change of shareholders of Beijing Lingding, Wuhan Zhibo updated the VIE Contractual Arrangements with Beijing Lingding and its new shareholders.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October 2017, we effectuated a one-for-two share split, pursuant to which each of its issued and outstanding ordinary shares and preferred shares was split into two ordinary shares or preferred shares, as the case may be.</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March 2018, we completed an initial public offering of 13,000,000 ADSs, representing 520,000 Class A ordinary shares and the ADSs were listed on the New York Stock Exchange under the symbol “STG.” In connection with our initial public offering, (i) DIAMOND TOWER INVESTMENTS LIMITED, our shareholder and an affiliate of Orchid Asia Group, purchased from us 104,348 Class A ordinary shares, and (ii) ELITE CONCEPT HOLDINGS LIMITED, our shareholder and an affiliate of New Oriental Education &amp; Technology Group Inc., or New Oriental, purchased from us 34,783 Class A ordinary shares. These private placements are being made pursuant to Regulation S of the U.S. Securities Act of 1933, as amended.</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August 2021, we changed the ratio of the ADSs representing its Class A ordinary shares from one (1) ADS representing one twenty-fifth (1/25) Class A ordinary shares to one (1) ADS representing one half (1/2) Class A ordinary shares. The change of the ADS ratio became effective on August 31, 2021.</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December 2021, we approved a share repurchase program under which our company is authorized to repurchase up to US$15.0 million of Class A ordinary shares in the form of ADSs over the next 24 months until December 2023. In December 2023, we extended such share repurchase program for another 24 months until December 2025.</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June 2022, our board of directors declared a special cash dividend in the amount of US$1.36 per ordinary share, or US$0.68 per ADS to holders of our ordinary shares and ADSs as of June 30, 2022. The aggregate amount of such cash dividends was approximately US$9.5 million.</w:t>
      </w:r>
    </w:p>
    <w:p>
      <w:pPr>
        <w:spacing w:after="0" w:line="5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The Group’s corporate headquarters is located at Building 6, Chaolai Science Park, No. 36 Chuangyuan Road, Chaoyang District, Beijing, the People’s Republic of China. The Group’s telephone number at this address is +86-10-52413738. Our registered office in the Cayman Islands is located at the offices of Maples Corporate Services Limited at PO Box 309, Ugland House, Grand Cayman KY1-1104, Cayman Islands. Our agent for service of process in the United States is Cogency Global Inc. located at 10 East 40th Street, 10th Floor, New York, N.Y. 10016. The SEC maintains a website on the Internet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and information statements and other information about us. The Group’s corporate website is </w:t>
      </w:r>
      <w:r>
        <w:rPr>
          <w:rFonts w:ascii="Times New Roman" w:cs="Times New Roman" w:eastAsia="Times New Roman" w:hAnsi="Times New Roman"/>
          <w:sz w:val="18"/>
          <w:szCs w:val="18"/>
          <w:i w:val="1"/>
          <w:iCs w:val="1"/>
          <w:color w:val="auto"/>
        </w:rPr>
        <w:t>www.sunlands.com</w:t>
      </w:r>
      <w:r>
        <w:rPr>
          <w:rFonts w:ascii="Times New Roman" w:cs="Times New Roman" w:eastAsia="Times New Roman" w:hAnsi="Times New Roman"/>
          <w:sz w:val="18"/>
          <w:szCs w:val="18"/>
          <w:color w:val="auto"/>
        </w:rPr>
        <w:t>. None of the information contained on our website, or any website referred to in this annual report, is part of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believe education should nurture and spread new ideas to enrich lives. High-quality education should be available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8"/>
          <w:szCs w:val="18"/>
          <w:color w:val="auto"/>
        </w:rPr>
        <w:t>to everyone. We all share a common aspiration to improve ourselves through education. The Group’s mission is to transform education through technology and innovation, making learning experiences enjoyable and rewarding.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Group is a leader in China’s adult online education market and China’s adult personal interest learning market. The Group has a deep understanding of the educational needs of the Group’s prospective students and offer solutions that help them achieve their goals. The Group offers online professional courses and educational content, including various interest courses, aimed at preparing students for professional certification exams, enhancing their professional skills, and catering to their personal interests. In addition, the Group offers various degree- or diploma-oriented post-secondary courses through the Group’s online platforms.</w:t>
      </w:r>
    </w:p>
    <w:p>
      <w:pPr>
        <w:spacing w:after="0" w:line="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Founded in 2003 as a traditional education company, the Group transitioned to an online education model in 2014. The Group’s online education model enables students to access the course and educational content offerings anywhere and anytime.</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has been successful in addressing the unmet demand of a large, growing market and served approximately 4,940,000 students across China since the Group transitioned to an online education model in 2014. The number of the Group’s students was 1,131,435, 1,067,128 and 979,741, respectively, in 2023, 2024 and 2025. For the same years, the Group’s new student enrollments were 616,341, 674,649 and 579,788,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Solutions</w:t>
      </w:r>
    </w:p>
    <w:p>
      <w:pPr>
        <w:spacing w:after="0" w:line="22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Group offers adult online education and adult personal interest learning education through extensive courses and educational content offerings. As of December 31, 2025, the Group offered interest, professional skills and professional certification preparation courses, and degree- or diploma-oriented post-secondary courses.</w:t>
      </w:r>
    </w:p>
    <w:p>
      <w:pPr>
        <w:spacing w:after="0" w:line="68"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Group adopts a counseling-oriented sales and marketing approach that seeks to offer education solutions to students to meet their needs based on their background and goals. The Group provides professional assistance and counseling to help students make informed decisions that best suit their learning needs. In addition, the Group’s enrollment consultants also help them formulate effective study plans throughout their enrollments in the courses.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Students can access the Group’s services either through PC or mobile applications. The Group’s online platform cultivates a personalized, interactive learning environment by featuring a virtual learning community and a vast library of educational content offerings that adapt to the learning habits of students.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 focuses on cultivating an engaging community among students, teachers and mentors, improving educational content development capabilities, and developing proprietary IT infrastructure and systems. The Group encourages students to become more committed and engaged by creating an interactive learning environment that fosters their desire to learn and build confidence in learning. The Group provides students with strong learning support through dedicated mentors, powered by the Group’s proprietary IT systems and live streaming platform.</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 offers a unique approach to education research and development that organizes subject content into Learning Outcome Trees, the Group’s proprietary knowledge management system. The Learning Outcome Trees enable the Group to customize teaching notes for teachers, and develop comprehensive course outlines and quiz banks to enhance the learning experience. Based on student feedback and the latest updates on exam policies, the Group further updates the educational content in the Learning Outcome Trees to continually improve teaching quality.</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seeks to hire experienced and passionate teachers who can make learning fun and interactive. The Group equips the faculty members not only with a comprehensive set of teaching methods but also advanced technologies and data insights to enable them to develop their professional skills and enhance the Group’s overall teaching quality.</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Group’s net revenues were RMB2,159.6 million, RMB1,990.2 million and RMB2,019.9 million (US$288.8 million), respectively, and the Group’s gross billings were RMB1,504.6 million, RMB1,555.4 million and RMB1,467.4 million (US$209.8 million), respectively, in 2023, 2024 and 2025. The Group recorded net income of RMB640.8 million, RMB342.1 million and RMB365.6 million (US$52.3 million) in 2023, 2024 and 2025. The Group’s deferred revenues were RMB1,113.9 million, RMB916,5 million and RMB585.3 million (US$83.7 million), respectively, as of December 31, 2023, 2024 and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 and Online Education Services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 offers adult online education services and adult personal interest learning courses through online and mobile platforms to adult students. The Group delivers a diverse, comprehensive range of online courses in a live streaming format focused on fostering an interactive learning experience and community-oriented student support services. The Group also provides students with a variety of proprietary educational content to help reinforce what is taught in classes and assess their learning outcomes.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 promotes services through a multi-channel strategy, including online and mobile advertising, to effectively convert sales leads into student enrollments.</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Through the Group’s technology that connects students with faculty and employees, the Group gathers and analyzes data at each stage of students’ interactions with the Group in real-time, allowing the Group to better understand students’ learning needs and enabling the Group to continually improve the quality of service.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Course Offerings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 offers a wide range of online courses addressing various educational needs of adults in China.</w:t>
      </w:r>
    </w:p>
    <w:p>
      <w:pPr>
        <w:spacing w:after="0" w:line="11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Currently, the Group’s course offerings mainly cover two main components, namely (i) interest, professional skills and professional certification preparation courses, and (ii) degree- or diploma-oriented post-secondary courses. The following table sets forth the Group’s net revenues, gross billings and new student enrollments attributable to each type of course offering. For a reconciliation of the Group’s gross billings and net revenues, see “—Non-GAAP Financial Measures.”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4180" w:type="dxa"/>
            <w:vAlign w:val="bottom"/>
            <w:tcBorders>
              <w:bottom w:val="single" w:sz="8" w:color="auto"/>
            </w:tcBorders>
            <w:gridSpan w:val="5"/>
          </w:tcPr>
          <w:p>
            <w:pPr>
              <w:ind w:left="13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revenues (RMB in thousands)</w:t>
            </w:r>
          </w:p>
        </w:tc>
        <w:tc>
          <w:tcPr>
            <w:tcW w:w="16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professional skills and professional certification preparation courses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1,449,858</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1,498,058</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1,499,704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Degree- or diploma-oriented post-secondary courses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534,041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205,578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Sales of products</w:t>
            </w:r>
            <w:r>
              <w:rPr>
                <w:rFonts w:ascii="Times New Roman" w:cs="Times New Roman" w:eastAsia="Times New Roman" w:hAnsi="Times New Roman"/>
                <w:sz w:val="24"/>
                <w:szCs w:val="24"/>
                <w:color w:val="auto"/>
                <w:vertAlign w:val="superscript"/>
              </w:rPr>
              <w:t>(1)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144,233</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244,901</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4"/>
                <w:szCs w:val="24"/>
                <w:color w:val="auto"/>
                <w:vertAlign w:val="superscript"/>
              </w:rPr>
              <w:t>(2)</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31,452</w:t>
            </w:r>
          </w:p>
        </w:tc>
        <w:tc>
          <w:tcPr>
            <w:tcW w:w="2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41,667</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2,159,584</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1,990,204</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2,019,881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billings (RMB in thousands)</w:t>
            </w:r>
          </w:p>
        </w:tc>
        <w:tc>
          <w:tcPr>
            <w:tcW w:w="16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professional skills and professional certification preparation courses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1,481,075</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1,541,953</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1,466,649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Degree- or diploma-oriented post-secondary courses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23,542</w:t>
            </w:r>
          </w:p>
        </w:tc>
        <w:tc>
          <w:tcPr>
            <w:tcW w:w="2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13,414</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1,504,617</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1,555,367</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1,467,388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New student enrollments</w:t>
            </w:r>
          </w:p>
        </w:tc>
        <w:tc>
          <w:tcPr>
            <w:tcW w:w="16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professional skills and professional certification preparation courses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585,254</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658,690</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568,920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Degree- or diploma-oriented post-secondary courses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31,087</w:t>
            </w:r>
          </w:p>
        </w:tc>
        <w:tc>
          <w:tcPr>
            <w:tcW w:w="2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15,959</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616,341</w:t>
            </w:r>
          </w:p>
        </w:tc>
        <w:tc>
          <w:tcPr>
            <w:tcW w:w="24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674,649</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579,788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-1190625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-1174115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-1190625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-1174115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-1190625</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-1174115</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-607695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-590550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-607695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-590550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Note:</w:t>
      </w:r>
    </w:p>
    <w:p>
      <w:pPr>
        <w:spacing w:after="0" w:line="27" w:lineRule="exact"/>
        <w:rPr>
          <w:sz w:val="20"/>
          <w:szCs w:val="20"/>
          <w:color w:val="auto"/>
        </w:rPr>
      </w:pPr>
    </w:p>
    <w:p>
      <w:pPr>
        <w:ind w:left="380" w:hanging="372"/>
        <w:spacing w:after="0" w:line="243" w:lineRule="auto"/>
        <w:tabs>
          <w:tab w:leader="none" w:pos="29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revenues from sales of products such as printed books and learning materials associated with the courses we offer. Revenues from sales of goods for the year ended December 31, 2023 were previously included in "others" of net revenues for the respective years.</w:t>
      </w:r>
    </w:p>
    <w:p>
      <w:pPr>
        <w:spacing w:after="0" w:line="39"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commissions received for providing referral services to third-party companies.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professional skills and professional certification preparation courses</w:t>
      </w:r>
    </w:p>
    <w:p>
      <w:pPr>
        <w:spacing w:after="0" w:line="11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 develops interest and professional skills courses that help students cater to their interests and develop professional skills as the Group saw a surging trend in adults undertaking such courses online. As of December 31, 2025, the Group offered professional skills and interest courses such as Wealth Management, Voice Acting, Chinese Painting and Calligraphy. In addition, the Group also offers professional certification preparation courses designed to give students the skills, knowledge and abilities that are commonly required or helpful for a broad range of professions. The employment market is becoming increasingly competitive, motivating workers to enhance their career competitiveness through vocational education. As of December 31, 2025, the professional certification preparation courses covered various industries and professions, including Accounting, Human Resources and Teaching. The Group’s solid foundation and rich resources in course portfolio has enabled the Group to successfully grasp market opportunities and effectively scale up the Group’s offerings.</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recent years, the Group’s course offerings have become more diversified, and the interest, professional skills and professional certification preparation course offerings have contributed to an increasing proportion of the Group’s overall revenues. In 2023, 2024 and 2025, the interest, professional skills and professional certification preparation courses represented approximately 67.1%, 75.3% and 74.2%, respectively, of the Group’s net revenues, and approximately 98.4%, 99.1% and 99.9%, respectively, of the Group’s gross billings. In addition, the interest, professional skills and professional certification preparation courses represented approximately 95.0%, 97.6% and 98.1%, respectively, of the Group’s new student enrollments in 2023, 2024 and 2025. See also “Item 3. Key Information—3.D. Risk Factors—Risks Related to the Group’s Business—To the extent the Group relies on certain types of course offerings to generate revenues, the Group will be subject to concentration risks, including risks resulting from changes in government policies.”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to the course offerings discussed above, the Group also offers exam preparation “crash courses” for exam-taking students. Instead of covering a wide range of topics in a particular subject matter, these courses are meant to cover the most frequently tested areas in the exams and provide training on test-taking strategies and skills to help students improve their performance in actual exams.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Degree- or diploma-oriented post-secondary courses</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degree- or diploma-oriented post-secondary course offerings primarily consist of preparation courses for the STE, a state-administered exam in China for learners pursuing associate diplomas or bachelor’s degrees, and other degree- or diploma-oriented post-secondary courses. As of December 31, 2025, STE courses covered 11 majors, including Administrative Management, Chinese Language and Literature, Accounting, Business Management, Human Resource Management, Law, Public Administration, Computer Information Management, Pre-School Education, Marketing and English. Other degree- or diploma-oriented post-secondary course offerings include preparation courses for the entrance examinations of Master of Business Administration (“MBA”) in China and overseas.</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Degree- or diploma-oriented post-secondary courses, especially STE courses, have historically accounted for the largest proportion of the Group’s net revenues, gross billings and new student enrollments. In recent years, the Group’s course offerings have become more diversified. In 2023, 2024 and 2025, degree- or diploma-oriented post-secondary courses represented approximately 24.8%, 10.3% and 13.5%, respectively, of the Group’s net revenues, and approximately 1.6%, 0.9% and 0.1%, respectively, of the Group’s gross billings. In addition, degree- or diploma-oriented post-secondary courses represented approximately 5.0%, 2.4% and 1.9%, respectively, of the Group’s new student enrollments for the years ended December 31, 2023, 2024 and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Interactive Learning Process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Live streaming course delivery</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Group’s teachers deliver courses in a live streaming format through the Group’s websites and mobile application. We believe that the Group is one of the first to offer live streaming courses in China’s education industry.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live streaming course delivery format allows the Group to cost-effectively expand student enrollments and maintain high teaching quality.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 streaming also improves efficiency of instruction and enriches the learning experience in a number of ways:</w:t>
      </w:r>
    </w:p>
    <w:p>
      <w:pPr>
        <w:spacing w:after="0" w:line="97" w:lineRule="exact"/>
        <w:rPr>
          <w:sz w:val="20"/>
          <w:szCs w:val="20"/>
          <w:color w:val="auto"/>
        </w:rPr>
      </w:pPr>
    </w:p>
    <w:p>
      <w:pPr>
        <w:ind w:left="760" w:right="300" w:hanging="378"/>
        <w:spacing w:after="0" w:line="284"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efficiency and no geographic limitations</w:t>
      </w:r>
      <w:r>
        <w:rPr>
          <w:rFonts w:ascii="Times New Roman" w:cs="Times New Roman" w:eastAsia="Times New Roman" w:hAnsi="Times New Roman"/>
          <w:sz w:val="18"/>
          <w:szCs w:val="18"/>
          <w:color w:val="auto"/>
        </w:rPr>
        <w:t>. While classroom-based students are often required to spend time commuting, the Group’s live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streaming learning format allows them to attend courses anytime, anywhere as long as there is Internet.</w:t>
      </w:r>
    </w:p>
    <w:p>
      <w:pPr>
        <w:spacing w:after="0" w:line="50" w:lineRule="exact"/>
        <w:rPr>
          <w:rFonts w:ascii="Times New Roman" w:cs="Times New Roman" w:eastAsia="Times New Roman" w:hAnsi="Times New Roman"/>
          <w:sz w:val="18"/>
          <w:szCs w:val="18"/>
          <w:color w:val="auto"/>
        </w:rPr>
      </w:pPr>
    </w:p>
    <w:p>
      <w:pPr>
        <w:ind w:left="760" w:right="140" w:hanging="378"/>
        <w:spacing w:after="0" w:line="26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level of engagement and interaction</w:t>
      </w:r>
      <w:r>
        <w:rPr>
          <w:rFonts w:ascii="Times New Roman" w:cs="Times New Roman" w:eastAsia="Times New Roman" w:hAnsi="Times New Roman"/>
          <w:sz w:val="18"/>
          <w:szCs w:val="18"/>
          <w:color w:val="auto"/>
        </w:rPr>
        <w:t>. The live streaming application (through support functions and plug-ins) allow students to engage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real-time Q&amp;A with the faculty and their fellow students through live chats, which fosters an engaging and interactive learning setting. The live streaming application has a “tipping” function that allows students to “tip” the teacher with virtual gifts if they like the course, which improves student engagement and student-teacher interaction.</w:t>
      </w:r>
    </w:p>
    <w:p>
      <w:pPr>
        <w:spacing w:after="0" w:line="71" w:lineRule="exact"/>
        <w:rPr>
          <w:rFonts w:ascii="Times New Roman" w:cs="Times New Roman" w:eastAsia="Times New Roman" w:hAnsi="Times New Roman"/>
          <w:sz w:val="18"/>
          <w:szCs w:val="18"/>
          <w:color w:val="auto"/>
        </w:rPr>
      </w:pPr>
    </w:p>
    <w:p>
      <w:pPr>
        <w:ind w:left="760" w:right="40" w:hanging="378"/>
        <w:spacing w:after="0" w:line="267"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Greater learning flexibility</w:t>
      </w:r>
      <w:r>
        <w:rPr>
          <w:rFonts w:ascii="Times New Roman" w:cs="Times New Roman" w:eastAsia="Times New Roman" w:hAnsi="Times New Roman"/>
          <w:sz w:val="18"/>
          <w:szCs w:val="18"/>
          <w:color w:val="auto"/>
        </w:rPr>
        <w:t>. Every live class is recorded and made available to students enrolled in the course throughout their enrollment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allows them to attend courses at their convenience. This scheduling flexibility appeals to adult students with full-time jobs. The replay function allows students to learn at their own pace.</w:t>
      </w:r>
    </w:p>
    <w:p>
      <w:pPr>
        <w:spacing w:after="0" w:line="6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We believe the live streaming format and highly interactive learning experience makes the Group’s services highly attractive to students. In 2023, 2024 and 2025, the Group’s new student enrollments were 616,341, 674,649 and 579,788,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Virtual learning community</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Group strives to build a vibrant and highly interactive virtual community for students and faculty to augment their learning and teaching experience. For example, the Group has a bulletin board forum, available through the Group’s website and mobile application that enables students in real time to share their ideas and learning experience with, as well as pose questions and answers to fellow students and the Group’s faculty. This also provides a stimulating learning platform for students to socialize and interact with an extended network of fellow students and faculty members and to forge beneficial relationships. In addition, students can authorize his or her fellow students to view their learning progress and milestones, thus fostering an engaging and friendly competitive environment.</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believe a highly interactive virtual student community drives the existing students’ level of engagement and significantly enhances the Group’s attractiveness to prospective students.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Community-Oriented Class Setup</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Group’s classes are set up to cultivate an interactive learning environment. The Group is committed to developing a sense of community among students and faculty, which we believe is critical to improving results.</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Furthermore, the Group’s community-oriented learning environment, coupled with the student-centric faculty structure, enable the Group to provide our students attention and support beyond class hours at a time and in a manner that is convenient to them, which further drives student engagement, customer loyalty and course consumption.</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Group’s class is set up by schools, divisions and classes. Students are assigned to different schools and divisions based on the major and number of students enrolled for a given academic period. Students in the same division are further assigned to different “classes” for administrative purposes.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Educational Content Development and Offerings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Content Development</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maintains an experienced team of course and educational content development professionals. The course and educational content development team is dedicated to designing course offerings, as well as developing and improving a wide range of proprietary educational content, such as course outlines, quiz banks and teaching notes, for substantially all of the Group’s online course offerings.</w:t>
      </w:r>
    </w:p>
    <w:p>
      <w:pPr>
        <w:spacing w:after="0" w:line="6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Group regularly upgrades the educational content to make it more practical, and easier to comprehend and apply in real exams. For instance, the Group regularly releases major updates to the Group’s proprietary quiz banks and mock questions for students pursuing the STE exams to reflect updates in the test topics in the government-administered STE exams. Benefiting from the Group’s IT infrastructure, the course and educational content development team is able to view and analyze student performance in quiz banks and mock questions, which enables them to identify weaknesses in the educational content and make timely adjustments and upgrades accordingly. The course and educational content development team also seeks feedbacks from teachers and students regarding the effectiveness of the Group’s educational content, through online questionnaires or in-person meetings.</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to the Group’s proprietary educational content, the course and educational content development professionals also design and recommend to the teachers’ best practices in teaching methods. While the teachers retain substantial control of and flexibility in the way their classes are taught, the course and educational content development professionals continually work closely with them to ensure the Group’s courses and educational content are delivered in an engaging, effective manner. The Group uses Learning Outcome Trees to help the Group structure and deliver the Group’s educational content offerings, including course outlines, teaching notes and quiz banks, more effectively.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Content Offerings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 supports the learning experience with a wide range of educational content designed to help them capture key takeaways from, and reinforce what is taught in, the live streaming lessons, and to assess learning outcomes both during and after class hours. The Group also provides the teachers with educational content to help them prepare and teach classes effectively. All of the educational content was developed by the Group’s in-house research and development team and distributed electronically to students and faculty through the online platforms.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educational content offerings primarily consist of the following:</w:t>
      </w:r>
    </w:p>
    <w:p>
      <w:pPr>
        <w:spacing w:after="0" w:line="115" w:lineRule="exact"/>
        <w:rPr>
          <w:sz w:val="20"/>
          <w:szCs w:val="20"/>
          <w:color w:val="auto"/>
        </w:rPr>
      </w:pPr>
    </w:p>
    <w:p>
      <w:pPr>
        <w:jc w:val="both"/>
        <w:ind w:left="1020" w:hanging="503"/>
        <w:spacing w:after="0" w:line="267"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Course outlines. </w:t>
      </w:r>
      <w:r>
        <w:rPr>
          <w:rFonts w:ascii="Times New Roman" w:cs="Times New Roman" w:eastAsia="Times New Roman" w:hAnsi="Times New Roman"/>
          <w:sz w:val="18"/>
          <w:szCs w:val="18"/>
          <w:color w:val="auto"/>
        </w:rPr>
        <w:t>The Group develops course-specific outlines based on the curriculum requirements of the applicable government authorities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Learning Outcome Trees to ensure high-quality teaching is delivered consistently across the Group’s course offerings. As students’ levels of academic ability vary, the course outlines are designed with the flexibility to address particular students’ strengths and weaknesses.</w:t>
      </w:r>
    </w:p>
    <w:p>
      <w:pPr>
        <w:spacing w:after="0" w:line="65"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Teaching notes. </w:t>
      </w:r>
      <w:r>
        <w:rPr>
          <w:rFonts w:ascii="Times New Roman" w:cs="Times New Roman" w:eastAsia="Times New Roman" w:hAnsi="Times New Roman"/>
          <w:sz w:val="18"/>
          <w:szCs w:val="18"/>
          <w:color w:val="auto"/>
        </w:rPr>
        <w:t>The Group offers teaching notes to the teachers providing them with roadmaps on how to spend class time effectively.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teaching notes set out the learning outcomes based on the Learning Outcome Trees, key issues and frequently tested topics of a given course as well as recommended teaching strategies. They also contain suggested allocation of time to spend on different sub-subjects and questions to ask to stimulate the desired discussion. The Group generally uses standardized teaching notes for the same courses, even taught by different teachers, to ensure consistency of teaching quality.</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Quiz banks. </w:t>
      </w:r>
      <w:r>
        <w:rPr>
          <w:rFonts w:ascii="Times New Roman" w:cs="Times New Roman" w:eastAsia="Times New Roman" w:hAnsi="Times New Roman"/>
          <w:sz w:val="18"/>
          <w:szCs w:val="18"/>
          <w:color w:val="auto"/>
        </w:rPr>
        <w:t>The Group maintains and regularly update large quiz banks, including ones specifically designed for the state-administered 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exams. A majority of the quizzes in the quiz banks were developed in-house, leveraging the Group’s understanding of the topics frequently tested in the exams as well as the significant data accumulated during teaching, while the rest are based on real exams in the past. Also, students can search within the quiz banks using keywords from Learning Outcome Trees, which has greatly improved their learning effectiveness. In addition to quiz banks, the Group also offers mock exams to provide students with realistic practice sessions for their real final exams.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has a large student base, primarily as a result of the Group’s well-established brand and effective sales and marketing efforts. In 2023, 2024 and 2025, the Group had 1,131,435, 1,067,128 and 979,741 students, respectively, and the Group’s new student enrollments were 616,341, 674,649 and 579,788, respectively.</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Group’s students are primarily working adults who generally have limited time to devote to lengthy and regular classroom studies at designated physical locations. Such students also need an engaging learning atmosphere that encourages participation and interaction, and require more assistance and supervision from their teachers and mentors.</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Group’s target students generally have aspirations to obtain more knowledge, pursue higher education and improve their social and economic status. At the same time, many of them cannot identify their specific education needs or solutions for such needs, especially given that education products and services can be complex and the relatively high costs may deter them from fulfilling their educational needs. To help them meet their aspirations and understand the potential educational solutions, the Group focuses marketing and sales practices on counseling-oriented interactions and strive to deliver the courses and educational content in a highly engaging and student-friendly manner.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Faculty</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 maintains a team of full-time faculty dedicated to helping students succeed. As of December 31, 2025, the Group’s faculty primarily consisted of 57 teachers and 18 mentors based in Beijing and Wuhan, China.</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Teachers and mentors assume different roles and responsibilities. Generally, teachers are responsible for delivering courses and educational content to students, while mentors focus on providing academic and administrative support throughout the students’ learning process. We believe its different functions require different skills and personal attributes, and therefore the Group applies differentiated recruitment, training, and evaluation and compensation strategies to teachers and mentors. For risks related to the Group’s faculty, see “Item 3. Key Information—3.D. Risk Factors—Risks Related to the Group’s Business—The Group may not be able to continue to recruit, train and retain a sufficient number of qualified faculty members.”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Teachers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believe maintaining a high-quality team of teachers is the bedrock of the Group’s brand and reputation, particularly given the Group’s online course delivery model where each teacher is expected to cover a larger number of students than in offline, classroom-based courses. The Group monitors the total number of hours teachers teach regularly to provide both an optimal number of teachers for the Group’s large student enrollments and adequate teaching assignments for each of the teachers. Most of the teachers are full-time employees, while the Group also engage part-time teachers. For part-time teachers, the Group enters into agreements with qualified individuals and pays for the classes taught by them, or it collaborates with third party companies that arrange teachers to teach classes and pays for the teaching services rendered. The training the Group provides to teachers is designed to allow teachers to develop their own teaching style and methodology while maintaining high teaching quality.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Recruitment</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 hires the Group’s teachers based on numerous criteria, including educational backgrounds, teaching experience, and performance in mock lessons. The Group typically looks for candidates with a bachelor’s degree from a top university or college in China or a master’s or higher degree. Additionally, given the interactive nature of the live streaming lessons, the Group looks for teachers with strong communication skills, great passion for teaching and excellent ability of working under pressure.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and support</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Group offers standard training programs to newly-hired teachers. The Group also imposes a probation period and requires each newly hired teacher to pass a number of internal qualification tests throughout the probation to be formally employed as full-time teachers. The Group also provides on-the-job training on instructional and communication skills to teachers on a regular basis. The Group’s proprietary IT system is key to the teacher training efforts as it not only allows them to monitor student engagement and academic performance on a real time basis but also to adjust teaching methodology and strategy accordingly to keep students engaged.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and compensation</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Group has developed a fully-digital and systematic assessment approach that provides teachers with transparent and helpful feedback that serves as the foundation for their professional development and helps them to build fulfilling careers with us. The Group adopts a comprehensive set of key performance indicators, or metrics, to evaluate teacher performance. These metrics include student attendance rate and student satisfaction, among others. The Group also collects student reviews after each class and closely monitors the educational content delivered by teachers to facilitate teacher evaluation efforts and to improve teaching quality. In addition, the Group uses mock lessons to assess a teacher’s teaching skills and ability to engage students in a live streaming course setting, especially in instances where multiple teachers are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competing to teach the same course.</w:t>
      </w:r>
    </w:p>
    <w:p>
      <w:pPr>
        <w:spacing w:after="0" w:line="11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 pays teachers base salaries and service fees generally on a per-lesson basis. The service fees per lesson of a teacher are based primarily on his or her rating and other factors, such as student reviews and exam results. To incentivize teachers, the Group also provides them with discretionary, merit-based bonuses based on their performance, measured by selected metrics. The Group enters into with each teacher a standard employment agreement typically for an initial term of three years which automatically renews at the end of each term.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Mentors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mentors’ principal role is to provide academic guidance and support to students on a daily basis to help navigate their way throughout the entire duration of studies. The mentors’ roles and responsibilities typically include:</w:t>
      </w:r>
    </w:p>
    <w:p>
      <w:pPr>
        <w:spacing w:after="0" w:line="54"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and responding to student inquiries and concerns;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students’ learning progress as well as their overall academic and personal development;</w:t>
      </w:r>
    </w:p>
    <w:p>
      <w:pPr>
        <w:spacing w:after="0" w:line="117" w:lineRule="exact"/>
        <w:rPr>
          <w:rFonts w:ascii="Times New Roman" w:cs="Times New Roman" w:eastAsia="Times New Roman" w:hAnsi="Times New Roman"/>
          <w:sz w:val="18"/>
          <w:szCs w:val="18"/>
          <w:color w:val="auto"/>
        </w:rPr>
      </w:pPr>
    </w:p>
    <w:p>
      <w:pPr>
        <w:ind w:left="760" w:right="80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psychological support to help students cope with the challenging aspects of their studies, particularly in a rigorous academic environment; and</w:t>
      </w:r>
    </w:p>
    <w:p>
      <w:pPr>
        <w:spacing w:after="0" w:line="53"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students to share ideas and learning experience and achievements with peers and faculty to foster a sense of community and teamwork spirit.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Recruitment</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 tends to look for mentors who demonstrate excellent interpersonal and communication skills and a commitment in participating in the education profession and impacting a diverse audience. The Group typically requires mentors to possess a bachelor’s degree.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and support</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provides mentors with an orientation program and periodic on-the-job training to improve their ability to engage and build relationships with students. The Group also provides mentors with training opportunities that address specific challenges. The Group has also introduced systems and tools that enable teachers to monitor student activities and outcomes and take appropriate actions when the students demonstrate a low level of engagement.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and compensation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uses various metrics in terms of student engagement to measure the performance of mentors. These metrics include student’s class attendance, refund request rate, as well as the percentage of outperforming students. With each of mentors the Group enters into a standard employment agreement typically for an initial term of three years which automatically renews at the end of each term.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Branding and Sales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Group’s marketing philosophy is to promote the Group’s services to prospective students in a cost-effective manner based on the Group’s deep understanding of their unique profile and needs. The Group has acquired many of the existing students through effective marketing campaigns focused on showing how the Group’s services can address their specific educational needs. At the same time, the Group markets services to a larger group of prospective students who are not aware of solutions available to satisfy their needs through tailored marketing efforts designed to awaken their potential demands and navigate them through their decision-making process.</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Group has built a large, well-trained professional sales and marketing team. As of December 31, 2025, the Group had a total of 1,151 sales and marketing personnel. The Group maintains sales and marketing personnel in major regional markets, such as Beijing, Wuhan, Shenzhen and Guangzhou. The Group’s sales and marketing force adopt sales and marketing strategies customized based on the needs and profile of prospective students in different markets. The Group divides the sales and marketing personnel into different teams, each dedicated to executing marketing strategies in a particular course offering or demographics.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Marketing and Branding</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 generates leads primarily from online channels, which consist of search engine marketing and mobile marketing. Empowered by data analytics capabilities, the Group uses automated bidding strategies to place ads intelligently, as well as to track performance of ads in real time, which enables the Group to generate more qualified clicks leading to the Group’s websites. The Group puts ads on strategically chosen mobile applications that generate premium traffic quality to maximize return of investment from mobile marketing channels.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Group’s search engine marketing channels effectively target students who possess preliminary interest in the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8"/>
          <w:szCs w:val="18"/>
          <w:color w:val="auto"/>
        </w:rPr>
        <w:t>Group’s services. The Group purchases key words from major search service providers in China, such as Baidu, and enhances returns from search engine marketing channels using search engine optimization techniques. The Group monitors end-to-end performance metrics of search engine marketing channels on a continuous basis.</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Group also generates leads online through mobile marketing channels, which mainly include display advertising on leading mobile news apps, as well as social media platforms and online shopping platforms. The display advertising formats the Group uses generally include launch screen display, banners, text hyperlinks, videos and rich media. The Group also operates branded official accounts on Weixin/WeChat, Sina Weibo, Tik Tok and other social media platforms to raise brand awareness and increase sales leads generated on these platforms. We believe that the Group’s mobile marketing efforts are particularly effective in awakening potential demands of prospective students who have not yet developed a specific learning plan.</w:t>
      </w:r>
    </w:p>
    <w:p>
      <w:pPr>
        <w:spacing w:after="0" w:line="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terms of the agreements the Group enters into with the search engine and mobile marketing partners are typically one year. The Group pays the search engine and mobile marketing partners generally on a cost-per-click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Counseling-Oriented Sales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Counseling services</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To convert leads generated into student enrollments, the Group provides customized, comprehensive counseling to prospective students throughout the lead nurturing and enrollment cycle. This counseling-oriented sales approach is supported by a capable sales team consisting of live chat personnel, call center staff and recruitment consultants based in the Group’s regional enrollment centers. The Group provides extensive training to sales team to ensure they are capable of explaining course offerings, addressing questions and concerns, and recommending courses that best suit prospective students’ learning objectives. The Group also uses data analytics tools and models to identify a prospective student’s educational needs, which helps the sales team provide tailor-made counseling services.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Enrollment process</w:t>
      </w:r>
    </w:p>
    <w:p>
      <w:pPr>
        <w:spacing w:after="0" w:line="11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 uses multi-layer lead-nurturing strategies to acquire new student enrollments in a cost-effective manner. Each of the leads generated are initially directed to the live chat support team who is responsible for answering prospective students’ enquires, encouraging them to register with the Group’s platforms, and collecting necessary information. Once a prospective student indicates an interest in purchasing the courses, the Group matches such student with the most suitable sales professional based on data analytics and tools. Such sales professional will follow up with the prospective student. In addition, the Group launches advertisements on various platforms, where the Group is able to obtain the contact information of the prospective students if they indicate interest in the Group’s courses. The Group then invites prospective students to join the online learning group and provide them with access to the trial courses. A prospective student that has signed up for the courses will be directed to the local enrollment centers to complete course purchase and registration with the assistance of the enrollment consultants. The enrollment consultants are also responsible for providing counseling services to enrolling students and guiding them through the payment process. Students can also choose to complete the purchase and enrollment process entirely online.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Infrastructure and Capabilities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devotes significant resources to maintaining a reliable, scalable and secure IT infrastructure. The Group has built the integrated IT infrastructure primarily based on tools, technologies and platforms that the Group has developed in-house and, to a lesser extent, third-party software and applications that the Group has licensed or purchased.</w:t>
      </w:r>
    </w:p>
    <w:p>
      <w:pPr>
        <w:spacing w:after="0" w:line="68" w:lineRule="exact"/>
        <w:rPr>
          <w:sz w:val="20"/>
          <w:szCs w:val="20"/>
          <w:color w:val="auto"/>
        </w:rPr>
      </w:pPr>
    </w:p>
    <w:p>
      <w:pPr>
        <w:ind w:firstLine="374"/>
        <w:spacing w:after="0" w:line="375" w:lineRule="auto"/>
        <w:rPr>
          <w:sz w:val="20"/>
          <w:szCs w:val="20"/>
          <w:color w:val="auto"/>
        </w:rPr>
      </w:pPr>
      <w:r>
        <w:rPr>
          <w:rFonts w:ascii="Times New Roman" w:cs="Times New Roman" w:eastAsia="Times New Roman" w:hAnsi="Times New Roman"/>
          <w:sz w:val="18"/>
          <w:szCs w:val="18"/>
          <w:color w:val="auto"/>
        </w:rPr>
        <w:t xml:space="preserve">The Group maintains a dedicated IT development and support team. As of December 31, 2025, the Group had 115 technology development personnel. </w:t>
      </w:r>
      <w:r>
        <w:rPr>
          <w:rFonts w:ascii="Times New Roman" w:cs="Times New Roman" w:eastAsia="Times New Roman" w:hAnsi="Times New Roman"/>
          <w:sz w:val="18"/>
          <w:szCs w:val="18"/>
          <w:b w:val="1"/>
          <w:bCs w:val="1"/>
          <w:i w:val="1"/>
          <w:iCs w:val="1"/>
          <w:color w:val="auto"/>
        </w:rPr>
        <w:t>Genesis</w:t>
      </w:r>
    </w:p>
    <w:p>
      <w:pPr>
        <w:spacing w:after="0" w:line="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Group’s IT infrastructure is critical to supporting the pursuit of excellent student experience and optimal operating efficiency. The Group has developed Genesis, the Group’s proprietary integrated IT infrastructure, to support and connect students and employees during every major aspect of business operations, encompassing marketing, sales, course delivery and development, and operation management.</w:t>
      </w:r>
    </w:p>
    <w:p>
      <w:pPr>
        <w:spacing w:after="0" w:line="6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Powering various services and functions, including information and data transmission and sharing, centralized data tracking and data analytics, Genesis is composed of both student interface and employee interface. For one thing, the student interface supports applications and platforms that enable students to enroll in courses, attend classes, access educational content, interact within the Group’s virtual community, and engage in other learning activities throughout their service periods; for another thing, Genesis also incorporates different subsets of functions used by the Group’s employees, ranging from teachers and mentors to the marketing and sales personnel. The employee interface is specifically customized to provide the employees with information and data most relevant to their responsibilities. In addition, Genesis supports a centralized database allowing its users, including students and employees, to contribute, share and store content and data</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across various applications and platforms.</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launched the personalized study programs in 2018. This in-house developed software uses machine learning and natural language processing technology to analyze student behavior and their level of understanding of specific courses. Based on this analysis, the Group is able to predict test results, with a high accuracy rate, and develop tailor-made learning solutions that are designed to improve study outcomes.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Platforms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The Group is one of the first movers in China’s education sector to deliver interactive education services via mobile platforms, which has enabled students to learn and connect with fellow students and faculty in a more efficient and flexible manner. The Group’s </w:t>
      </w:r>
      <w:r>
        <w:rPr>
          <w:rFonts w:ascii="Times New Roman" w:cs="Times New Roman" w:eastAsia="Times New Roman" w:hAnsi="Times New Roman"/>
          <w:sz w:val="18"/>
          <w:szCs w:val="18"/>
          <w:i w:val="1"/>
          <w:iCs w:val="1"/>
          <w:color w:val="auto"/>
        </w:rPr>
        <w:t>Sunlands</w:t>
      </w:r>
      <w:r>
        <w:rPr>
          <w:rFonts w:ascii="Times New Roman" w:cs="Times New Roman" w:eastAsia="Times New Roman" w:hAnsi="Times New Roman"/>
          <w:sz w:val="18"/>
          <w:szCs w:val="18"/>
          <w:color w:val="auto"/>
        </w:rPr>
        <w:t xml:space="preserve"> mobile app, available on both iOS and Android, is built with a clear and functional interface that enables access to course and educational content offerings and virtual learning community. The Group has also built mobile WAP pages which allow students and faculty to enjoy a similar level of functionality as the Group’s mobile app without installation.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Tuition and Fees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Group’s tuition fees, including academic fees and registration fees, are charged generally on a per-program basis. From time to time, the Group offers tuition discounts under various marketing campaigns and promotions. For example, discounts may also be made available to students who purchase multiple courses at a time. The Group accepts fee payments through major third-party online payment solutions in China, including Alipay, Union Pay and WeChat Pay, as well as bank transfers and credit cards.</w:t>
      </w:r>
    </w:p>
    <w:p>
      <w:pPr>
        <w:spacing w:after="0" w:line="7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Students typically self-finance their education or obtain financing from third-party financing programs that cooperate with us. The Group currently offers the following two payment options to students:</w:t>
      </w:r>
    </w:p>
    <w:p>
      <w:pPr>
        <w:spacing w:after="0" w:line="52" w:lineRule="exact"/>
        <w:rPr>
          <w:sz w:val="20"/>
          <w:szCs w:val="20"/>
          <w:color w:val="auto"/>
        </w:rPr>
      </w:pPr>
    </w:p>
    <w:p>
      <w:pPr>
        <w:ind w:left="760" w:right="180" w:hanging="378"/>
        <w:spacing w:after="0" w:line="284"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Lump-sum prepayment option</w:t>
      </w:r>
      <w:r>
        <w:rPr>
          <w:rFonts w:ascii="Times New Roman" w:cs="Times New Roman" w:eastAsia="Times New Roman" w:hAnsi="Times New Roman"/>
          <w:sz w:val="18"/>
          <w:szCs w:val="18"/>
          <w:color w:val="auto"/>
        </w:rPr>
        <w:t>. Under a prepaid payment plan, a student is required to make a one-time, lump-sum payment of the tuition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directly at the beginning of the academic period.</w:t>
      </w:r>
    </w:p>
    <w:p>
      <w:pPr>
        <w:spacing w:after="0" w:line="50" w:lineRule="exact"/>
        <w:rPr>
          <w:rFonts w:ascii="Times New Roman" w:cs="Times New Roman" w:eastAsia="Times New Roman" w:hAnsi="Times New Roman"/>
          <w:sz w:val="18"/>
          <w:szCs w:val="18"/>
          <w:color w:val="auto"/>
        </w:rPr>
      </w:pPr>
    </w:p>
    <w:p>
      <w:pPr>
        <w:ind w:left="760" w:right="60" w:hanging="378"/>
        <w:spacing w:after="0" w:line="253"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Installment payment plan</w:t>
      </w:r>
      <w:r>
        <w:rPr>
          <w:rFonts w:ascii="Times New Roman" w:cs="Times New Roman" w:eastAsia="Times New Roman" w:hAnsi="Times New Roman"/>
          <w:sz w:val="18"/>
          <w:szCs w:val="18"/>
          <w:color w:val="auto"/>
        </w:rPr>
        <w:t>. The Group offers an installment payment option that enables eligible students to obtain loans from accredited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in China to finance all or part of their tuition. The credit providers perform credit assessment, approve loan applications, provide the funds and collect delinquent payments. Once a student’s loan application is approved by the credit provider, the tuition will be fully paid to the Group by such credit provider. The Group also partners with credit intermediaries, who connect students with credit providers. Under the loan agreement between the borrowing student and the lending credit provider, the borrowing student is required to repay the loan principal in installments over a period generally ranging from 3 to 12 months. Under the cooperation agreement between the Group and each credit provider, the Group is responsible for making interest payments under a student loan to the lending credit provider. Interest payments and service fees are recorded as a reduction to the total contractual tuition price. The Group generally does not guarantee the payment of the loan principal by the students. See “Item 3. Key Information—3.D. Risk Factors—Risks Related to the Group’s Business—The Group may face risks associated with the installment tuition payment plan the Group offers to its students.” In 2023, 2024 and 2025, the Group’s student loan coverage ratios were 1.3%, 1.9% and 1.7%, respectively. During the same periods, the Group made interest payments of RMB1.5 million, RMB1.7 million and RMB1.9 million (US$0.3 million), respectively, to the credit providers.</w:t>
      </w:r>
    </w:p>
    <w:p>
      <w:pPr>
        <w:spacing w:after="0" w:line="8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Group generally offers students a full, unconditional refund within 24 hours upon enrollment. If a student requests a refund after taking at least one live streaming course lasting 30 minutes due to any material academic issue associated with the Group’s courses within certain refund period, the Group offers a refund excluding the registration fees and the fees of delivered courses upon the Group’s confirmation. In addition, the Group offers students a refund for the undelivered courses excluding the registration fees. Starting from June 2019, the Group offers such refund during the entire service period. When calculating gross billings for a specific period, the Group deducts the total amount of refunds from the total amount of cash received for the sale of course packages for such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Group relies on a combination of patent, copyright, trademark and trade secret laws and restrictions on disclosure to protect the Group’s intellectual property rights. The Group owns copyrights to the educational content the Group developed in-house. The Group enters into standard employment agreements with teachers, course development staff and other employees which provide that the intellectual property created by them in connection with their employment is the Group’s intellectual property. As of December 31, 2025, the Group has registered 380 trademarks with the Trademark Office of the PRC State Administration of Industry and Commerce, registered 143 software copyrights with the PRC State Copyright Bureau, and registered 252 domain names.</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Despite the Group’s efforts to protect itself from infringement or misappropriation of the Group’s intellectual property rights, unauthorized parties may attempt to copy or otherwise obtain and use the Group’s intellectual property. In the event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18"/>
          <w:szCs w:val="18"/>
          <w:color w:val="auto"/>
        </w:rPr>
        <w:t>of a successful claim of infringement and the Group’s failure or inability to develop non-infringing intellectual property or license the infringed or similar intellectual property on a timely basis, the Group’s business could be harmed. See “Item 3. Key Information—3.D. Risk Factors—Risks Related to the Group’s Business—The Group may from time to time be subject to infringement claims relating to intellectual properties of third parties.” and “Item 3. Key Information—3.D. Risk Factors—Risks Related to the Group’s Business—If the Group fails to protect the Group’s intellectual property rights, the Group’s brand and business may suffer.”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 primarily competes with offline, classroom-based education service providers. Additionally, the Group expects to face competition as a result of new entrants to the adult online education market and the adult personal interest learning market in China, including established education service providers that had not previously offered such courses. The Group competes with the Group’s competitors for student enrollments and engagement, high-quality faculty members, sales and marketing effectiveness, among other things.</w:t>
      </w:r>
    </w:p>
    <w:p>
      <w:pPr>
        <w:spacing w:after="0" w:line="7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believe that the principal competitive factors in China’s adult online education market and adult personal interest learning market include the following:</w:t>
      </w:r>
    </w:p>
    <w:p>
      <w:pPr>
        <w:spacing w:after="0" w:line="54"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reputation;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course offerings;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course pricing;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engaging and customized learning experience;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teaching quality and level of academic and administrative student support;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and use of the course delivery format;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expertise in sales and marketing, and student acquisition and retention;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track record of performance.</w:t>
      </w:r>
    </w:p>
    <w:p>
      <w:pPr>
        <w:spacing w:after="0" w:line="11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believe the Group competes favorably on the basis of these factors. The Group’s ability to remain competitive will depend, to a great extent, upon the Group’s ability to consistently deliver high-quality course offerings and acquire, support and retain students. Some of the Group’s present and future competitors may have longer operating histories, larger teams of teaching faculty and supporting staff and greater financial, technical, marketing and other resources. For a discussion of risks relating to competition, see “Item 3. Key Information—3.D. Risk Factors—Risks Related to the Group’s Business— The Group faces intense competition in the Group’s industry, which could divert student to the Group’s competitors, lead to pricing pressure and loss of market share, and significantly reduce the Group’s gross billings and net revenues.”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believe data security is critical to the Group’s business operation because data is the foundation of the Group’s competitive advantages. The Group has internal rules and policy to govern how the Group may use and share personal information, as well as protocols, technologies and systems in place to ensure that such information will not be accessed or disclosed improperly. Users must acknowledge the terms and conditions of the user agreement before using the Group’s products, under which they consent to the Group’s collection, use and disclosure of their data in compliance with applicable laws and regulations.</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From an internal policy perspective, the Group limits access to the servers that store user and internal data on a “need-to-know” basis. The Group also adopts a data encryption system intended to ensure the secured storage and transmission of data, and prevent any unauthorized member of the public or third parties from accessing or using the Group’s data in any unauthorized manner. Furthermore, the Group implements comprehensive data masking of user data for the purpose of fending off potential hacking or security attacks.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does not maintain any liability insurance or property insurance policies covering students, equipment and facilities for injuries, death or losses due to fire, earthquake, flood or any other disaster. Consistent with customary industry practice in China, the Group does not maintain business interruption insurance, nor does it maintain key-man insurance.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and Approvals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3. Key Information—Licenses and Approvals” for details.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Foreign Investment Restrictions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According to the latest Special Administrative Measures for the Entry of Investment (Negative List), or the Negative List, promulgated by the Ministry of Commerce, or MOFCOM and the National Development and Reform Commission, or NDRC, effective on November 1, 2024, foreign investors shall not engage in the prohibited activities listed in the Negative List. Pursuant to the latest Negative List, the provision of value-added telecommunications services falls in the category of restricted activities and, with a few exceptions, the percentage of foreign ownership cannot exceed 50% (except for e-commerce, domestic multi-party communication, store-and-forward and call center).</w:t>
      </w:r>
    </w:p>
    <w:p>
      <w:pPr>
        <w:spacing w:after="0" w:line="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latest negative list further provides that domestic companies engaged in foreign investment prohibited business and intend to offer and list securities in overseas markets shall obtain approval from relevant government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PRC Foreign Investment Law</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March 15, 2019, the Standing Committee of the National People’s Congress published the Foreign Investment Law, or the FIL, which became effective on January 1, 2020. The FIL is expected to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existing foreign-invested enterprises established prior to the effective of the FIL may keep their corporate forms within five years. Pursuant to the FIL, “foreign investors” means natural person, enterprise, or other organization of a foreign country, “foreign-invested enterprises” (FIEs) means any enterprise established under PRC law that is wholly or partially invested by foreign investors and “foreign investment” means any foreign investor’s direct or indirect investment in mainland China, including: (i) establishing FIEs in mainland China either individually or jointly with other investors; (ii) obtaining stock shares, stock equity, property shares, other similar interests in Chinese domestic enterprises; (iii) investing in new projects in mainland China either individually or jointly with other investors; and (iv) making investment through other means provided by laws, administrative regulations, or State Council provisions.</w:t>
      </w:r>
    </w:p>
    <w:p>
      <w:pPr>
        <w:spacing w:after="0" w:line="8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FIL stipulates that China implements the management system of pre-establishment national treatment plus a negative list to foreign investment and the government generally will not expropriate foreign investment, except under special circumstances, in which case it will provide fair and reasonable compensation to foreign investors. Foreign investors are barred from investing in prohibited industries on the negative list and must comply with the specified requirements when investing in restricted industries on that list. When a license is required to enter a certain industry, the foreign investor must apply for one, and the government must treat the application the same as one by a domestic enterprise, except where laws or regulations provide otherwise. In addition, foreign investors or FIEs are required to file information reports and foreign investment shall be subject to the national security review.</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December 26, 2019, the Supreme People’s Court of the PRC promulgated the Interpretation of the Supreme People’s Court on Several Issues Concerning the Application of the Foreign Investment Law of the PRC, effective as of January 1, 2020, pursuant to which “investment contracts” shall mean the relevant agreements formed as a result of direct or indirect investments in the PRC by foreign investors, i.e. foreign natural persons, foreign enterprises or other foreign organizations, including contracts for establishment of foreign investment enterprises, share transfer contracts, equity transfer contracts, contracts for transfer of property or other similar interests, contracts for newly-built projects, etc. Where a party concerned claims that an investment contract is invalid for investing in prohibited industries as stipulated in the Negative List for foreign investment access or due to violation of specified administrative measures in restricted industries, the People’s Court shall support such claim.</w:t>
      </w:r>
    </w:p>
    <w:p>
      <w:pPr>
        <w:spacing w:after="0" w:line="8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December 26, 2019, the State Council published the Implementation Rules of Foreign Investment Law, which came into effect on January 1, 2020. The Implementation Rules of Foreign Investment Law restates certain principles of the FIL and further provides, among others, (i) an FIE’s investment within the territory of PRC is also subject to the FIL and the Implementation Rules of Foreign Investment Law; (ii) an FIE may, within five years following January 1, 2020, choose to amend its legal form or the corporate governance and complete amendment registration, or to keep its original legal form or the corporate governance; (iii) the provisions regarding the transfer of equity interests, distribution of profits and remaining assets as stipulated in the contracts among the joint venture parties of an existing FIE may survive the FIL after such FIE amends its legal form or the corporate governance in accordance with relevant applicable laws.</w:t>
      </w:r>
    </w:p>
    <w:p>
      <w:pPr>
        <w:spacing w:after="0" w:line="8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December 19, 2020, the NDRC and the MOFCOM jointly promulgated the Measures on the Security Review of Foreign Investment, effective on January 18, 2021, which sets forth provisions concerning the security review mechanism on foreign investment, including the types of investments subject to review, review scopes and procedures, among others. The Office of the Working Mechanism of the Security Review of Foreign Investment, or the Office of the Working Mechanism will be established under the NDRC, who will carry out routine work of security review on foreign investment. Foreign investor or relevant parties in China must declare the security review to the Office of the Working Mechanism prior to (i) the investments in the military industry, military industrial supporting and other fields relating to the security of national defense, and investments in areas surrounding military facilities and military industry facilities; and (ii)</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0" w:name="page71"/>
    <w:bookmarkEnd w:id="70"/>
    <w:p>
      <w:pPr>
        <w:jc w:val="both"/>
        <w:spacing w:after="0" w:line="256" w:lineRule="auto"/>
        <w:rPr>
          <w:sz w:val="20"/>
          <w:szCs w:val="20"/>
          <w:color w:val="auto"/>
        </w:rPr>
      </w:pPr>
      <w:r>
        <w:rPr>
          <w:rFonts w:ascii="Times New Roman" w:cs="Times New Roman" w:eastAsia="Times New Roman" w:hAnsi="Times New Roman"/>
          <w:sz w:val="18"/>
          <w:szCs w:val="18"/>
          <w:color w:val="auto"/>
        </w:rPr>
        <w:t>investments in important agricultural products, important energy and resources, important equipment manufacturing, important infrastructure, important transport services, important cultural products and services, important information technology and internet products and services, important financial services, key technologies and other important fields relating to national security, and obtain control in the target enterprise. Control exists when the foreign investor (i) holds over 50% equity interests in the target, (ii) has voting rights that can materially impact on the resolutions of the board of directors or shareholders meeting of the target even when it holds less than 50% equity interests in the target, or (iii) has material impact on target’s business decisions, human resources, accounting and technology, etc.</w:t>
      </w:r>
    </w:p>
    <w:p>
      <w:pPr>
        <w:spacing w:after="0" w:line="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December 30, 2019, MOFCOM and the SAMR, jointly issued the Measures for Reporting of Foreign Investment Information, which came into effect on January 1, 2020. Since January 1, 2020, for foreign investors carrying out investment activities directly or indirectly in the PRC, foreign investors or foreign-invested enterprises shall submit investment information through certain system operated by SAMR. Foreign investors or foreign-invested enterprises shall disclose their investment information by submitting reports for their establishments, modifications and cancellations and their annual reports. If a foreign-invested enterprise investing in the PRC has finished submitting its reports for its establishment, modifications and cancellation and its annual reports, the relevant information will be shared by the competent market regulation department to the competent commercial department, and does not require such foreign-invested enterprise to submit the reports separately.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M&amp;A Regulations and Overseas Listings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MOFCOM, the State Assets Supervision and Administration Commission, the SAT, the SAMR, the CSRC and SAFE jointly adopted the M&amp;A Rules. The M&amp;A Rules establish procedures and requirements that could make some acquisitions of PRC companies by foreign investors more time-consuming and complex, including requirements in some instances that the MOFCOM be notified in advance of any change-of-control transaction in which a foreign investor takes control of a PRC domestic enterprise where any of the following situations exist: (i) the transaction involves an important industry in China, (ii) the transaction may affect national “economic security,” or (iii) the PRC domestic enterprise has a well-known trademark or historical Chinese trade name in China. Complying with the requirements of the M&amp;A Rules to complete acquisitions of PRC companies by foreign investors could be time-consuming, and any required approval processes, including obtaining approval from the MOFCOM, may delay or inhibit the ability to complete such transactions.</w:t>
      </w:r>
    </w:p>
    <w:p>
      <w:pPr>
        <w:spacing w:after="0" w:line="8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July 6, 2021, General Office of the State Council of the PRC together with another authority jointly promulgated the Opinions on Strictly Cracking Down on Illegal Securities Activities, or the Securities Activities Opinions, which called for the enhanced administration and supervision of overseas-listed China-based companies, proposed to revise the relevant regulation governing the overseas issuance and listing of shares by such companies and clarified the responsibilities of competent domestic industry regulators and government authorities.</w:t>
      </w:r>
    </w:p>
    <w:p>
      <w:pPr>
        <w:spacing w:after="0" w:line="72"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On February 17, 2023, with the approval of the State Council, the CSRC released the Trial Administrative Measures of Overseas Securities Offering and Listing by Domestic Companies, or the Overseas Listing Trial Measures, and five supporting guidelines, effective on March 31, 2023. According to the Overseas Listing Trial Measures, (1) domestic companies that seek to offer or list securities overseas, either in direct or indirect means, are required to report and file required documents with the CSRC; domestic companies that have been listed on a foreign stock exchange prior to the effective date of the Overseas Listing Trial Measures are required to file with the CSRC within three working days of the completion of fund raising activities on the same overseas capital market and shall make required filing immediately after submitting application for their listing or offering securities in other overseas capital markets;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w:t>
      </w:r>
    </w:p>
    <w:p>
      <w:pPr>
        <w:spacing w:after="0" w:line="6" w:lineRule="exact"/>
        <w:rPr>
          <w:sz w:val="20"/>
          <w:szCs w:val="20"/>
          <w:color w:val="auto"/>
        </w:rPr>
      </w:pPr>
    </w:p>
    <w:p>
      <w:pPr>
        <w:jc w:val="both"/>
        <w:ind w:firstLine="8"/>
        <w:spacing w:after="0" w:line="251"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meets both of the following conditions, the overseas offering and listing shall be determined as an indirect overseas offering and listing by a domestic company: (i) any of the revenue, net profit, total assets or net assets of the domestic companies of the issuer in the most recent accounting year accounts for more than 50% of the corresponding figure in the issuer’s audited consolidated financial statements for the same period; (ii) its major operational activities are carried out in China or its main places of business are located in China, or the senior managers in charge of operation and management of the issuer are mostly Chinese citizens or are domiciled in China; (3) where a domestic company seeks to indirectly offer and list securities in an overseas market, the issuer shall designate a major domestic operating entity responsible for all filing procedures with the CSRC, and where an issuer makes an application for initial public offering and listing in an overseas market, the issuer shall submit filings with the CSRC within three business days after such application is submitted.</w:t>
      </w:r>
    </w:p>
    <w:p>
      <w:pPr>
        <w:spacing w:after="0" w:line="8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the same day, the CSRC also held a press conference for the release of the Overseas Listing Trial Measures and issued the Notice on Administration for the Filing of Overseas Offering and Listing by Domestic Companies, which, among others, clarifies that (1) domestic companies that have been listed on a foreign stock exchange prior to the effective date of the Overseas Listing Trial Measures are not required to go through the filing procedure immediately but may be required to go through the filing procedure if future fund raising activities are involved; (2) a six-month transition period will be granted to domestic companies which, prior to the effective date of the Overseas Listing Trial Measures, have already obtained the approval from overseas regulatory authorities or stock exchanges (such as the completion of hearing in the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spacing w:after="0" w:line="261" w:lineRule="auto"/>
        <w:rPr>
          <w:sz w:val="20"/>
          <w:szCs w:val="20"/>
          <w:color w:val="auto"/>
        </w:rPr>
      </w:pPr>
      <w:r>
        <w:rPr>
          <w:rFonts w:ascii="Times New Roman" w:cs="Times New Roman" w:eastAsia="Times New Roman" w:hAnsi="Times New Roman"/>
          <w:sz w:val="18"/>
          <w:szCs w:val="18"/>
          <w:color w:val="auto"/>
        </w:rPr>
        <w:t>market of Hong Kong or the completion of registration in the market of the United States), but have not completed the indirect overseas listing; if domestic companies fail to complete the overseas listing within such six-month transition period, they shall file with the CSRC according to the requirements; and</w:t>
      </w:r>
    </w:p>
    <w:p>
      <w:pPr>
        <w:jc w:val="both"/>
        <w:ind w:firstLine="8"/>
        <w:spacing w:after="0" w:line="255" w:lineRule="auto"/>
        <w:tabs>
          <w:tab w:leader="none" w:pos="2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CSRC will solicit opinions from relevant regulatory authorities and complete the filing of the overseas listing of companies with contractual arrangements which duly meet the compliance requirements, and support the development and growth of these companies by enabling them to utilize two markets and two kinds of resources.</w:t>
      </w:r>
    </w:p>
    <w:p>
      <w:pPr>
        <w:spacing w:after="0" w:line="7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February 24, 2023, the CSRC jointly with other government authorities issued the Provisions on Strengthening Confidentiality and Archives Administration of Overseas Securities Offering and Listing by Domestic Companies, or the Overseas Listing Archives Rules, effective on March 31, 2023, as a supporting rule to the Overseas Listing Trial Measures. Pursuant to the Overseas Listing Archives Rules, domestic companies that seek to offer or list securities overseas directly or indirectly, and securities companies and securities related service providers providing services to such domestic companies shall establish confidentiality and archives administration system, adopt requisite measures to perform the responsibilities of confidentiality and archives administration, and shall not divulge state secrets and state agencies’ work secrets, or harm state and public interests. The Overseas Listing Archives Rules provide, among others, that before providing or disclosing any document or material which involve state secrets or state agencies’ work secrets, domestic companies shall apply to the competent government authorities for approval and file with the secrecy administration authorities for record.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Relating to Value-added Telecommunications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 for Value-Added Telecommunications Services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PRC Regulations on Telecommunications, or the Telecommunications Regulations, which was latest amended and came into effect on February 6, 2016, regulate telecommunications activities in China. The Telecommunications Regulations divide the telecommunications services into two categories, namely “infrastructure telecommunications services” and “value-added telecommunications services.” Pursuant to the Telecommunications Regulations, operators of value-added telecommunications services must first obtain a Value-added Telecommunications Business Operating License, or VAT License, from the Ministry of Industry and Information Technology, or MIIT, or its provincial level counterparts. On July 3, 2017, the MIIT promulgated the Administrative Measures on Telecommunications Business Operating Licenses, which set forth more specific provisions regarding the types of licenses required to operate value-added telecommunications services, the qualifications and procedures for obtaining such licenses and the administration and supervision of such licenses.</w:t>
      </w:r>
    </w:p>
    <w:p>
      <w:pPr>
        <w:spacing w:after="0" w:line="8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According to the Catalog of Classification of Telecommunication Businesses, or the 2016 MIIT Catalog, which published by MIIT on December 28, 2015 and took effect on March 1, 2016 and were amended on June 6, 2019, internet information services, which include information release and delivery services, information search and query services, information community platform services, information real-times interactive services, and information protection and processing services, are classified as a category of value-added telecommunication services. The Administrative Measures on Internet Information Services, or ICP Measures, also promulgated by the PRC State Council on September 25, 2000 and most recently amended on December 6, 2024, set forth more specific rules on the provision of ICP services. According to ICP Measures, any company that engages in the provision of commercial ICP services shall obtain a sub-category VAT License for Internet Information Services, or ICP License, from the relevant government authorities before providing any commercial internet content services within the PRC, and when the ICP services involve areas of news, publication, and education, and if required by law or relevant regulations, specific approval from the respective regulatory authorities must be obtained prior to applying for the ICP License from the MIIT or its provincial level counterpart. Pursuant to the above-mentioned regulations, “commercial ICP services” generally refers to provision of specific information content, web page construction and other services through internet for profit making purpose. Operating the Group’s online platform to provide information and services to students may be classified as commercial ICP services.</w:t>
      </w:r>
    </w:p>
    <w:p>
      <w:pPr>
        <w:spacing w:after="0" w:line="8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to the Telecommunications Regulations and the other regulations set forth above, the provision of commercial internet information services on mobile internet apps is regulated by the Administrative Provisions on Mobile Internet Applications Information Services, which was promulgated by the Cyberspace Administration of China, or the CAC, on June 14, 2022 and came into effect on August 1, 2022. The providers of mobile internet applications are subject to requirements under these provisions, including acquiring the qualifications and complying with other requirements provided by laws and regulations and being responsible for information security. The Group currently, through subsidiaries of the VIEs, holds ICP Licenses.</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July 21, 2023, the MIIT issued a Notice on the Filing of Mobile Internet Apps, according to which, app operators shall complete the filing procedure with the provincial communications administration where it is domiciled through the “National Management System for the Basic Internet Resources”. Any failure of such filing shall cause app operators prohibited from engaging in relevant apps internet information services. Network access service providers, distribution platforms and smart terminal manufacturers shall not provide network access, distribution, pre-installation and other services for apps that have not completed the filing procedures. A transition period from September 2023 to March 2024 will be granted to the apps that have carried out business before the promulgation of this Notice, or the Existing Apps,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within which Existing Apps shall conduct and complete the apps filling.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Investment in Value-Added Telecommunication Services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Regulations on Administration of Foreign-Invested Telecommunications Enterprises, or the FITE Regulations, which took effect on January 1, 2002 and latest amended on March 29, 2022, are the key regulations that regulate foreign direct investment in telecommunications companies in China. The FITE Regulations stipulate that, except as otherwise provided by relevant laws and regulations, the foreign investor of a telecommunications enterprise is prohibited from holding more than 50% of the equity interest in a foreign-invested enterprise that provides value-added telecommunications services.</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After the MOFCOM and NDRC amended the Catalog in March 2015, MIIT also issued the Circular on Removing the Restrictions on Shareholding Ratio Held by Foreign Investors in Online Data Processing and Transaction Processing (Operating E-commerce) Business on June 19, 2015, which amended the relevant provision in FITE Regulations by allowing foreign investors to own more than 50% of the equity interest in an operator of e-commerce business. However, foreign investors continue to be prohibited from holding more than 50% of the equity interest in a provider of other categories of value-added telecommunications services except for e-commerce, domestic multi-party communication, store-and-forward, and call center.</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April 8, 2024, the MIIT issued the Circular on Pilot Work of Expanding the Opening Up of Value-Added Telecommunications Services, pursuant to which, the foreign ownership limits on several services, including (i)Internet Data Center, (ii)Content Delivery Networks, (iii)Internet Access Services, (iv)online data processing and transaction, (v) information publishing platform and delivery services (except Internet news and information, online publishing, online audio-visual, Internet culture business), and (vi) information protection and processing services in designated pilot areas, are eliminated. However, this Circular are newly promulgated, there are substantial uncertainties as to its interpretation, application and enforcement.</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To comply with the above-mentioned foreign ownership restrictions, the Group operates its online platform in China through the VIEs and their subsidiaries, all of the shareholders of the VIEs are PRC domestically funded entities, and the VIEs are controlled by Wuhan Zhibo, our PRC subsidiary, through a series of contractual arrangements. The VIEs hold the domain names, trademarks and facilities necessary for daily operations of the Group’s online platforms in compliance with the MIIT Circular 2006. Based on our PRC legal counsel’s understanding of the current PRC law, rules and regulations, the contractual arrangements among Wuhan Zhibo, the VIEs and the VIEs’ shareholders and subsidiaries are valid, binding and enforceable under PRC laws and regulations currently in effect. However, we were further advised by our PRC legal counsel that there are uncertainties with respect to the interpretation and application of existing or future PRC laws and regulations and thus there is no assurance that Chinese governmental authorities would take a view consistent with the opinions of our PRC legal counsel.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Relating to Private Education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Education Law of the PRC</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March 18, 1995, the PRC National People’s Congress promulgated the Education Law of the PRC, or the Education Law, which was further amended on August 27, 2009, on December 29, 2018 and on April 29, 2021, stipulates that the government formulates plans for the development of education, establishes and operates schools and other types of educational institutions, and in principle, enterprises, institutions, social organizations and individuals are encouraged to operate schools and other types of educational organizations. Comparing to the version of Education Laws that was amended and came into effect on 2009, which provided that no organization or individual may establish or operate a school or any other educational institution for commercial purposes, the current Education Law narrowed the provision prohibiting the establishment or operation of schools or other educational institutions for commercial purposes to only restricting a school or other educational institution founded with governmental funds or donated assets in the amended Education Law.</w:t>
      </w:r>
    </w:p>
    <w:p>
      <w:pPr>
        <w:spacing w:after="0" w:line="8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April 20, 2022, Standing Committee of the National People’s Congress, or the SCNPC, adopted the amended Vocational Education Law of the PRC, or the Amended Vocational Education Law, which became effective on May 1, 2022 and replace the previous Vocational Education Law of the PRC adopted in 1996. The Amended Vocational Education Law specifies that the vocational education is as important as regular education and that the state encourages the development of various levels and forms of vocational education, the extensive and equal participation of social forces in vocational education and the international communication and the cooperation in vocational education, and strives to improve vocational education recognition. The Amended Vocational Education Law also provides the establishment and improvement of the vocational education system, deepening cooperation between enterprises and schools, and the improvement of the vocational education guarantee system and measures.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The Law for Promoting Private Education and its Implementing Rules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Law for Promoting Private Education of the PRC became effective on September 1, 2003 and was last amended on December 29, 2018, and the Implementation Rules for the Law for Promoting Private Education became effective on April 1, 2004.</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Decision of the Standing Committee of the National People’s Congress on Amending the Law for Promoting Private Education of the PRC, or the Amendment, has been promulgated by Order No. 55 of the President of the PRC on November 7, 2016 and came into force on September 1, 2017.</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Under the Amendment, sponsors of private schools may choose to establish non-profit or for-profit private schools at their own discretion. Nonetheless, school sponsors are not allowed to establish for-profit private schools that are engaged in compulsory education. In other words, the schools engaged in compulsory education should retain their non-profit status after the Amendment comes into force. The Amendment further establishes a new classification system for private schools to be classified by whether they are established and operated for profit-making purposes.</w:t>
      </w:r>
    </w:p>
    <w:p>
      <w:pPr>
        <w:spacing w:after="0" w:line="72"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On April 7, 2021, the State Council published the amendment to the Regulations on the Implementation of the Law for Promoting Private Education of the PRC, or Amended Implementing Rules, which became effective on September 1, 2021. The Amended Implementing Rules stipulates that online education activities using internet technology are encouraged by the regulatory authorities and shall comply with laws and regulations related to internet management. A private school using internet technology to conduct education activities shall obtain an appropriate private school operating permit and shall establish and implement internet security management systems and take technical security measures. Upon discovery of any information whose release or transmission is prohibited by applicable laws or regulations, the private school shall immediately cease the transmission of that information and take further remedial actions, such as deleting that information, to prevent it from spreading. Records pertaining to the situation shall be kept and reported to the appropriate authorities. The Amended Implementing Rules further stipulates that any entities or individuals shall not control any schools providing compulsory education or any non-profit schools providing pre-school education through merger, acquisition or contractual arrangements. A private school providing compulsory education shall not conduct any transaction with any related party. Any other private school conducting any transaction with any related party shall follow the principles of openness, fairness and impartiality, fix the price reasonably and regulate the decision-making, and shall not damage the state interests, the interests of the school or the rights and interests of the teachers and students. A private school shall establish an information disclosure system for related party transactions and relevant government authorities shall enhance the supervision on the agreements entered into between non-profit private schools and its related party and shall review such transactions on an annual basis.</w:t>
      </w:r>
    </w:p>
    <w:p>
      <w:pPr>
        <w:spacing w:after="0" w:line="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December 29, 2016, the State Council issued the Several Opinions of the State Council on Encouraging the Operation of Education by Social Forces and Promoting the Healthy Development of Private Education, or the State Council Opinions, which requires to ease the access to the operation of private schools and encourages social forces to enter the education industry. The State Council Opinions also provides that each level of the people’s governments shall increase their support to the private schools in terms of financial investment, financial support, autonomy policies, preferential tax treatments, land policies, fee policies, autonomy operation, protecting the rights of teachers and students etc. Further, the State Council Opinions require each level of the people’s governments to improve its local policies on government support to for-profit and non-profit private schools by ways of preferential tax treatments etc. In addition, under the State Council Opinions, private schools shall strengthen its construction of the Chinese Communist Party, or the CCP, and further the theoretical system of Socialism with Chinese Characteristics by introducing such system into textbooks and teaching programs. The construction of the CCP’s organizations by the private schools as well as the CCP’s leadership to private schools shall constitute an important part of such schools’ annual inspection.</w:t>
      </w:r>
    </w:p>
    <w:p>
      <w:pPr>
        <w:spacing w:after="0" w:line="8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December 30, 2016, the MOE, Ministry of Civil Affairs, State Administration for Industry and Commerce (the predecessor of the State Administration for Market Regulation), the Ministry of Human Resources and Social Welfare and the State Commission Office of Public Sectors Reform jointly issued the Implementation Rules on the Classification Registration of Private Schools to reflect the new classification system for private schools as set out in the Amendment. Generally, if a private school established before promulgation of the Amendment chooses to register as a non-profit school, it shall amend its articles of association, continue its operation and complete the new registration process. If such private school chooses to register as a for-profit school, it shall conduct financial liquidation process, have the property rights of its assets such as lands, school buildings and net balance being authenticated by relevant government authorities, pay up relevant taxes, apply for a new private school operating permit, re-register as for-profit school and continue its operation. Specific provisions regarding the above registrations are yet to be introduced by people’s governments at the provincial level.</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December 30, 2016, the MOE, State Administration for Industry and Commerce and the Ministry of Human Resources and Social Welfare jointly issued the Implementation Rules on the Supervision and Administration of For-profit Private Schools, pursuant to which the establishment, division, merger and other material changes of a for-profit private school shall first be approved by the education authorities or the authorities in charge of labor and social welfare, and then be registered with the competent branch of State Administration for Industry and Commerce. In addition, it also provides that for-profit private training institutes shall be analogically governed by these Implementation Rules on the Supervision</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and Administration of For-profit Private Schools.</w:t>
      </w:r>
    </w:p>
    <w:p>
      <w:pPr>
        <w:spacing w:after="0" w:line="11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July 24, 2021, the General Office of State Council and the General Office of Central Committee of the Communist Party of China jointly promulgated the Opinions on Further Alleviating the Burden of Homework and After-School Tutoring for Students in Compulsory Education, or the Alleviating Burden Opinion, which mainly aims to alleviate the burden of excessive homework and the burden of after-school training on students in the compulsory education stage and sets out a series of operating requirements on after-school tutoring institutions.</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Uncertainties exist with respect to the interpretation and application of the existing and future laws and regulations governing online private education industry, as well as how the local government would promulgate implementing rules relating to the specific requirements applicable to online education service providers like the Group. See “Item 3. Key Information—3.D. Risk Factors—Risks Related to the Group’s Business—The Group faces risks associated with the lack of a private school operating permit for online education services as well as uncertainties surrounding PRC laws and regulations governing the education industry in general, including the Law for Promoting Private Education and its Implementation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Online and Distance Education</w:t>
      </w:r>
    </w:p>
    <w:p>
      <w:pPr>
        <w:spacing w:after="0" w:line="12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MOE, jointly with certain other PRC government authorities, promulgated the Opinions on Guiding and Regulating the Orderly and Healthy Development of Educational Mobile Apps on August 10, 2019, or the Opinions on Educational Apps, which requires, among others, mobile apps that provide services for school teaching and management, student learning and student life, or home-school interactions, with school faculty, students or parents as the main users, and with education or learning as the main application scenarios, or the Educational Apps, be filed with competent provincial regulatory authorities for education before the end of 2019. The Opinions on Educational Apps also requires, among others, that before filing, the Educational App’s provider obtain the ICP License or complete the ICP filing and obtain the certificate and the grade evaluation report for graded protection of cybersecurity. On November 11, 2019, MOE issued the Administrative Measures on Filing of Educational Mobile Apps, which requires, among others, that educational mobile app providers shall file their educational mobile apps and that filings of existing educational mobile apps shall be completed before January 31, 2020. If the filing requirements are violated and not rectified in a timely manner, the MOE or its local counterparts may revoke the filing of such educational mobile app, blacklist such provider, report such provider to the education system, and prohibit such provider from submitting any filings for six months. The MOE established a public channel that can be used to submit complaints with respect to educational apps and set a penalty points system based on the severity of the complaints. For serious complaints substantiated by relevant government authorities, an appropriate number of penalty points is recorded for the relevant educational app provider, and remedial measures also may be required. In the event that an educational app provider receives 12 or more penalty points within 12 months or certain types of serious complaints, the MOE may revoke such provider’s filing, blacklist such provider, remove its educational app from the app store, publicize the complaint or prohibit such provider from submitting any filings for six months. Complaints can be made against both educational app providers and users regarding a variety of matters including failure to file or obtain relevant permits; illegal or inappropriate information; inappropriate collection and use of personal information; and violation of relevant requirements for primary and secondary schools and online after-school training programs.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Internet Culture Activities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February 17, 2011, the Ministry of Culture, or MOC, promulgated the Interim Administrative Provisions on Internet Culture, or the Internet Culture Provisions, which became effective on April 1, 2011 and was further amended on December 15, 2017. The Internet Culture Provisions require ICP services providers engaging in commercial “internet culture activities” to obtain an Internet Culture Business Operating License from the MOC. “Internet cultural activities” is defined in the Internet Culture Provisions as an act of provision of internet cultural products and related services, which includes (i) the production, duplication, importation, and broadcasting of the internet cultural products; (ii) the online dissemination whereby cultural products are posted on the internet or transmitted via the internet to end-users, such as computers, fixed-line telephones, mobile phones, television sets and games machines, for online users’ browsing, use or downloading; and (iii) the exhibition and comparison of the internet cultural products. In addition, “internet cultural products” is defined in the Internet Culture Provisions as cultural products produced, broadcast and disseminated via the Internet, which mainly include internet cultural products specially produced for the Internet, such as online music entertainment, online games, online shows and plays (programs), online performances, online works of art and online cartoons, and internet cultural products produced from cultural products such as music entertainment, games, shows and plays (programs), performances, works of art, and cartoons through certain techniques and duplicating those to internet for dissemination.</w:t>
      </w:r>
    </w:p>
    <w:p>
      <w:pPr>
        <w:spacing w:after="0" w:line="8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May 14, 2019, the General Office of MOC promulgated the Notice on Adjusting the Scope of Internet Culture Business Operating License and Further Standardize the Approval Work, which provides that online music, online shows and plays, online performances, online works of art, online cartoons, displays and games are the activities that fall in the scope of internet culture business operating license, and further clarifies that educational live streaming activities are not deemed as online performances. Nevertheless, it remains unclear whether the local PRC government authorities would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jc w:val="both"/>
        <w:spacing w:after="0" w:line="282" w:lineRule="auto"/>
        <w:rPr>
          <w:sz w:val="20"/>
          <w:szCs w:val="20"/>
          <w:color w:val="auto"/>
        </w:rPr>
      </w:pPr>
      <w:r>
        <w:rPr>
          <w:rFonts w:ascii="Times New Roman" w:cs="Times New Roman" w:eastAsia="Times New Roman" w:hAnsi="Times New Roman"/>
          <w:sz w:val="18"/>
          <w:szCs w:val="18"/>
          <w:color w:val="auto"/>
        </w:rPr>
        <w:t>adopt a different practice. In addition, it remains uncertain whether the PRC government authorities would issue more explicit interpretation and rules or promulgate new laws and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Online Publishing</w:t>
      </w:r>
    </w:p>
    <w:p>
      <w:pPr>
        <w:spacing w:after="0" w:line="12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On February 4, 2016, the SAPPRFT (currently reformed into the State Administration of Press and Publication (National Copyright Bureau) under the Propaganda Department of the Central Committee of the Communist Party of China) and the MIIT jointly issued the Administrative Provisions on Online Publishing Services, or the Online Publishing Provisions, which came into effect as of March 10, 2016. According to the Online Publishing Provisions, all online publishing services provided within the territory of China are subject to the Online Publishing Provisions, and an Internet Publishing License shall be obtained to provide online publishing services. Pursuant to the Online Publishing Provisions, “online publishing services” refer to providing online publications to the public through information networks; and “online publications” refer to digital works with publishing features such as having been edited, produced or processed and are made available to the public through information networks, including: (i) written works, pictures, maps, games, cartoons, audio/video reading materials and other original digital works containing useful knowledge or ideas in the field of literature, art, science or other fields; (ii) digital works of which the content is identical to that of any published book, newspaper, periodical, audio/video product, electronic publication or the like; (iii) network literature databases or other digital works, derived from any of the aforesaid works by selection, arrangement, collection or other means; and (iv) other types of digital works as may be determined by the SAPPRFT. As the scope of online publication is broad, certain contents the Group posts on its website, such as video-audio clips and course materials, may be deemed as online publications. Nevertheless, it remains unclear whether the local PRC government authorities would adopt a different practice. In addition, it remains uncertain whether the PRC government authorities would issue more explicit interpretation and rules or promulgate new laws and regulations.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Television Program Industry</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Television program productions and distribution businesses are mainly regulated by Regulations on Administration of Radio and Television, which came into effect on August 11, 1997 and was last amended on December 6, 2024, and the Administrative Regulations on Production and Operation of Radio and Television Program which came into effect on August 20, 2004 and was last amended on June 3, 2025. Pursuant to these regulations, television programs can only be produced by television stations at the municipal level or above or entities with a License for the Production and Operation of Radio and Television Program. Any entity producing and operating radio and television program without the License for the Production and Operation of Radio and Television Program will be subject to the confiscation of tools, equipment of producing radio and television program and a fine of more than 10 thousand RMB and less than 50 thousand RMB by competent local branch of SAPPRFT.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Publication Distribution</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Under the Administrative Measures for the Publication Market, or Publication Market Measures, which was jointly promulgated by the SAPPRFT and the MOFCOM on May 31, 2016 and became effective on June 1, 2016, any enterprise or individual who engages in publication distribution activities shall obtain permission from SAPPRFT or its local counterpart. “Publication” is defined as “books, newspapers, periodicals, audio-visual products, and electronic publications,” and “distributing” is defined as “general distribution, wholesale, retail, rental, exhibition and other activities,” respectively, in the Publication Market Measures. Any enterprise or individual that engages in retail of publications shall obtain a Publication Business Operating License issued by the local counterpart of SAPPRFT at the county level. In addition, any enterprise or individual that holds a Publication Business Operating License shall file with the relevant local counterpart of SAPPRFT that granted such license to it within 15 days since it begins to carry out any online publication distribution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Online Transmission of Audio-Visual Programs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Measures for the Administration of Publication of Audio-Visual Programs through Internet or Other Information Network, or the Audio-Visual Measures, promulgated by the SAPPRFT, on July 6, 2004 and put into effect on October 11, 2004, apply to the activities relating to the opening, broadcasting, integration, transmission or download of audio-visual programs using internet or other information network. Under the Audio-Visual Measures, to engage in the business of transmitting audio-visual programs, a license issued by SAPPRFT is required, and “audio-visual programs (including audio-visual products of films and televisions)” is defined as the audio-visual programs consisting of movable pictures or sounds that can be listened to continuously, which are shot and recorded using video cameras, vidicons, recorders and other audio-visual equipment for producing programs. Foreign invested enterprises are not allowed to carry out such business. On April 13, 2005, the State Council promulgated the Certain Decisions on the Entry of the Non-state-owned Capital into the Cultural Industry. On July 6, 2005, five PRC governmental authorities, including the SAPPRFT, jointly adopted the Several Opinions on Canvassing Foreign Investment into the Cultural Sector. According to these regulations, non-state-owned capital and foreign investors are not allowed to engage in the business of transmitting audio-visual programs through</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networks. However, the Audio-Visual Measures was repealed according to the Administrative Provisions on Audio-Visual Program Service through Special Network and Directed Transmission that was promulgated by the SAPPRFT on May 4, 2016, effective as of June 1, 2016 and last amended on March 23, 2021.</w:t>
      </w:r>
    </w:p>
    <w:p>
      <w:pPr>
        <w:spacing w:after="0" w:line="6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SAPPRFT and the MIIT jointly promulgated the Administrative Provisions on Internet Audio-Visual Program Service, or the Audio-Visual Program Provisions, on December 20, 2007, which came into effect on January 31, 2008 and was latest amended on August 28, 2015. Under the Audio-Visual Program Provisions, “internet audio-visual program services” is defined as activities of producing, redacting and integrating audio-visual programs, providing them to the general public via internet, and providing service for other people to upload and transmit audio-visual programs, and providers of internet audio-visual program services are required to obtain a License for Online Transmission of Audio-Visual Programs issued by SAPPRFT, or complete certain registration procedures with SAPPRFT. Providers of internet audio-visual program services must be either state-owned or state-controlled entities, and the business to be carried out by such providers must satisfy the overall planning and guidance catalog for internet audio-visual program service determined by SAPPRFT.</w:t>
      </w:r>
    </w:p>
    <w:p>
      <w:pPr>
        <w:spacing w:after="0" w:line="8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March 17, 2010, SAPPRFT promulgated the Provisional Implementation of the Tentative Categories of Internet Audio-Visual Program Services, or the Categories, which clarified the scope of Internet audio-visual programs services, which was amended on March 10, 2017. According to the Categories, there are four categories of Internet audio-visual program services which are further divided into seventeen sub-categories. The third sub-category to the second category covers the making and editing of certain specialized audio-visual programs concerning, among other things, educational content, and broadcasting such content to the general public online. However, there are still significant uncertainties relating to the interpretation and implementation of the Audio-Visual Program Provisions, in particular, the scope of “internet audio-visual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Internet Live Streaming Services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November 4, 2016, the CAC issued Administrative Regulation on Internet Live Streaming Services, effective from December 1, 2016, according to which, “internet live streaming” refers to the activities of continuously releasing real-time information to the public based on the Internet in forms such as videos, audios, images and texts, and “internet live-streaming service providers” refers to the operators that provide Internet live-streaming platform service. In addition, the internet live-streaming service providers shall take various measures during operation of its services, such as examining and verifying the authenticity of the identification information and file such information for records.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July 12, 2017, the CAC issued a Notice on Development of the Filing Work for Enterprises Providing Internet Live Streaming Services, which provides that all the companies providing internet live streaming services shall file with the local authority since July 15, 2017, otherwise the CAC or its local counterparts may impose administrative sanctions on such companies.</w:t>
      </w:r>
    </w:p>
    <w:p>
      <w:pPr>
        <w:spacing w:after="0" w:line="68"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Pursuant to the Circular on Tightening the Administration of Internet Live Streaming Services jointly issued by the MIIT, the Ministry of Culture and Tourism and several other government agencies on August 1, 2018, live streaming services providers are required to file with the local public security authority within 30 days after it commences the service online.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Tourism</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Tourism Law of the PRC, which was promulgated by the Standing Committee of the NPC and most recently amended on October 26, 2018, provides that, among other things, to engage in the businesses of tourism, a travel agency shall obtain approval from the tourism authorities, and the specific conditions shall be met. Regulations on Travel Agencies promulgated by the State Council, revised on November 29, 2020, and the implementation rules of Regulations on Travel Agencies, provide that, among other things, travel agent shall mean any entity that engages in the business of attracting, organizing, and receiving tourists, providing tourism services for tourists and operating domestic, outbound or border tourism; the aforementioned business shall include but not limit to arranging for transport services, arranging for accommodation services, providing services for tour guides or team leaders, providing services of tourism consultation and tourism activities design.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Internet Information Security and Privacy Protection</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PRC Constitution states that PRC law protects the freedom and privacy of communications of citizens and prohibits infringement of these rights. In recent years, PRC government authorities have enacted laws and regulations on internet use to protect personal information from any unauthorized disclosure. Pursuant to the Decision on Strengthening the Protection of Online Information issued by the Standing Committee of the National People’s Congress on December 28, 2012 and the Order for the Protection of Telecommunication and Internet User Personal Information issued by the MIIT in July 16, 2013, any collection and use of user personal information must be subject to the consent of the user, abide by the principles of legality, rationality and necessity and be within the specified purposes, methods and scopes. Pursuant to the Ninth Amendment to the Criminal Law issued by the Standing Committee of the National People’s Congress in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jc w:val="both"/>
        <w:spacing w:after="0" w:line="252" w:lineRule="auto"/>
        <w:rPr>
          <w:sz w:val="20"/>
          <w:szCs w:val="20"/>
          <w:color w:val="auto"/>
        </w:rPr>
      </w:pPr>
      <w:r>
        <w:rPr>
          <w:rFonts w:ascii="Times New Roman" w:cs="Times New Roman" w:eastAsia="Times New Roman" w:hAnsi="Times New Roman"/>
          <w:sz w:val="18"/>
          <w:szCs w:val="18"/>
          <w:color w:val="auto"/>
        </w:rPr>
        <w:t>August 2015, which became effective in November 2015, any internet service provider that fails to fulfill the obligations related to internet information security administration as required by applicable laws and refuses to rectify upon orders, shall be subject to criminal penalty for the result of (i) any dissemination of illegal information in large scale; (ii) any severe effect due to the leakage of the client’s information; (iii) any serious loss of criminal evidence; or (iv) other severe situation, and any individual or entity that (i) sells or provides personal information to others in a way violating the applicable law, or (ii) steals or illegally obtains any personal information, shall be subject to criminal penalty in severe situation. According to the Interpretation of the Supreme People’s Court and the Supreme People’s Procuratorate on Several Issues Concerning the Application of Law in Handling Criminal Cases of Infringing Personal Information of Citizens, if a business operator collects personal information of citizens by purchasing, accepting or exchanging, or collects personal information of citizens in the course of performing their duties and providing services in violation of relevant provisions of the State (including Law on the Protection of Consumer Rights and Interests) and meet one of the following standards, such operator shall be considered breaching criminal law and such operator and its responsible personnel shall undertake the criminal liabilities: (i) illegal acquisition, sale or provision of more than 50 pieces of track information, communication content, credit information, property information; (ii) illegal acquisition, sale, or provision of more than 500 pieces of accommodation information, communication records, health, physiological information, trading information, and other personal information may affect the safety of personal and property; (iii) illegal acquisition, sale, or provision of more than 5000 pieces of personal information other than the information mentioned in the preceding (i) and (ii); (iv) the profits generated from using the illegally collected and acquired personal information is more than fifty thousand RMB; and (v) resale of the personal information collected in the course of performing their duties and providing service and the amount of resold personal information reaches 50% of the prescribed standard mentioned in (i) or (ii), as applicable.</w:t>
      </w:r>
    </w:p>
    <w:p>
      <w:pPr>
        <w:spacing w:after="0" w:line="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Pursuant to the PRC Cyber Security Law issued by the Standing Committee of the National People’s Congress, last amended on October 28, 2025 and effective on January 1, 2026, “personal information” refers to all kinds of information recorded by electronic or otherwise that can be used to independently identify or be combined with other information to identify individuals’ personal information including but not limited to: individuals’ names, dates of birth, ID numbers, biologically identified personal information, addresses and telephone numbers, etc. The Cyber Security Law also provides that: (i) to collect and use personal information, network operators shall follow the principles of legitimacy, rightfulness and necessity, disclose rules of data collection and use, clearly express the purposes, means and scope of collecting and using the information, and obtain the consent of the persons whose data is gathered;</w:t>
      </w:r>
    </w:p>
    <w:p>
      <w:pPr>
        <w:spacing w:after="0" w:line="5" w:lineRule="exact"/>
        <w:rPr>
          <w:sz w:val="20"/>
          <w:szCs w:val="20"/>
          <w:color w:val="auto"/>
        </w:rPr>
      </w:pPr>
    </w:p>
    <w:p>
      <w:pPr>
        <w:jc w:val="both"/>
        <w:ind w:firstLine="8"/>
        <w:spacing w:after="0" w:line="252" w:lineRule="auto"/>
        <w:tabs>
          <w:tab w:leader="none" w:pos="2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operators shall neither gather personal information unrelated to the services they provide, nor gather or use personal information in violation of the provisions of laws and administrative regulations or the scopes of consent given by the persons whose data is gathered; and shall dispose of personal information they have saved in accordance with the provisions of laws and administrative regulations and agreements reached with users; (iii) network operators shall not divulge, tamper with or damage the personal information they have collected, and shall not provide the personal information to others without the consent of the persons whose data is collected. However, if the information has been processed and cannot be recovered and thus it is impossible to match such information with specific persons, such circumstance is an exception.</w:t>
      </w:r>
    </w:p>
    <w:p>
      <w:pPr>
        <w:spacing w:after="0" w:line="8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the Office of the Central Cyberspace Affairs Commission, the MIIT, the Ministry of Public Security, and the SAMR jointly issued an Announcement of Launching Special Crackdown Against Illegal Collection and Use of Personal Information by Apps on January 23, 2019 to implement special rectification works against mobile Apps that collect and use personal information in violation of applicable laws and regulations, where business operators are prohibited from collecting personal information irrelevant to their services, or forcing users to give authorization in a disguised manner. On November 28, 2019, the National Internet Information Office, the MIIT, the Ministry of Public Security and the SAMR further jointly issued a notice to classify and identify illegal collection and use of personal information.</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According to the Civil Code of China, which became effective on January 1, 2021, a natural person has the right of privacy and the personal information of a natural person will be protected in accordance with law. Information processors may not divulge or tamper with the personal information collected or stored by them and may not illegally provide any natural person’s personal information to others without the consent of such natural person.</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Pursuant to the Notice on Promulgation of the Rules on the Scope of Necessary Personal Information for Common Types of Mobile Internet Applications, which was promulgated by the CAC, the MIIT and certain other government authorities on March 12, 2021 to be effective on May 1, 2021, “necessary personal information” refers to the personal information necessary for ensuring the normal operation of an app’s basic functional services, without which the app cannot achieve its basic functional services. For learning and education apps, the basic functional services are “online tutoring, online classes, etc.” and the necessary personal information is mobile phone numbers of registered users.</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SAMR promulgated the Measures for the Supervision and Administration of Online Transactions, which was last amended on March 18, 2025 and effective on May 1, 2025. The measures require that online transaction operators shall not force customers, whether or not in a disguised manner, to consent to the collection and use of information not directly related to their business activities by means of one-off general authorization, default authorization, bundling with other authorizations, or the suspension of installation and use. Otherwise, such online transaction operator may be subject to fines and consequences under related laws and regulations, including without limitation suspension of business for rectification and revocation of permits and licenses.</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June 10, 2021, the SCNPC promulgated the Data Security Law of the PRC, which came into effect on September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jc w:val="both"/>
        <w:spacing w:after="0" w:line="254" w:lineRule="auto"/>
        <w:rPr>
          <w:sz w:val="20"/>
          <w:szCs w:val="20"/>
          <w:color w:val="auto"/>
        </w:rPr>
      </w:pPr>
      <w:r>
        <w:rPr>
          <w:rFonts w:ascii="Times New Roman" w:cs="Times New Roman" w:eastAsia="Times New Roman" w:hAnsi="Times New Roman"/>
          <w:sz w:val="18"/>
          <w:szCs w:val="18"/>
          <w:color w:val="auto"/>
        </w:rPr>
        <w:t>1, 2021. The Data Security Law provides for data security and privacy obligations on entities and individuals carrying out data activities. The Data Security Law also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are tampered with, destroyed, leaked, or illegally acquired or used. The appropriate level of protection measures is required to be taken for each respective category of data. For example, a processor of important data shall designate the personnel and the management body responsible for data security, carry out risk assessments for its data processing activities and file the risk assessment reports with the competent authorities. In addition, the Data Security Law provides a national security review procedure for those data activities which may affect national security and imposes export restrictions on certain data and information. No entity or individual within the territory of the PRC may provide foreign judicial or law enforcement authorities with the data stored within the territory of the PRC without the approval of the competent PRC authorities.</w:t>
      </w:r>
    </w:p>
    <w:p>
      <w:pPr>
        <w:spacing w:after="0" w:line="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July 30, 2021, the State Council promulgated the Regulations on Critical Information Infrastructure Security Protection, which came into effect on September 1, 2021. The regulations provide that, among others, critical information infrastructure, or the CII, means important network facilities and information systems in important industries such as public communications and information services, energy, transportation, water conservancy, finance, public services, e-government, defense technology industry and others that may seriously harm national security, national economy, people’s livelihood and public interests once damaged, disabled or its data disclosed. Operators shall, base on leveled system for cybersecurity protection, adopt technical protection measures and other necessary measures to deal with cybersecurity security events, defend against cyber-attack and criminal activities, to ensure the safe and stable operation of CII, maintain data integrity, confidentiality, and availability pursuant to relevant laws, regulations and the mandatory requirements of national standards. Moreover, the competent supervisory departments of relevant important industries abovementioned shall organize the recognition of the CII and promptly notify the operators and Public Security Department of The State Council of the results of the identification.</w:t>
      </w:r>
    </w:p>
    <w:p>
      <w:pPr>
        <w:spacing w:after="0" w:line="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August 20, 2021, the SCNPC promulgated the Personal Information Protection Law, which became effective on November 1, 2021. The Personal Information Protection Law aims at protecting the personal information rights and interests, regulating the processing of personal information, ensuring the orderly and free flow of personal information in accordance with the law, and promoting the reasonable use of personal information. Personal information refers to any recorded information related to identified or identifiable natural persons, though it excludes anonymized information. The Personal Information Protection Law also specified the rules for handling sensitive personal information, which includes biometrics, religious beliefs, specific identities, medical health, financial accounts, trails and locations, and personal information of teenagers under fourteen years old and other personal information, which, upon leakage or illegal usage, may easily infringe the personal dignity or harm of safety of livelihood and property. Personal information handlers shall bear responsibility for their personal information handling activities, and adopt necessary measures to safeguard the security of the personal information they handle. Otherwise, the personal information handlers will be ordered for rectification or suspension or termination of provision of services, confiscation of illegal income, subject to fines or other penalties.</w:t>
      </w:r>
    </w:p>
    <w:p>
      <w:pPr>
        <w:spacing w:after="0" w:line="8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January 4, 2022, the CAC published the Revised Cybersecurity Review Measures, which became effective on February 15, 2022 and repealed the Cybersecurity Review Measures promulgated on April 13, 2020. The Revised Cybersecurity Review Measures provide that a critical information infrastructure operator purchasing network products and services, and platform operators carrying out data processing activities, which affect or may affect national security, shall apply for cybersecurity review and that a platform operator with more than one million users’ personal information aiming to list abroad must apply for cybersecurity review.</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January 4, 2022, the CAC published the Administrative Provisions on Internet Information Service Algorithm Recommendation on its website, or the Algorithm Recommendation Provisions, which became effective on March 1, 2022 and raise certain new compliance requirements on internet information service providers using algorithm recommendation technology. Specifically, the Algorithm Recommendation Provisions require that such service providers shall provide users with options that are not specific to their personal characteristics, or provide users with convenient options to cancel algorithmic recommendation services.</w:t>
      </w:r>
    </w:p>
    <w:p>
      <w:pPr>
        <w:spacing w:after="0" w:line="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July 7, 2022, the CAC promulgated the Security Assessment Measures for Outbound Data Transfer, or the Outbound Data Transfer Measures, which became effective on September 1, 2022. The Outbound Data Transfer Measures provide that a data processor providing data abroad in the following situations shall report security assessment for its outbound data transfer to the CAC: (i) a data processor provides important data abroad; (ii) a critical information infrastructure operator or a data processor processing the personal information of more than one million individuals provides personal information abroad; (iii) a data processor, who has cumulatively provided personal information of 100,000 individuals or sensitive personal information of 10,000 individuals abroad since January 1 of the previous year, provides personal information abroad; and (iv) other circumstances prescribed by the CAC for which report for security assessment for outbound data transfers is required. According to the Guidelines on Security Assessment Report for Outbound Data Transfer promulgated by the CAC, outbound data transfer means (i) a data processor transfers or stores the data collected or generated during its operation within the PRC abroad, (ii) data collected and generated by a data processor is stored within the PRC while offshore institutions or individuals are able to inquire, retrieve, download and obtain such data; and (iii) other outbound data transfer activities prescribed by the CAC.</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March 22, 2024, the CAC published the Provisions on Promoting and Regulating Cross-bound Data Flows, which streamline and provide clarity to the governance framework for outbound data transfer. According to this Provisions, the data processors shall identify and declare important data in accordance with relevant provisions. If the data have not been informed or publicly announced as important data by relevant authorities or region, data processors are not required to report security assessment for its outbound data transfer as important data. This Provisions also establish specific exemptions for the outbound data transfer. For instance, data collected and generated in international trade, transnational transportation, academic cooperation, global manufacturing and marketing, which does not contain personal information or important data, is now exempted from compliance requirement of outbound data transfer, such as, security assessment for outbound data transfer, the execution of standard contracts for outbound personal information transfer, or the authentication process for personal information protection. In addition, Pilot Free Trade Zones are granted to formulate data negative lists at their own discretion, where data processors may provide overseas parties with any data not included in the negative list without security assessment.</w:t>
      </w:r>
    </w:p>
    <w:p>
      <w:pPr>
        <w:spacing w:after="0" w:line="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September 24, 2024, the State Council promulgated the Regulations on the Management of Network Data Security, or the Network Data Regulation, which came into effect on January 1, 2025. The Network Data Regulation serves as a comprehensive implementing regulation for the compliance requirements set out by the Cybersecurity Law, Data Security Law, and Personal Information Protection Law. The Network Data Regulation introduces several key obligations, including requiring network data handlers to specify the purpose and method of personal information processing, as well as the types of personal information involved, before any personal information is handled. It clarifies definitions for important data, outlines the obligations of those handling important data, and establishes broader contractual requirements for data sharing between data handlers. It remains to be seen how this regulation will be interpreted and implemented, and to what extent it will affect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on Talent Market Administration</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Provisions on Talent Market Administration promulgated by Ministry of Human Resources and Social Security on April 30, 2015 and last amended on December 31, 2019, provides that “job agencies”, which means the organizations specializing in the provision of intermediary services or other related services for the employers and job seekers, either as their core business or as a sideline, shall obtain the approval and the Job Agency Service License from the personnel administration department of the local government before it engages in the business of providing intermediary job services; the Internet information service providers engaged in Internet-based intermediary job services, either as their core business or as a sideline, must apply for the License. Whoever violates Provisions on Talent Market Administration and establishes a job agency or engages in job intermediary services without approval from the labor administrative department of the relevant government shall be ordered to stop the business by the labor administrative department of the relevant government at or above the county level, and be currently given a fine of up to RMB10,000; where there are illegal gains, the perpetrator may be imposed a fine of up to three times the value of the illegal gains, subject to a maximum of RMB30,000.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Intellectual Property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Copyright and Software Registration</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Standing Committee of National People’s Congress of PRC adopted the Copyright Law in 1990 and last amended it on November 11, 2020, which became effective on June 1, 2021. The amended Copyright Law extends copyright protection to Internet activities, products disseminated over the Internet and software products, audio-visual works and any other intellectual achievements which comply with the characteristics of the works. In addition, there is a voluntary registration system administered by the China Copyright Protection Center. The amended Copyright Law also requires registration of a copyright pledge. To address the problem of copyright infringement related to the content posted or transmitted over the Internet, the National Copyright Administration and the MIIT jointly promulgated the Measures for Administrative Protection of Copyright Related to Internet.</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order to further implement the Computer Software Protection Regulations promulgated by the State Council on December 20, 2001 and amended on January 30, 2013, the State Copyright Bureau issued the Computer Software Copyright Registration Procedures on February 20, 2002, which apply to software copyright registration, license contract registration and transfer contract registration.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Standing Committee of National People’s Congress adopted the Patent Law of the People’s Republic of China, pursuant to which a patentable invention, utility model or design must meet three conditions: novelty, inventiveness and practical applicability. Patents cannot be granted for scientific discoveries, rules and methods for intellectual activities, methods used to diagnose or treat diseases, animal and plant breeds or substances obtained by means of nuclear transformation. The Patent Office under the State Intellectual Property Office is responsible for receiving, examining and approving patent applications. The Patent Law was latest amended on October 17, 2020 which came into effect on June 1, 2021, pursuant to which a patent is valid for a twenty-year term for an invention and a utility model, and a fifteen-year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jc w:val="both"/>
        <w:spacing w:after="0" w:line="282" w:lineRule="auto"/>
        <w:rPr>
          <w:sz w:val="20"/>
          <w:szCs w:val="20"/>
          <w:color w:val="auto"/>
        </w:rPr>
      </w:pPr>
      <w:r>
        <w:rPr>
          <w:rFonts w:ascii="Times New Roman" w:cs="Times New Roman" w:eastAsia="Times New Roman" w:hAnsi="Times New Roman"/>
          <w:sz w:val="18"/>
          <w:szCs w:val="18"/>
          <w:color w:val="auto"/>
        </w:rPr>
        <w:t>term for a design, all starting from the application date. Except under certain specific circumstances provided by law, any third party user must obtain consent or a proper license from the patent owner to use the patent, or else the use will constitute an infringement of the rights of the patent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Domain Name</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Pursuant to the Administrative Measures for Internet Domain Names, which was promulgated by the MIIT, domain names are registered on a “first-come, first-served” basis. The domain names registered or used by an organization or individual shall not contain any contents prohibited by laws and administrative regulations. A domain name registration applicant shall provide the domain name registration service agency with truthful, accurate and complete identity information on the domain name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Trademarks are protected by the PRC Trademark Law and the Implementation Regulation of the PRC Trademark Law. The Trademark Office of National Intellectual Property Administration handles trademark registrations and grants a term of ten years to registered trademarks which may be renewed for consecutive ten-year periods upon request by the trademark owner. Trademark license agreements must be filed with the Trademark Office for record. The PRC Trademark Law has adopted a “first-to-file” principle with respect to trademark registration. Where a trademark for which a registration has been made is identical or similar to another trademark which has already been registered or been subject to a preliminary examination and approval for use on the same kind of or similar commodities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 On April 23, 2019, the Standing Committee of the National People’s Congress promulgated the latest amendment of Trademark Law, which came into effect on November 1, 2019. Compared to the currently effective Trademark Law, the latest amendment of Trademark Law additionally provides that, among other things, (i) an application for registration of a malicious trademark not for use shall be rejected and (ii) those who apply for trademark registration maliciously shall be given administrative penalties of warning or fines according to the circumstances; those who file trademark lawsuits maliciously shall be punished by the people’s court according to applicable laws.</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May 28, 2020, the National People’s Congress promulgated the Civil Code, which took effect on January 1, 2021. Under the Civil Code, if an offender intentionally infringes upon the intellectual property rights of others and the circumstance is severe, the infringed party shall have the right to request for the corresponding punitive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Foreign Exchange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Pursuant to the Foreign Currency Administration Rules, as amended, and various regulations issued by SAFE and other relevant PRC government authorities, RMB is freely convertible to the extent of current account items, such as trade related receipts and payments, interest and dividends. Capital account items, such as direct equity investments, loans and repatriation of investment, unless expressly exempted by laws and regulations, still require prior approval from SAFE or its local counterparts for conversion of RMB into a foreign currency, such as U.S. dollars, and remittance of the foreign currency outside of the PRC. Payments for transactions that take place within the PRC must be made in RMB. Foreign currency revenues received by PRC companies may be repatriated into China or retained outside of China in accordance with requirements and terms specified by SAFE.</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According to the Circular on Administration of Foreign Exchange on Further Promoting the Facilitation of Cross-border Trade and Investment promulgated by SAFE on October 23, 2019, which was amended by SAFE Notice on Further Deepening the Reform to Facilitate Cross-border Trade and Investment on December 4, 2023, non-investment FIEs are allowed to make domestic equity investment with their capital funds provided that the existing negative list for foreign investment are complied with and the projects invested thereby in China are true and comply with applicable laws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Wholly foreign-owned enterprises and Sino-foreign equity joint ventures in the PRC may pay dividends only out of their accumulated profits, if any, as determined in accordance with PRC accounting standards and regulations. Additionally, these foreign-invested enterprises may not pay dividends unless they set aside at least 10% of their respective accumulated profits after tax each year, if any, to fund certain reserve funds, until such time as the accumulative amount of such fund reaches 50% of the enterprise’s registered capital. In addition, these companies also may allocate a portion of their after-tax profits based on PRC accounting standards to employee welfare and bonus funds at their discretion. These reserves are not distributable as cash dividends.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Exchange Registration of Overseas Investment by PRC Residents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SAFE Circular on Relevant Issues Relating to Domestic Resident’s Investment and Financing and Roundtrip Investment through Special Purpose Vehicles, or Circular 37, issued by SAFE and effective in July 4, 2014, regulates foreign exchange matters in relation to the use of special purpose vehicles, or SPVs, by PRC residents or entities to seek offshore investment and financing and conduct round trip investment in China. Under Circular 37, a SPV refers to an offshore entity established or controlled, directly or indirectly, by PRC residents or entities for the purpose of seeking offshore financing or making offshore investment, using legitimate domestic or offshore assets or interests, while “round trip investment” refers to the direct investment in China by PRC residents or entities through SPVs, namely, establishing foreign-invested enterprises to obtain the ownership, control rights and management rights. Circular 37 requires that, before making contribution into an SPV, PRC residents or entities are required to complete foreign exchange registration with the SAFE or its local branch. SAFE Circular 37 further provides that option or share-based incentive tool holders of a non-listed SPV can exercise the options or share incentive tools to become a shareholder of such non-listed SPV, subject to registration with SAFE or its local branch.</w:t>
      </w:r>
    </w:p>
    <w:p>
      <w:pPr>
        <w:spacing w:after="0" w:line="80"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PRC residents or entities who have contributed legitimate domestic or offshore interests or assets to SPVs but have yet to obtain SAFE registration before the implementation of Circular 37 shall register their ownership interests or control in such SPVs with SAFE or its local branch. An amendment to the registration is required if there is a material change in the SPV registered, such as any change of basic information (including change of such PRC residents, name and operation term), increases or decreases in investment amount, transfers or exchanges of shares, or mergers or divisions. Failure to comply with the registration procedures set forth in Circular 37, or making misrepresentation on or failure to disclose controllers of foreign-invested enterprise that is established through round-trip investment, may result in restrictions on the foreign exchange activities of the relevant foreign-invested enterprises, including payment of dividends and other distributions, such as proceeds from any reduction in capital, share transfer or liquidation, to its offshore parent or affiliate, and the capital inflow from the offshore parent, and may also subject relevant PRC residents or entities to penalties under PRC foreign exchange administration regulations. On February 13, 2015, SAFE further promulgated the Circular on Further Simplifying and Improving the Administration of the Foreign Exchange Concerning Direct Investment, or SAFE Circular 13, which took effect on June 1, 2015. This SAFE Circular 13 has amended SAFE Circular 37 by requiring PRC residents or entities to register with qualified banks rather than SAFE or its local branch in connection with their establishment or control of an offshore entity established for the purpose of overseas investment or financing. SAFE Circular 13 further provides that annual inspection of inbound foreign direct investments and outbound overseas direct investments is canceled. Instead, relevant entities or individuals, as the case may be, shall register data and information with respect to their inbound foreign direct investments and outbound overseas direct investment interests with SAFE.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Stock Incentive Plans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Pursuant to the Notice on Issues Concerning the Foreign Exchange Administration for Domestic Individuals Participating in Stock Incentive Plan of Overseas Publicly Listed Company, or Circular 7, issued by SAFE in February 2012, employees, directors, supervisors and other senior management participating in any stock incentive plan of an overseas publicly listed company who are PRC citizens or who are non-PRC citizens residing in China for a continuous period of not less than one year, subject to a few exceptions, are required to register with SAFE through a domestic qualified agent, which could be a PRC subsidiary of such overseas listed company, and complete certain other procedures. If the Group fails to complete the SAFE registrations, such failure may subject the Group to fines and legal sanctions and may also limit our ability to contribute additional capital into our wholly foreign-owned subsidiary in China and limit such subsidiary’s ability to distribute dividends to us.</w:t>
      </w:r>
    </w:p>
    <w:p>
      <w:pPr>
        <w:spacing w:after="0" w:line="8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the State Administration for Taxation has issued certain circulars concerning employee share options or restricted shares. Under these circulars, the employees working in the PRC who exercise share options or are granted restricted shares will be subject to PRC individual income tax. The PRC subsidiaries of such overseas listed company have obligations to file documents related to employee share options or restricted shares with relevant tax authorities and to withhold individual income taxes of those employees who exercise their share options. If the employees fail to pay or the PRC subsidiaries fail to withhold their income taxes according to relevant laws and regulations, the PRC subsidiaries may face sanctions imposed by the tax authorities or other PRC government authorities.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Debt</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 loan made by a foreign entity as direct or indirect shareholder in an FIE is considered to be foreign debt in China and is regulated by various laws and regulations, including the Regulation of the People’s Republic of China on Foreign Exchange Administration, the Interim Provisions on the Management of Foreign Debts, the Statistical Monitoring of Foreign Debts Tentative Provisions, and the Administrative Measures for Registration of Foreign Debts. Under these rules and regulations, a shareholder loan in the form of foreign debt made to a PRC entity does not require the prior approval of SAFE. However, such foreign debt must be registered with and recorded by SAFE or its local branches within 15 business days after entering into the foreign debt contract. Pursuant to these rules and regulations, the maximum amount of the aggregate of (i) the outstanding balance of foreign debts with a term not longer than one year, and (ii) the accumulated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2" w:name="page83"/>
    <w:bookmarkEnd w:id="8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 of foreign debts with a term longer than one year, of an FIE shall not exceed the difference between its registered total investment and its registered capital, or Total Investment and Registered Capital Balance.</w:t>
      </w:r>
    </w:p>
    <w:p>
      <w:pPr>
        <w:spacing w:after="0" w:line="5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January 12, 2017, PBOC promulgated Notice of the People’s Bank of China on Issues Concerning Macro Prudential Management of Full Scale Cross-border Financing or PBOC Circular 9. According to PBOC Circular 9, PBOC established a cross-broader financing regulation system based on the capital or net assets of the micro main body under macro prudential rules, and the legal entities and financial institutions established in PRC including the branches of foreign banks registered in China but excluding government financing vehicles and real estate enterprise, may carry out cross-border financing of foreign currency in accordance with relevant regulations of such system. PBOC Circular 9 provides that, among other things, the outstanding amount of the foreign currency for the entities in cross-border financing shall be limited to the Upper Limit of the Risk Weighted Balance of such entity, which shall be calculated according to the formula provided in PBOC Circular 9; the enterprise shall, after signing the contract for cross-border financing, but not later than three business days before the withdrawal of the borrowing funds, file with the local branches of SAFE for the cross-border financing through SAFE’s capital project information system. PBOC Circular 9 also provides that during the one-year period started from January 11, 2017, foreign-invested enterprises may choose one method to carry out cross-broader financing in foreign currency either according to PBOC Circular 9 or according to the Interim Provisions on the Management of Foreign Debts. After the end of such one-year period, the method of foreign-invested enterprises to carry out cross-broader financing in foreign currency will be determined by PBOC and SAFE. To date, though the one-year period has expired, no further regulations or guidance promulgated by PBOC and SAFE in this regard.</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January 5, 2023, the NDRC promulgated the Administrative Measures for the Review and Registration of Medium and Long-Term Foreign Debts of Enterprises, or the Foreign Debts Measures, which became effective on February 10, 2023. Pursuant to the Foreign Debts Measures, PRC enterprises are not allowed to raise medium and long-term foreign debts unless and until they have completed the review and registration process and obtained the review and registration certificate issued by NDRC. Also, the Foreign Debts Measures require PRC enterprises to register with NDRC prior to making a material amendment to a medium and long-term foreign debts transaction and to submit related information to NDRC within 10 business days after each drawdown of the medium and long-term foreign debts.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Tax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Enterprise Income Tax Law</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Enterprise Income Tax Law enacted by the National People’s Congress, or the PRC EIT Law, applies a uniform 25% enterprise income tax rate to both foreign-invested enterprises and domestic enterprises, except where tax incentives are granted to special industries and projects. Enterprises qualified as “High and New Technology Enterprises” are entitled to a 15% enterprise income tax rate rather than the 25% uniform statutory tax rate. The preferential tax treatment continues as long as an enterprise can retain its “High and New Technology Enterprise” status. Enterprise income tax for qualified small profit enterprises shall be at a reduced tax rate of 20%. Under the PRC EIT Law and its implementation regulations, dividends generated from the business of a PRC subsidiary after January 1, 2008 and payable to its foreign investor may be subject to a withholding tax rate of 10% if the PRC tax authorities determine that the foreign investor is a non-resident enterprise, unless there is a tax treaty with China that provides for a preferential withholding tax rate. Distributions of earnings generated before January 1, 2008 are exempt from PRC withholding tax.</w:t>
      </w:r>
    </w:p>
    <w:p>
      <w:pPr>
        <w:spacing w:after="0" w:line="84"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Under the PRC EIT Law, an enterprise established outside China with “de facto management bodies” within China is considered a “resident enterprise” for PRC enterprise income tax purposes and is generally subject to a uniform 25% enterprise income tax rate on its worldwide income. The Circular Regarding the Determination of Chinese-Controlled Offshore Incorporated Enterprises as PRC Tax Resident Enterprises on the Basis of De Facto Management Bodies issued by the SAT, in April 2009 regarding the standards used to classify certain Chinese-invested enterprises controlled by Chinese enterprises or Chinese enterprise groups and established outside of China as “resident enterprises,” or the SAT Circular 82, clarified that dividends and other income paid by such PRC “resident enterprises” will be considered PRC-source income and subject to PRC withholding tax, currently at a rate of 10%, when paid to non-PRC enterprise shareholders. The SAT Circular 82 also subjects such PRC “resident enterprises” to various reporting requirements with the PRC tax authorities. Under the implementation regulations to the PRC EIT Law, a “de facto management body” is defined as a body that has material and overall management and control over the manufacturing and business operations, personnel and human resources, finances and properties of an enterprise. In addition, the SAT Circular 82 specifies that certain PRC-invested overseas enterprises controlled by a Chinese enterprise or a Chinese enterprise group in the PRC will be classified as PRC resident enterprises if the following are located or resided in the PRC: (i) senior management personnel and departments that are responsible for daily production, operation and management; (ii) financial and personnel decision making bodies; (iii) key properties, accounting books, the company seal, and minutes of board meetings and shareholders’ meetings; and (iv) half or more of the senior management or directors who have the voting rights.</w:t>
      </w:r>
    </w:p>
    <w:p>
      <w:pPr>
        <w:spacing w:after="0" w:line="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and certain other conditions are satisfied. Pursuant to the Notice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jc w:val="both"/>
        <w:spacing w:after="0" w:line="261" w:lineRule="auto"/>
        <w:rPr>
          <w:sz w:val="20"/>
          <w:szCs w:val="20"/>
          <w:color w:val="auto"/>
        </w:rPr>
      </w:pPr>
      <w:r>
        <w:rPr>
          <w:rFonts w:ascii="Times New Roman" w:cs="Times New Roman" w:eastAsia="Times New Roman" w:hAnsi="Times New Roman"/>
          <w:sz w:val="18"/>
          <w:szCs w:val="18"/>
          <w:color w:val="auto"/>
        </w:rPr>
        <w:t>of the State Administration of Taxation on the Issues concerning the Application of the Dividend Clauses of Tax Agreements, or SAT Circular 81, a Hong Kong resident enterprise must meet the following conditions, among others, in order to apply the reduced withholding tax rate: (i) it must be a company;</w:t>
      </w:r>
    </w:p>
    <w:p>
      <w:pPr>
        <w:jc w:val="both"/>
        <w:ind w:firstLine="8"/>
        <w:spacing w:after="0" w:line="251" w:lineRule="auto"/>
        <w:tabs>
          <w:tab w:leader="none" w:pos="2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must directly own the required percentage of equity interests and voting rights in the PRC resident enterprise; and (iii) it must have directly owned such required percentage in the PRC resident enterprise throughout the 12 months prior to receiving the dividends. The SAT promulgated the Administrative Measures for Non-resident Taxpayers to Enjoy Treatment under Treaties, or SAT Circular 35, which became effective on January 1, 2020. SAT Circular 35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Sunlands HK may be able to benefit from the 5% withholding tax rate for the dividends it receives from Wuhan Zhibo if it satisfies the conditions prescribed under SAT Circular 81 and other relevant tax rules and regulations. However, according to SAT Circular 81 and SAT Circular 35, if the relevant tax authorities consider the transactions or arrangements the Group has are for the primary purpose of enjoying a favorable tax treatment, the relevant tax authorities may adjust the favorable withholding tax in the future.</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February 3, 2015, the SAT issued the Announcement of the State Administration of Taxation on Several Issues Concerning the Enterprise Income Tax on Indirect Property Transfer by Non-resident Enterprises, or SAT Bulletin 7, extends its tax jurisdiction to transactions involving the transfer of taxable assets through offshore transfer of a foreign intermediate holding company. Pursuant to SAT Bulletin 7, where a non-resident enterprise indirectly transfers properties such as equity in PRC resident enterprises without any justifiable business purposes and aiming to avoid the payment of enterprise income tax, such indirect transfer must be reclassified as a direct transfer of equity in PRC resident enterprise. To assess whether an indirect transfer of PRC taxable properties has reasonable commercial purposes, all arrangements related to the indirect transfer must be considered comprehensively and factors set forth in SAT Bulletin 7 must be comprehensively analyzed in light of the actual circumstances. In addition, SAT Bulletin 7 has introduced safe harbors for internal group restructurings and the purchase and sale of equity through a public securities market.</w:t>
      </w:r>
    </w:p>
    <w:p>
      <w:pPr>
        <w:spacing w:after="0" w:line="8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Where non-resident investors were involved in our private equity financing, if such transactions were determined by the tax authorities to lack reasonable commercial purpose, we and our non-resident investors may become at risk of being required to file a return and taxed under SAT Bulletin 7 and/or SAT Bulletin 37 and we may be required to expend valuable resources to comply with SAT Bulletin 7 and/or SAT Bulletin 37 or to establish that we should not be held liable for any obligations under SAT Bulletin 7 and/or SAT Bulletin 37.</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Value-added Tax (“VAT”) in lieu of Business Tax (the “VAT Pilot Program”)</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March 23, 2016, the Ministry of Finance and the SAT issued the Circular on Comprehensively Promoting the Pilot Program of the Collection of Value-added Tax in Lieu of Business Tax. Effective from May 1, 2016, the PRC tax authorities collect VAT in lieu of Business Tax on a trial basis within the territory of China, and in industries such as construction industries, real estate industries, financial industries, and living service industries. On April 4, 2018, the Ministry of Finance and the SAT issued the Notice on the Adjustment of the Value Added Tax Rate, pursuant to which the Value Added Tax Rate of part of the taxable action is adjusted to decline. On March 20, 2019, the Ministry of Finance, the SAT and the General Administration of Customs jointly issued the Notice on the Policy Concerning Deepening the Reform of Value Added Tax, or Notice 39, which became effective on April 1, 2019. The Notice 39 further changed the Value Added Tax rate of 16% and 10% into 13% and 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Employment and Social Insurance</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 is subject to laws and regulations governing the Group’s relationship with employees, including wage and hour requirements, working and safety conditions, and social insurance, housing funds and other welfare. The compliance with these laws and regulations may require substantial resources.</w:t>
      </w:r>
    </w:p>
    <w:p>
      <w:pPr>
        <w:spacing w:after="0" w:line="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Pursuant to the PRC Labor Law effective as of January 1, 1995 (as amended on December 29, 2018) and the PRC Labor Contract Law effective as of January 1, 2008 (as amended on December 28, 2012), a written labor contract shall be executed by employer and an employee when the employment relationship is established, and an employer is under an obligation to sign an unlimited-term labor contract with any employee who has worked for the employer for ten consecutive years. Further, if an employee requests or agrees to renew a fixed-term labor contract that has already been entered into twice consecutively, the resulting contract must have an unlimited term, with certain exceptions. The employer must also pay severance to an employee in nearly all instances where a labor contract, including a contract with an unlimited term, is terminated or expires. All employers must compensate their employees equal to at least the local minimum wage standards. All employers are required to establish a system for labor safety and sanitation, strictly abide by state rules and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jc w:val="both"/>
        <w:spacing w:after="0" w:line="255" w:lineRule="auto"/>
        <w:rPr>
          <w:sz w:val="20"/>
          <w:szCs w:val="20"/>
          <w:color w:val="auto"/>
        </w:rPr>
      </w:pPr>
      <w:r>
        <w:rPr>
          <w:rFonts w:ascii="Times New Roman" w:cs="Times New Roman" w:eastAsia="Times New Roman" w:hAnsi="Times New Roman"/>
          <w:sz w:val="18"/>
          <w:szCs w:val="18"/>
          <w:color w:val="auto"/>
        </w:rPr>
        <w:t>standards and provide employees with appropriate workplace safety training. In addition, the government has continued to introduce various new labor-related regulations after the Labor Contract Law. Among other things, new annual leave requirements mandate that annual leave ranging from 5 to 15 days is available to nearly all employees and further require that the employer compensate an employee for any annual leave days the employee is unable to take in the amount of three times his daily salary, subject to certain exceptions. Moreover, all PRC enterprises are generally required to implement a standard working time system of eight hours a day and forty hours a week, and if the implementation of such standard working time system is not appropriate due to the nature of the job or the characteristics of business operation, the enterprise may implement a flexible working time system or comprehensive working time system after obtaining approvals from the relevant authorities.</w:t>
      </w:r>
    </w:p>
    <w:p>
      <w:pPr>
        <w:spacing w:after="0" w:line="8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addition, employers in China are obliged to pay contributions to the social insurance plan and the housing fund plan for their employees, and such contribution amount payable shall be calculated based on the employee actual salary in accordance with the relevant regulations. According to the Notice on the Reduction or Exemption of Enterprises’ Social Security Contributions in Phases jointly promulgated by the Ministry of Human Resources and Social Security, the Ministry of Finance and the SAT on February 20, 2020, with effect from February 2020, with certain exceptions, based on the epidemic impact and the fund threshold, small, medium and micro enterprises and the enterprises in Hubei may be exempted from contributions to the basic pension insurance, unemployment insurance, and work injury insurance, with the exemption period not exceed five months; and contributions to such three social security contribution items by other social security participating organizations (excluding State agencies and institutions) such as large enterprises may be reduced by 50% by, with the reduction period not exceed three months. According to the relevant implementation policies in Beijing, the contributions to the basic pension insurance, unemployment insurance, and work injury insurance of large enterprise shall be reduced by 50% from February 2020 to April 2020, and the contributions of small, medium and micro enterprises will be exempted from February 2020 to June 2020.</w:t>
      </w:r>
    </w:p>
    <w:p>
      <w:pPr>
        <w:spacing w:after="0" w:line="8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June 22, 2020, the Ministry of Human Resources and Social Security, the Ministry of Finance and the SAT jointly promulgated a follow-up notice regarding the reduction or exemption of enterprises’ social security contributions. This notice provides that, among other things, the exemption period for small, medium and micro enterprises to contribute to the basic pension insurance, unemployment insurance, and work injury insurance shall last till the end of December 2020 and the reduction period for the large enterprises (excluding State agencies and institutions) to contribute to the basic pension insurance, unemployment insurance, and work injury insurance outside Hubei shall last till the end of June 2020 while the exemption period for the large enterprises within Hubei to contribute to the basic pension insurance, unemployment insurance, and work injury insurance shall last till the end of June 2020. The enterprises with serious difficulties in production and operation due to COVID-19 may continue to postpone the payment of social insurance premiums until the end of December 2020, and there will be no overdue fine during the period of suspension.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4.C. Organizational Structure</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chart illustrates the Group’s organizational structure, including our significant subsidiaries as “significant” is defined under Section 1-02 of Regulation S-X under the Securities Act and certain other subsidiaries and certain VIE as of the date of this annual report.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5563235" cy="34118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5563235"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————Equity interest</w:t>
      </w:r>
    </w:p>
    <w:p>
      <w:pPr>
        <w:spacing w:after="0" w:line="117" w:lineRule="exact"/>
        <w:rPr>
          <w:sz w:val="20"/>
          <w:szCs w:val="20"/>
          <w:color w:val="auto"/>
        </w:rPr>
      </w:pPr>
    </w:p>
    <w:p>
      <w:pPr>
        <w:ind w:left="380"/>
        <w:spacing w:after="0"/>
        <w:tabs>
          <w:tab w:leader="none" w:pos="1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Contractual arrangements</w:t>
      </w:r>
    </w:p>
    <w:p>
      <w:pPr>
        <w:spacing w:after="0" w:line="11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See “Item 3. Key Information—Contractual Arrangements with Consolidated VIEs and Their Shareholders” for details of the contractual arrangements with the VIEs.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4.D. Property, Plants and Equipment</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Group’s current principal executive offices are located at Building 6, Chaolai Science Park, No. 36 Chuangyuan Road, Chaoyang District, Beijing, the People’s Republic of China. The Group maintains offices in Beijing, China, with an aggregate of approximately 8,583 square meters. These facilities currently accommodate the Group’s management headquarters, as well as the sales and marketing, course and educational content development, and general and administrative activities. The Group also maintains offices in Wuhan, China, with an aggregate of approximately 17,721 square meters, to support part of the Group’s sales and marketing activities. In addition, the Group maintains offices in Guangzhou, China, with an aggregate of approximately 1,880 square meters, to support the sales and marketing activities as well as general and administrative activities.</w:t>
      </w:r>
    </w:p>
    <w:p>
      <w:pPr>
        <w:spacing w:after="0" w:line="7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Group leases all of the facilities that the Group currently occupies from independent third parties. We believe that the facilities that the Group currently leases are adequate to meet the Group’s needs for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You should read the following discussion together with our consolidated financial statements and the related notes included elsewhere in this annual report on Form 20-F. This discussion may contain forward-looking statements about the Group’s business and operations based upon current expectations that involve risks and uncertainties. The Group’s actual results may differ materially from those currently anticipated as a result of many factors, including those described under “Item 3. Key Information—3.D. Risk Factors” and elsewhere in this annual report on Form 20-F.</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Factors Affecting Results of Operations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 operates in China’s adult online education market and adult personal interest learning market, and the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jc w:val="both"/>
        <w:spacing w:after="0" w:line="258" w:lineRule="auto"/>
        <w:rPr>
          <w:sz w:val="20"/>
          <w:szCs w:val="20"/>
          <w:color w:val="auto"/>
        </w:rPr>
      </w:pPr>
      <w:r>
        <w:rPr>
          <w:rFonts w:ascii="Times New Roman" w:cs="Times New Roman" w:eastAsia="Times New Roman" w:hAnsi="Times New Roman"/>
          <w:sz w:val="18"/>
          <w:szCs w:val="18"/>
          <w:color w:val="auto"/>
        </w:rPr>
        <w:t>Group’s results of operations and financial condition are significantly affected by general factors affecting this market. Drivers for the Group’s growth include China’s rapid economic growth, continued urbanization, and rising per capita disposable income, all of which have allowed Chinese households, particularly working adults, to spend more disposable income on education. In addition, driven by a strong desire for employment, career promotion, salary increases and local residence qualification, adult online education and adult personal interest learning education in China have grown rapidly in the past several years and are expected to continue to grow in the future.</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Changes to China’s economy and GDP growth also have a material impact on the adult online education market and the adult personal interest learning market. In addition, the industry the Group operates in is fragmented, and the Group faces competition from traditional offline players. At the same time, the Group’s results are subject to changes in the regulatory regime governing China’s education industry, particularly uncertainties relating to online education services. The PRC government regulates various aspects of the Group’s business and operations, including the qualification and licensing requirements for entities that provide online education services and limitations on foreign investments in the online education industry.</w:t>
      </w:r>
    </w:p>
    <w:p>
      <w:pPr>
        <w:spacing w:after="0" w:line="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Additionally, we believe that the Group’s results of operations and financial condition are also affected by company-specific factors, including the factors discussed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respond to the evolving industry landscape and drive student acceptance of online education format</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an online service provider, the Group benefited significantly from the increasing proliferation of the internet, in particular the mobile internet, in China. In recent years, driven by the increasing number of internet users and mobile penetration rates, China’s online education industry has developed rapidly.</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believe that the online education format, as compared to traditional in-person classroom teaching, is superior as it breaks down the time and location barriers of offline education format and offers students more a flexible, convenient and cost-effective alternative. As a result, online education format has become increasingly popular among students, taking away market share from traditional offline players. For this reason, we believe the ability to continue to grow net revenues and gross billings significantly depends on the Group’s ability to continue to convert students to embrace online education formats over traditional offline education format.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increase the number of students and new student enrollments at optimal pricing</w:t>
      </w:r>
    </w:p>
    <w:p>
      <w:pPr>
        <w:spacing w:after="0" w:line="20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Group’s net revenues and gross billings primarily consist of tuition payments from students and are therefore affected by the number of students and new student enrollments and the pricing of the Group’s educational services.</w:t>
      </w:r>
    </w:p>
    <w:p>
      <w:pPr>
        <w:spacing w:after="0" w:line="5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2023, 2024 and 2025, the Group’s new student enrollments were 616,341, 674,649 and 579,788, respectively, and the numbers of students were 1,131,435, 1,067,128 and 979,741, respectively. The Group’s new student enrollments remained relatively stable in 2023 and 2024, followed by a decrease in 2025. This trend was primarily attributable to the Group’s disciplined customer acquisition strategies and continued optimization of its business focus. The Group is seeking to offer a broader range of courses, foster a more a social and entertaining learning experience, and use cutting-edge technologies to improve students’ learning experience and outcomes which we believe would help to achieve positive results in the Group’s new student enrollments in the long run. See “Item 3. Key Information—3.D. Risk Factors—Risks Related to the Group’s Business—If the Group fails to manage its business growth effectively, the success of the Group’s business model will be compromised.”</w:t>
      </w:r>
    </w:p>
    <w:p>
      <w:pPr>
        <w:spacing w:after="0" w:line="8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Group’s ability to increase the number of students and new student enrollments is primarily driven by factors including the quality of the Group’s education services, the range and attractiveness of the Group’s course offerings, the brand reputation, the ability to convert leads into student enrollments cost-effectively, and the availability of loans from third-party credit providers to students. See “Item 3. Key Information—3.D. Risk Factors—Risks Related to the Group’s Business—The Group may face risks associated with the installment tuition payment plan the Group offers to its students.” The Group’s ability to attract prospective students in target markets and expand course offerings has a direct impact on maintaining growths in the number of students and new student enrollments, which in turn is subject to several other factors largely beyond the Group’s control, including the perception of the effectiveness of online education as compared to offline, classroom-based courses and the popularity of the degrees, diplomas, certifications, professions, professional skills or interests students are pursuing.</w:t>
      </w:r>
    </w:p>
    <w:p>
      <w:pPr>
        <w:spacing w:after="0" w:line="8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Group’s pricing is affected by the overall demand, the prices and availability of competing courses, perception of the quality and effectiveness of course offerings, and the income levels that students expect to achieve upon passing the exams that they are pursuing through taking courses.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maintain an optimal mix of course length</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typically receives tuition from students (or third-party credit providers in the case of students taking loans for their tuition) upfront at the time of sale of the Group’s course packages. The tuition the Group collects from a student is initially recorded as deferred revenue and is generally recognized proportionally throughout the duration of the programs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7" w:name="page88"/>
    <w:bookmarkEnd w:id="87"/>
    <w:p>
      <w:pPr>
        <w:jc w:val="both"/>
        <w:spacing w:after="0" w:line="261" w:lineRule="auto"/>
        <w:rPr>
          <w:sz w:val="20"/>
          <w:szCs w:val="20"/>
          <w:color w:val="auto"/>
        </w:rPr>
      </w:pPr>
      <w:r>
        <w:rPr>
          <w:rFonts w:ascii="Times New Roman" w:cs="Times New Roman" w:eastAsia="Times New Roman" w:hAnsi="Times New Roman"/>
          <w:sz w:val="18"/>
          <w:szCs w:val="18"/>
          <w:color w:val="auto"/>
        </w:rPr>
        <w:t>that student has enrolled in. For the year ended December 31, 2025, the weighted average service period of the Group’s interest, professional skills and professional certification preparation courses was approximately 4 months, and the weighted average service period of the Group’s degree- or diploma-oriented post-secondary courses was approximately 16 months. As of December 31, 2023, 2024 and 2025, the Group’s deferred revenues were RMB1,113.9 million, RMB916.5 million and RMB585.3 million (US$83.7 million), respectively.</w:t>
      </w:r>
    </w:p>
    <w:p>
      <w:pPr>
        <w:spacing w:after="0" w:line="7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Group continually evaluates the mix of course length. As the Group makes these evaluations, the Group may market and sell courses with shorter or longer durations in order to balance among various goals, including satisfying student needs, driving revenue growth, and improving visibility of future earnings, which may affect the Group’s ability to increase net revenues on a continuous basis. For example, if the Group increases the percentage of courses with longer durations in total course offerings, the Group’s net revenues for a given period may reduce as an increasing part of the Group’s revenues may be deferred and recognized across longer periods. Any material change in the mix of course length could have a significant impact on the Group’s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sell and market the Group’s services cost-effectively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 depends on the ability to sell and market the Group’s services in a cost-effective manner to maintain and improve the operating margins.</w:t>
      </w:r>
    </w:p>
    <w:p>
      <w:pPr>
        <w:spacing w:after="0" w:line="11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Sales and marketing expenses have historically represented a substantial portion of the Group’s total operating expenses. In 2023, 2024 and 2025, the Group’s sales and marketing expenses were RMB1,142.2 million, RMB1,216.9 million and RMB1,137.6 million (US$162.7 million), respectively. The decrease in the sales and marketing expenses from 2024 to 2025 was mainly due to the decreases in compensation for sales personnel and the spending on branding and marketing activities focused on interest courses offerings. The Group’s sales and marketing expenses are primarily composed of marketing spending and expenses incurred in relation to sales and marketing personnel. The Group’s ability to lower the sales and marketing expenses as a percentage of gross billings depends on the Group’s ability to improve sales and marketing efficiency and leverage the Group’s existing brand value and word-of-mouth referrals in the sales and marketing efforts. In 2023, 2024 and 2025, the percentage of the Group’s sales and marketing expenses divided by the Group’s gross billings was 75.9%, 78.2% and 77.5%, respectively.</w:t>
      </w:r>
    </w:p>
    <w:p>
      <w:pPr>
        <w:spacing w:after="0" w:line="8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Group has acquired many of the existing students through search engine marketing channels, mobile marketing channels and, to a lesser extent, offline channels. Further, the Group relies on a large sales force to provide counseling-oriented sales services to convert sales leads into enrollments. As such, the cost-effectiveness of the sales and marketing depends heavily on the ability to enhance returns from different marketing channels, as well as to improve the efficiency of the counseling-oriented sales activities. The Group also plans to further strengthen the mobile marketing endeavors, which we believe are particularly critical to attracting prospective students who are not yet aware of solutions available to satisfy their desire to pursue adult online education and adult personal interest learning education. These initiatives have placed, and will continue to place, significant strains on the ability to sell and market the Group’s course offerings in an efficient and cost-effective manner.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 derives substantially all net revenues from tuition that the Group charges students for the course packages that they purchase. In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2025, the Group generated net revenues of RMB2,159.6 million, RMB1,990.2 million and RMB2,019.9 million (US$288.8 million), respectively.</w:t>
      </w:r>
    </w:p>
    <w:p>
      <w:pPr>
        <w:spacing w:after="0" w:line="9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Group generally bills students for the entire course tuition upfront at the time of sale of the course packages. The tuition the Group collects from a student is initially recorded as deferred revenue and is generally recognized proportionally over a weighted average service period of 4 months for the interest, professional skills and professional certification preparation courses and a weighted average service period of 16 months for the degree- or diploma-oriented post-secondary courses for the year ended December 31, 2025. As of December 31, 2023, 2024 and 2025, the Group had deferred revenue of RMB1,113.9 million, RMB916.5 million and RMB585.3 million (US$83.7 million), respectively. For a reconciliation of the Group’s gross billings and net revenues, see “—Non-GAAP Financial Measures.”</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 breakdown of the Group’s total net revenues for the years indicated: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37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87"/>
        </w:trPr>
        <w:tc>
          <w:tcPr>
            <w:tcW w:w="3700" w:type="dxa"/>
            <w:vAlign w:val="bottom"/>
          </w:tcPr>
          <w:p>
            <w:pPr>
              <w:spacing w:after="0"/>
              <w:rPr>
                <w:sz w:val="16"/>
                <w:szCs w:val="16"/>
                <w:color w:val="auto"/>
              </w:rPr>
            </w:pPr>
          </w:p>
        </w:tc>
        <w:tc>
          <w:tcPr>
            <w:tcW w:w="126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RMB</w:t>
            </w:r>
          </w:p>
        </w:tc>
        <w:tc>
          <w:tcPr>
            <w:tcW w:w="820" w:type="dxa"/>
            <w:vAlign w:val="bottom"/>
            <w:tcBorders>
              <w:top w:val="single" w:sz="8" w:color="auto"/>
            </w:tcBorders>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6"/>
                <w:szCs w:val="16"/>
                <w:color w:val="auto"/>
              </w:rPr>
            </w:pPr>
          </w:p>
        </w:tc>
        <w:tc>
          <w:tcPr>
            <w:tcW w:w="1300" w:type="dxa"/>
            <w:vAlign w:val="bottom"/>
            <w:tcBorders>
              <w:top w:val="single" w:sz="8" w:color="auto"/>
            </w:tcBorders>
            <w:gridSpan w:val="2"/>
          </w:tcPr>
          <w:p>
            <w:pPr>
              <w:jc w:val="right"/>
              <w:ind w:right="600"/>
              <w:spacing w:after="0" w:line="188" w:lineRule="exact"/>
              <w:rPr>
                <w:sz w:val="20"/>
                <w:szCs w:val="20"/>
                <w:color w:val="auto"/>
              </w:rPr>
            </w:pPr>
            <w:r>
              <w:rPr>
                <w:rFonts w:ascii="Times New Roman" w:cs="Times New Roman" w:eastAsia="Times New Roman" w:hAnsi="Times New Roman"/>
                <w:sz w:val="18"/>
                <w:szCs w:val="18"/>
                <w:b w:val="1"/>
                <w:bCs w:val="1"/>
                <w:color w:val="auto"/>
              </w:rPr>
              <w:t>RMB</w:t>
            </w:r>
          </w:p>
        </w:tc>
        <w:tc>
          <w:tcPr>
            <w:tcW w:w="5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6"/>
                <w:szCs w:val="16"/>
                <w:color w:val="auto"/>
              </w:rPr>
            </w:pPr>
          </w:p>
        </w:tc>
        <w:tc>
          <w:tcPr>
            <w:tcW w:w="98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RMB</w:t>
            </w: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US$</w:t>
            </w:r>
          </w:p>
        </w:tc>
        <w:tc>
          <w:tcPr>
            <w:tcW w:w="820" w:type="dxa"/>
            <w:vAlign w:val="bottom"/>
            <w:tcBorders>
              <w:top w:val="single" w:sz="8" w:color="auto"/>
            </w:tcBorders>
            <w:gridSpan w:val="2"/>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r>
      <w:tr>
        <w:trPr>
          <w:trHeight w:val="238"/>
        </w:trPr>
        <w:tc>
          <w:tcPr>
            <w:tcW w:w="37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37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Interest, professional skills and</w:t>
            </w:r>
          </w:p>
        </w:tc>
        <w:tc>
          <w:tcPr>
            <w:tcW w:w="1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4"/>
        </w:trPr>
        <w:tc>
          <w:tcPr>
            <w:tcW w:w="3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professional certification preparation courses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1,449,858</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1,498,058</w:t>
            </w:r>
          </w:p>
        </w:tc>
        <w:tc>
          <w:tcPr>
            <w:tcW w:w="3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1,499,704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214,455</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shd w:val="clear" w:color="auto" w:fill="CFF0FC"/>
          </w:tcPr>
          <w:p>
            <w:pPr>
              <w:spacing w:after="0"/>
              <w:rPr>
                <w:sz w:val="20"/>
                <w:szCs w:val="20"/>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Degree- or diploma-oriented</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post-secondary courses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534,041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205,578</w:t>
            </w:r>
          </w:p>
        </w:tc>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272,138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38,915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0"/>
                <w:szCs w:val="20"/>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Sales of products</w:t>
            </w:r>
            <w:r>
              <w:rPr>
                <w:rFonts w:ascii="Times New Roman" w:cs="Times New Roman" w:eastAsia="Times New Roman" w:hAnsi="Times New Roman"/>
                <w:sz w:val="24"/>
                <w:szCs w:val="24"/>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144,233</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244,901</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213,344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30,508</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4"/>
                <w:szCs w:val="24"/>
                <w:color w:val="auto"/>
                <w:vertAlign w:val="superscript"/>
              </w:rPr>
              <w:t>(2)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31,452</w:t>
            </w:r>
          </w:p>
        </w:tc>
        <w:tc>
          <w:tcPr>
            <w:tcW w:w="3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41,667</w:t>
            </w:r>
          </w:p>
        </w:tc>
        <w:tc>
          <w:tcPr>
            <w:tcW w:w="30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34,695</w:t>
            </w:r>
          </w:p>
        </w:tc>
        <w:tc>
          <w:tcPr>
            <w:tcW w:w="3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3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r>
      <w:tr>
        <w:trPr>
          <w:trHeight w:val="187"/>
        </w:trPr>
        <w:tc>
          <w:tcPr>
            <w:tcW w:w="37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net revenues</w:t>
            </w:r>
          </w:p>
        </w:tc>
        <w:tc>
          <w:tcPr>
            <w:tcW w:w="12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78"/>
        </w:trPr>
        <w:tc>
          <w:tcPr>
            <w:tcW w:w="370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2,159,584</w:t>
            </w:r>
          </w:p>
        </w:tc>
        <w:tc>
          <w:tcPr>
            <w:tcW w:w="3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1,990,204</w:t>
            </w:r>
          </w:p>
        </w:tc>
        <w:tc>
          <w:tcPr>
            <w:tcW w:w="3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2,019,881</w:t>
            </w:r>
          </w:p>
        </w:tc>
        <w:tc>
          <w:tcPr>
            <w:tcW w:w="3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288,839</w:t>
            </w:r>
          </w:p>
        </w:tc>
        <w:tc>
          <w:tcPr>
            <w:tcW w:w="3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69" w:lineRule="exact"/>
        <w:rPr>
          <w:sz w:val="20"/>
          <w:szCs w:val="20"/>
          <w:color w:val="auto"/>
        </w:rPr>
      </w:pPr>
    </w:p>
    <w:p>
      <w:pPr>
        <w:ind w:left="380" w:right="20" w:hanging="372"/>
        <w:spacing w:after="0" w:line="261" w:lineRule="auto"/>
        <w:tabs>
          <w:tab w:leader="none" w:pos="29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revenues from sales of products such as printed books and learning materials associated with the courses we offer. Revenues from sales of goods for the year ended December 31, 2023 were previously included in "others" of net revenues for the respective years.</w:t>
      </w:r>
    </w:p>
    <w:p>
      <w:pPr>
        <w:spacing w:after="0" w:line="14"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commissions received for providing referral services to third-party companies.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Group recorded cost of revenues of RMB265.5 million, RMB317.6 million and RMB264.4 million (US$37.8 million) in 2023, 2024 and 2025, respectively. Salaries and benefits paid to teachers and mentors accounted for a primary portion of cost of revenues. In 2023, 2024 and 2025, salaries and benefits paid to teachers and mentors that the Group recorded as cost of revenues were RMB91.4 million, RMB62.1 million and RMB52.9 million (US$7.6 million), respectively, accounting for 34.4%, 19.6% and 20.0%, respectively, of the cost of revenues for the same periods. The cost of revenues also included cost of printed books and learning materials, service fees paid to educational institutions, cooperation costs, related rental expenses, server management costs, bandwidth costs, payment processing costs, insurance cost, depreciations for property and equipment and amortizations for intangible assets. See “Item 4. Information on the Company—4.B. Business Overview—Tuition and Fees.”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Group’s operating expenses, in absolute amounts and as percentages of total operating expenses, for the years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2180" w:type="dxa"/>
            <w:vAlign w:val="bottom"/>
          </w:tcPr>
          <w:p>
            <w:pPr>
              <w:spacing w:after="0"/>
              <w:rPr>
                <w:sz w:val="18"/>
                <w:szCs w:val="18"/>
                <w:color w:val="auto"/>
              </w:rPr>
            </w:pPr>
          </w:p>
        </w:tc>
        <w:tc>
          <w:tcPr>
            <w:tcW w:w="15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2180" w:type="dxa"/>
            <w:vAlign w:val="bottom"/>
          </w:tcPr>
          <w:p>
            <w:pPr>
              <w:spacing w:after="0"/>
              <w:rPr>
                <w:sz w:val="18"/>
                <w:szCs w:val="18"/>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r>
      <w:tr>
        <w:trPr>
          <w:trHeight w:val="209"/>
        </w:trPr>
        <w:tc>
          <w:tcPr>
            <w:tcW w:w="2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gridSpan w:val="7"/>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1,142,154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86.6</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1,216,912</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88.5</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1,137,631</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162,679</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86.8</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143,286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132,809</w:t>
            </w: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143,796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20,563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29,553</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4,226</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1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1,319,163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1,374,729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1,310,980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187,468</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-170815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-170815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-170815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-170815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the Group’s sales and marketing expenses, in absolute amounts and as percentages of total sales and marketing expenses, for the years indicated: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060" w:type="dxa"/>
            <w:vAlign w:val="bottom"/>
          </w:tcPr>
          <w:p>
            <w:pPr>
              <w:spacing w:after="0"/>
              <w:rPr>
                <w:sz w:val="18"/>
                <w:szCs w:val="18"/>
                <w:color w:val="auto"/>
              </w:rPr>
            </w:pPr>
          </w:p>
        </w:tc>
        <w:tc>
          <w:tcPr>
            <w:tcW w:w="1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060" w:type="dxa"/>
            <w:vAlign w:val="bottom"/>
          </w:tcPr>
          <w:p>
            <w:pPr>
              <w:spacing w:after="0"/>
              <w:rPr>
                <w:sz w:val="18"/>
                <w:szCs w:val="18"/>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09"/>
        </w:trPr>
        <w:tc>
          <w:tcPr>
            <w:tcW w:w="3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Expenses incurred in relation to</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3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 personnel</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518,040</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45.4</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548,630</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45.1</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519,654</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74,310</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Marketing spending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590,565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611,610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564,351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80,701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Rentals and related expenses</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5,158</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13,699</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14,617</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2,090</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28,391</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42,973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0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sales and marketing expenses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1,142,154</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1,216,912</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1,137,631</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162,679</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30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-25400</wp:posOffset>
            </wp:positionV>
            <wp:extent cx="768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-7620</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-25400</wp:posOffset>
            </wp:positionV>
            <wp:extent cx="768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-25400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-25400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Group’s expenses incurred in relation to sales and marketing personnel consist of (i) salaries paid to the sales and marketing personnel; (ii) commissions for the sales and marketing personnel; and (iii) business process outsourcing service fees and commissions. The marketing spending includes expenses relating to the search engine marketing channels and mobile marketing channels, and to a lesser extent, offline channels and promotion activities.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has historically incurred, and are expected to continue to incur, significant sales and marketing expenses as the Group invested substantially in the sales, branding and marketing efforts and expanding the sales and marketing team to increase student enrollments and gain market share.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Group’s general and administrative expenses primarily consist of (i) compensation for the Group’s senior executives and administrative personnel, (ii) rentals of premises occupied by the Group’s senior executives and administrative personnel, and (iii) administrative and other expenses. The Group expects the general and administrative expenses to remain stable in the foreseeable future.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Group’s product development expenses primarily consist of (i) compensation for the Group’s course and educational content development professionals and technology development personnel, and (ii) rentals of premises occupied by the Group’s course and educational content development professionals and technology development personnel. The Group expects the product development expenses to remain stable in the foreseeable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Group’s consolidated results of operations for the years indicated. This information should be read together with the consolidated financial statements and related notes included elsewhere in this annual report. The operating results in any period are not necessarily indicative of the results that may be expected for any future period.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18"/>
                <w:szCs w:val="18"/>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9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18"/>
                <w:szCs w:val="18"/>
                <w:color w:val="auto"/>
              </w:rPr>
            </w:pPr>
          </w:p>
        </w:tc>
        <w:tc>
          <w:tcPr>
            <w:tcW w:w="14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thousands, except for</w:t>
            </w:r>
          </w:p>
        </w:tc>
        <w:tc>
          <w:tcPr>
            <w:tcW w:w="22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share and per share data)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2,159,584</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1,990,204</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2,019,881</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288,839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(265,528)</w:t>
            </w:r>
          </w:p>
        </w:tc>
        <w:tc>
          <w:tcPr>
            <w:tcW w:w="1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(317,570)</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(264,424)</w:t>
            </w: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(37,812)</w:t>
            </w:r>
          </w:p>
        </w:tc>
        <w:tc>
          <w:tcPr>
            <w:tcW w:w="0" w:type="dxa"/>
            <w:vAlign w:val="bottom"/>
          </w:tcPr>
          <w:p>
            <w:pPr>
              <w:spacing w:after="0"/>
              <w:rPr>
                <w:sz w:val="1"/>
                <w:szCs w:val="1"/>
                <w:color w:val="auto"/>
              </w:rPr>
            </w:pPr>
          </w:p>
        </w:tc>
      </w:tr>
      <w:tr>
        <w:trPr>
          <w:trHeight w:val="210"/>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1,894,056</w:t>
            </w:r>
          </w:p>
        </w:tc>
        <w:tc>
          <w:tcPr>
            <w:tcW w:w="2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1,672,634</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1,755,457</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251,027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(1,142,154)</w:t>
            </w:r>
          </w:p>
        </w:tc>
        <w:tc>
          <w:tcPr>
            <w:tcW w:w="16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(1,216,912)</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(1,137,631)</w:t>
            </w: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(162,679)</w:t>
            </w: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development expenses</w:t>
            </w:r>
          </w:p>
        </w:tc>
        <w:tc>
          <w:tcPr>
            <w:tcW w:w="1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(33,723)</w:t>
            </w:r>
          </w:p>
        </w:tc>
        <w:tc>
          <w:tcPr>
            <w:tcW w:w="1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(25,008)</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(29,553)</w:t>
            </w: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(143,286)</w:t>
            </w:r>
          </w:p>
        </w:tc>
        <w:tc>
          <w:tcPr>
            <w:tcW w:w="16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(132,809)</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(143,796)</w:t>
            </w: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(20,563)</w:t>
            </w:r>
          </w:p>
        </w:tc>
        <w:tc>
          <w:tcPr>
            <w:tcW w:w="0" w:type="dxa"/>
            <w:vAlign w:val="bottom"/>
          </w:tcPr>
          <w:p>
            <w:pPr>
              <w:spacing w:after="0"/>
              <w:rPr>
                <w:sz w:val="1"/>
                <w:szCs w:val="1"/>
                <w:color w:val="auto"/>
              </w:rPr>
            </w:pPr>
          </w:p>
        </w:tc>
      </w:tr>
      <w:tr>
        <w:trPr>
          <w:trHeight w:val="216"/>
        </w:trPr>
        <w:tc>
          <w:tcPr>
            <w:tcW w:w="484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Impairment loss on long-lived assets</w:t>
            </w:r>
            <w:r>
              <w:rPr>
                <w:rFonts w:ascii="Times New Roman" w:cs="Times New Roman" w:eastAsia="Times New Roman" w:hAnsi="Times New Roman"/>
                <w:sz w:val="24"/>
                <w:szCs w:val="24"/>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(67,931)</w:t>
            </w: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(9,714)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(1,319,163)</w:t>
            </w:r>
          </w:p>
        </w:tc>
        <w:tc>
          <w:tcPr>
            <w:tcW w:w="16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(1,374,729)</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(1,378,911)</w:t>
            </w: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(197,182)</w:t>
            </w:r>
          </w:p>
        </w:tc>
        <w:tc>
          <w:tcPr>
            <w:tcW w:w="0" w:type="dxa"/>
            <w:vAlign w:val="bottom"/>
          </w:tcPr>
          <w:p>
            <w:pPr>
              <w:spacing w:after="0"/>
              <w:rPr>
                <w:sz w:val="1"/>
                <w:szCs w:val="1"/>
                <w:color w:val="auto"/>
              </w:rPr>
            </w:pPr>
          </w:p>
        </w:tc>
      </w:tr>
      <w:tr>
        <w:trPr>
          <w:trHeight w:val="210"/>
        </w:trPr>
        <w:tc>
          <w:tcPr>
            <w:tcW w:w="4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574,893</w:t>
            </w:r>
          </w:p>
        </w:tc>
        <w:tc>
          <w:tcPr>
            <w:tcW w:w="240" w:type="dxa"/>
            <w:vAlign w:val="bottom"/>
            <w:tcBorders>
              <w:top w:val="single" w:sz="8" w:color="CFF0FC"/>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297,905</w:t>
            </w:r>
          </w:p>
        </w:tc>
        <w:tc>
          <w:tcPr>
            <w:tcW w:w="220" w:type="dxa"/>
            <w:vAlign w:val="bottom"/>
            <w:tcBorders>
              <w:top w:val="single" w:sz="8" w:color="CFF0FC"/>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376,546</w:t>
            </w:r>
          </w:p>
        </w:tc>
        <w:tc>
          <w:tcPr>
            <w:tcW w:w="20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31,094</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38,824</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23,643</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(7,657)</w:t>
            </w:r>
          </w:p>
        </w:tc>
        <w:tc>
          <w:tcPr>
            <w:tcW w:w="1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(5,293)</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(852)</w:t>
            </w: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34,097</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26,296</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30,121</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long-term investments</w:t>
            </w:r>
          </w:p>
        </w:tc>
        <w:tc>
          <w:tcPr>
            <w:tcW w:w="1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Gain/(loss) on disposal of subsidiaries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43,715</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(838)</w:t>
            </w:r>
          </w:p>
        </w:tc>
        <w:tc>
          <w:tcPr>
            <w:tcW w:w="198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484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Income before income tax expenses</w:t>
            </w:r>
          </w:p>
        </w:tc>
        <w:tc>
          <w:tcPr>
            <w:tcW w:w="1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676,081</w:t>
            </w:r>
          </w:p>
        </w:tc>
        <w:tc>
          <w:tcPr>
            <w:tcW w:w="240" w:type="dxa"/>
            <w:vAlign w:val="bottom"/>
            <w:tcBorders>
              <w:top w:val="single" w:sz="8" w:color="CFF0FC"/>
            </w:tcBorders>
          </w:tcPr>
          <w:p>
            <w:pPr>
              <w:spacing w:after="0"/>
              <w:rPr>
                <w:sz w:val="16"/>
                <w:szCs w:val="16"/>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356,894</w:t>
            </w:r>
          </w:p>
        </w:tc>
        <w:tc>
          <w:tcPr>
            <w:tcW w:w="220" w:type="dxa"/>
            <w:vAlign w:val="bottom"/>
            <w:tcBorders>
              <w:top w:val="single" w:sz="8" w:color="CFF0FC"/>
            </w:tcBorders>
          </w:tcPr>
          <w:p>
            <w:pPr>
              <w:spacing w:after="0"/>
              <w:rPr>
                <w:sz w:val="16"/>
                <w:szCs w:val="16"/>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429,458</w:t>
            </w:r>
          </w:p>
        </w:tc>
        <w:tc>
          <w:tcPr>
            <w:tcW w:w="200" w:type="dxa"/>
            <w:vAlign w:val="bottom"/>
            <w:tcBorders>
              <w:top w:val="single" w:sz="8" w:color="CFF0FC"/>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61,411</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loss from equity method investments</w:t>
            </w:r>
          </w:p>
        </w:tc>
        <w:tc>
          <w:tcPr>
            <w:tcW w:w="14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6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(25,166)</w:t>
            </w:r>
          </w:p>
        </w:tc>
        <w:tc>
          <w:tcPr>
            <w:tcW w:w="16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(1,300)</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(59,297)</w:t>
            </w: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(8,479)</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(10,084)</w:t>
            </w:r>
          </w:p>
        </w:tc>
        <w:tc>
          <w:tcPr>
            <w:tcW w:w="1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(13,512)</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(4,530)</w:t>
            </w: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49"/>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640,831</w:t>
            </w:r>
          </w:p>
        </w:tc>
        <w:tc>
          <w:tcPr>
            <w:tcW w:w="2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342,082</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365,631</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52,284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7"/>
                <w:szCs w:val="17"/>
                <w:color w:val="auto"/>
              </w:rPr>
            </w:pPr>
          </w:p>
        </w:tc>
        <w:tc>
          <w:tcPr>
            <w:tcW w:w="162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6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Sunlands Technology Group</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640,830</w:t>
            </w:r>
          </w:p>
        </w:tc>
        <w:tc>
          <w:tcPr>
            <w:tcW w:w="2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342,082</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365,631</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 per share attributable to ordinary shareholders of</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24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22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Sunlands Technology Group—basic and diluted</w:t>
            </w:r>
          </w:p>
        </w:tc>
        <w:tc>
          <w:tcPr>
            <w:tcW w:w="14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8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Weighted average shares used in calculating net income per</w:t>
            </w: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w:t>
            </w: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6,899,456</w:t>
            </w:r>
          </w:p>
        </w:tc>
        <w:tc>
          <w:tcPr>
            <w:tcW w:w="240" w:type="dxa"/>
            <w:vAlign w:val="bottom"/>
            <w:shd w:val="clear" w:color="auto" w:fill="CFF0FC"/>
          </w:tcPr>
          <w:p>
            <w:pPr>
              <w:spacing w:after="0"/>
              <w:rPr>
                <w:sz w:val="18"/>
                <w:szCs w:val="18"/>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6,824,824</w:t>
            </w:r>
          </w:p>
        </w:tc>
        <w:tc>
          <w:tcPr>
            <w:tcW w:w="220" w:type="dxa"/>
            <w:vAlign w:val="bottom"/>
            <w:shd w:val="clear" w:color="auto" w:fill="CFF0FC"/>
          </w:tcPr>
          <w:p>
            <w:pPr>
              <w:spacing w:after="0"/>
              <w:rPr>
                <w:sz w:val="18"/>
                <w:szCs w:val="18"/>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6,736,373</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6,736,373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42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-3385185</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-3385185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-3385185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-2545715</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-2545715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-2545715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-2545715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-1704975</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-1704975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-1704975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-1002665</wp:posOffset>
            </wp:positionV>
            <wp:extent cx="774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-985520</wp:posOffset>
            </wp:positionV>
            <wp:extent cx="774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-1002665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-985520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-1002665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-985520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-694055</wp:posOffset>
            </wp:positionV>
            <wp:extent cx="774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-694055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-694055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-694055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774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69" w:lineRule="exact"/>
        <w:rPr>
          <w:sz w:val="20"/>
          <w:szCs w:val="20"/>
          <w:color w:val="auto"/>
        </w:rPr>
      </w:pPr>
    </w:p>
    <w:p>
      <w:pPr>
        <w:ind w:left="380" w:right="80" w:hanging="372"/>
        <w:spacing w:after="0" w:line="241" w:lineRule="auto"/>
        <w:tabs>
          <w:tab w:leader="none" w:pos="29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 has included the impairment loss on long-lived assets within the income from operations as the amount was recognized for a long-lived asset to be held and used. This represents a reclassification from the unaudited full-year 2025 financial results released on March 19, 2026, where the amount was not previously presented within that subtotal. The adjustment is made to comply with the presentation requirements for impairment loss and has no impact on net income.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The Group’s net revenues increased by 1.5% from RMB1,990.2 million in 2024 to RMB2,019.9 million (US$288.8 million) in 2025, primarily due to the increase in revenues generated from degree- or diploma-oriented post-secondary courses. This was mainly because the Group gradually resumed providing services for these historical orders, which students had previously requested to suspend but exceeded the maximum allowable suspension period in the contract.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Group’s cost of revenues decreased by 16.7% from RMB317.6 million in 2024 to RMB264.4 million (US$37.8 million) in 2025. The decrease was primarily due to declined cost of revenues from sales of goods such as learning materials and books, and declined cooperation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 result of the foregoing, the Group’s gross profit increased by 5.0% from RMB1,672.6 million in 2024 to RMB1,755.5 million (US$251.0 million) in 2025, and gross margin increased from 84.0% in 2024 to 86.9% in 2025. The increase was primarily due to the contribution from the resumption of services for suspended historical orders.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Group’s operating expenses decreased by 4.6% from RMB1,374.7 million in 2024 to RMB1,311.0 million (US$187.5 million) in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Group’s sales and marketing expenses decreased by 6.5% from RMB1,216.9 million in 2024 to RMB1,137.6 million (US$162.7 million) in 2025. The decrease was mainly due to the decreases in compensation for sales personnel and the spending on branding and marketing activities focused on interest courses offerings.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Group’s general and administrative expenses increased by 8.3% from RMB132.8 million in 2024 to RMB143.8 million (US$20.6 million) in 2025, driven primarily by compensation expenses related to the Group’s general and administrative personnel.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Group’s product development expenses increased by 18.2% from RMB25.0 million in 2024 to RMB29.6 million (US$4.2 million) in 2025. The increase was primarily due to increased compensation expenses related to headcount expansion of our product development personnel.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income, net for 2025 was RMB30.1 million (US$4.3 million), compared with RMB26.3 million in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a result of the foregoing, the Group’s net income for 2025 was RMB365.6 million (US$52.3 million), compared with RMB342.1 million in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See “Item 5. Operating and Financial Review and Prospects—5.A. Operating Results—Year Ended December 31, 2024 Compared to Year Ended December 31, 2023” beginning on page 86 of our Form 20-F for the fiscal year ended December 31, 2024 filed with the Securities and Exchange Commission on April 25, 2025 (Securities Act File No. 001-38423).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use gross billings, EBITDA and adjusted EBITDA, each a non-GAAP financial measure, in evaluating the Group’s operating results and for financial and operational decision-making purposes.</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define gross billings for a specific period as the total amount of cash received for the sale of course packages, net of the total amount of refunds paid in such period. For a more detailed discussion of our tuition refund policy, see “Item 4. Information on the Company—4.B. Business Overview— Tuition and Fees.” The Group’s management uses gross billings as a performance measurement because the Group generally bills students for the entire course tuition at the time of sale of course packages and recognize revenue proportionally over a period.</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EBITDA is defined as net loss/income excluding depreciation and amortization, interest expense, interest income, and income tax expenses. Adjusted EBITDA is defined as net income excluding depreciation and amortization, interest expense, interest income, income tax expenses and impairment loss on long-lived assets. We believe that gross billings, EBITDA and adjusted EBITDA provide valuable insight into the sales of our course packages and the performance of our business.</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These non-GAAP financial measures should not be considered in isolation from, or as a substitute for, their respective most directly comparable financial measure prepared in accordance with GAAP. A reconciliation of the historical non-GAAP financial measures to their respective most directly comparable GAAP measure has been provided in the tables included below. Investors are encouraged to review the reconciliation of the historical non-GAAP financial measures to their respective most directly comparable GAAP financial measures. As gross billings, EBITDA and adjusted EBITDA have material limitations as analytical metrics and may not be calculated in the same manner by all companies, they may not be comparable to other similarly titled measures used by other companies. In light of the foregoing limitations, you should not consider gross billings, EBITDA and adjusted EBITDA as a substitute for, or superior to, their respective most directly comparable financial measures prepared in accordance with GAAP. We encourage investors and others to review the Group’s financial information in its entirety and not rely on a single financial measure.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6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88"/>
              </w:rPr>
              <w:t>thousands)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2,159,584</w:t>
            </w:r>
          </w:p>
        </w:tc>
        <w:tc>
          <w:tcPr>
            <w:tcW w:w="2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1,990,204</w:t>
            </w:r>
          </w:p>
        </w:tc>
        <w:tc>
          <w:tcPr>
            <w:tcW w:w="2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2,019,881</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Less: other revenues</w:t>
            </w:r>
            <w:r>
              <w:rPr>
                <w:rFonts w:ascii="Times New Roman" w:cs="Times New Roman" w:eastAsia="Times New Roman" w:hAnsi="Times New Roman"/>
                <w:sz w:val="24"/>
                <w:szCs w:val="24"/>
                <w:color w:val="auto"/>
                <w:vertAlign w:val="superscript"/>
              </w:rPr>
              <w:t>(1)</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(176,014)</w:t>
            </w:r>
          </w:p>
        </w:tc>
        <w:tc>
          <w:tcPr>
            <w:tcW w:w="1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(287,179)</w:t>
            </w:r>
          </w:p>
        </w:tc>
        <w:tc>
          <w:tcPr>
            <w:tcW w:w="5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(248,650)</w:t>
            </w:r>
          </w:p>
        </w:tc>
        <w:tc>
          <w:tcPr>
            <w:tcW w:w="3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(35,556)</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tax and surcharges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62,352</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77,734</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75,322</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Add: ending deferred revenue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1,113,923</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916,510</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585,294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deferred revenue in connection with</w:t>
            </w:r>
          </w:p>
        </w:tc>
        <w:tc>
          <w:tcPr>
            <w:tcW w:w="1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disposal of subsidiaries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23,220</w:t>
            </w: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720" w:type="dxa"/>
            <w:vAlign w:val="bottom"/>
            <w:gridSpan w:val="3"/>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Add: ending refund liability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143,744</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112,342</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beginning deferred revenue</w:t>
            </w: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(1,690,946)</w:t>
            </w:r>
          </w:p>
        </w:tc>
        <w:tc>
          <w:tcPr>
            <w:tcW w:w="19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(1,113,923)</w:t>
            </w:r>
          </w:p>
        </w:tc>
        <w:tc>
          <w:tcPr>
            <w:tcW w:w="5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(916,510)</w:t>
            </w: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(131,059)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Less: beginning refund liability</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(133,066)</w:t>
            </w:r>
          </w:p>
        </w:tc>
        <w:tc>
          <w:tcPr>
            <w:tcW w:w="1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(143,744)</w:t>
            </w:r>
          </w:p>
        </w:tc>
        <w:tc>
          <w:tcPr>
            <w:tcW w:w="5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(112,342)</w:t>
            </w:r>
          </w:p>
        </w:tc>
        <w:tc>
          <w:tcPr>
            <w:tcW w:w="3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(16,065)</w:t>
            </w:r>
          </w:p>
        </w:tc>
        <w:tc>
          <w:tcPr>
            <w:tcW w:w="0" w:type="dxa"/>
            <w:vAlign w:val="bottom"/>
          </w:tcPr>
          <w:p>
            <w:pPr>
              <w:spacing w:after="0"/>
              <w:rPr>
                <w:sz w:val="1"/>
                <w:szCs w:val="1"/>
                <w:color w:val="auto"/>
              </w:rPr>
            </w:pPr>
          </w:p>
        </w:tc>
      </w:tr>
      <w:tr>
        <w:trPr>
          <w:trHeight w:val="198"/>
        </w:trPr>
        <w:tc>
          <w:tcPr>
            <w:tcW w:w="38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beginning refund liability in connection with</w:t>
            </w:r>
          </w:p>
        </w:tc>
        <w:tc>
          <w:tcPr>
            <w:tcW w:w="1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shd w:val="clear" w:color="auto" w:fill="CFF0FC"/>
          </w:tcPr>
          <w:p>
            <w:pPr>
              <w:spacing w:after="0"/>
              <w:rPr>
                <w:sz w:val="17"/>
                <w:szCs w:val="17"/>
                <w:color w:val="auto"/>
              </w:rPr>
            </w:pPr>
          </w:p>
        </w:tc>
        <w:tc>
          <w:tcPr>
            <w:tcW w:w="2420" w:type="dxa"/>
            <w:vAlign w:val="bottom"/>
            <w:gridSpan w:val="3"/>
            <w:vMerge w:val="restart"/>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vMerge w:val="restart"/>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disposal of subsidiaries</w:t>
            </w:r>
          </w:p>
        </w:tc>
        <w:tc>
          <w:tcPr>
            <w:tcW w:w="16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20" w:type="dxa"/>
            <w:vAlign w:val="bottom"/>
            <w:gridSpan w:val="3"/>
            <w:vMerge w:val="continue"/>
            <w:shd w:val="clear" w:color="auto" w:fill="CFF0FC"/>
          </w:tcPr>
          <w:p>
            <w:pPr>
              <w:spacing w:after="0"/>
              <w:rPr>
                <w:sz w:val="19"/>
                <w:szCs w:val="19"/>
                <w:color w:val="auto"/>
              </w:rPr>
            </w:pPr>
          </w:p>
        </w:tc>
        <w:tc>
          <w:tcPr>
            <w:tcW w:w="1720" w:type="dxa"/>
            <w:vAlign w:val="bottom"/>
            <w:gridSpan w:val="3"/>
            <w:vMerge w:val="continue"/>
            <w:shd w:val="clear" w:color="auto" w:fill="CFF0FC"/>
          </w:tcPr>
          <w:p>
            <w:pPr>
              <w:spacing w:after="0"/>
              <w:rPr>
                <w:sz w:val="19"/>
                <w:szCs w:val="19"/>
                <w:color w:val="auto"/>
              </w:rPr>
            </w:pPr>
          </w:p>
        </w:tc>
        <w:tc>
          <w:tcPr>
            <w:tcW w:w="14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Gross billings (non-GAAP)</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1,504,617</w:t>
            </w:r>
          </w:p>
        </w:tc>
        <w:tc>
          <w:tcPr>
            <w:tcW w:w="240" w:type="dxa"/>
            <w:vAlign w:val="bottom"/>
            <w:tcBorders>
              <w:top w:val="single" w:sz="8" w:color="CFF0FC"/>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1,555,367</w:t>
            </w:r>
          </w:p>
        </w:tc>
        <w:tc>
          <w:tcPr>
            <w:tcW w:w="24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1,467,388</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209,834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-1525270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-1525270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-1525270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-153670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-153670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-153670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28" w:lineRule="exact"/>
        <w:rPr>
          <w:sz w:val="20"/>
          <w:szCs w:val="20"/>
          <w:color w:val="auto"/>
        </w:rPr>
      </w:pPr>
    </w:p>
    <w:p>
      <w:pPr>
        <w:ind w:left="380" w:right="20" w:hanging="372"/>
        <w:spacing w:after="0" w:line="261" w:lineRule="auto"/>
        <w:tabs>
          <w:tab w:leader="none" w:pos="29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commissions received for providing referral services to third-party companies and revenues from sales of goods such as printed books and learning materials associated with the courses we offer.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8"/>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2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Borders>
              <w:top w:val="single" w:sz="8" w:color="auto"/>
            </w:tcBorders>
            <w:gridSpan w:val="2"/>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09"/>
        </w:trPr>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640,831</w:t>
            </w:r>
          </w:p>
        </w:tc>
        <w:tc>
          <w:tcPr>
            <w:tcW w:w="2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342,082</w:t>
            </w:r>
          </w:p>
        </w:tc>
        <w:tc>
          <w:tcPr>
            <w:tcW w:w="2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365,631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Income tax expenses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25,166</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w:t>
            </w: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30,648</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29,467</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shd w:val="clear" w:color="auto" w:fill="CFF0FC"/>
          </w:tcPr>
          <w:p>
            <w:pPr>
              <w:spacing w:after="0"/>
              <w:rPr>
                <w:sz w:val="18"/>
                <w:szCs w:val="18"/>
                <w:color w:val="auto"/>
              </w:rPr>
            </w:pPr>
          </w:p>
        </w:tc>
      </w:tr>
      <w:tr>
        <w:trPr>
          <w:trHeight w:val="216"/>
        </w:trPr>
        <w:tc>
          <w:tcPr>
            <w:tcW w:w="4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Interest income</w:t>
            </w:r>
          </w:p>
        </w:tc>
        <w:tc>
          <w:tcPr>
            <w:tcW w:w="10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(31,094)</w:t>
            </w:r>
          </w:p>
        </w:tc>
        <w:tc>
          <w:tcPr>
            <w:tcW w:w="10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(38,824)</w:t>
            </w:r>
          </w:p>
        </w:tc>
        <w:tc>
          <w:tcPr>
            <w:tcW w:w="5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(23,643)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(3,381)</w:t>
            </w:r>
          </w:p>
        </w:tc>
      </w:tr>
      <w:tr>
        <w:trPr>
          <w:trHeight w:val="210"/>
        </w:trPr>
        <w:tc>
          <w:tcPr>
            <w:tcW w:w="3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673,208</w:t>
            </w:r>
          </w:p>
        </w:tc>
        <w:tc>
          <w:tcPr>
            <w:tcW w:w="260" w:type="dxa"/>
            <w:vAlign w:val="bottom"/>
            <w:tcBorders>
              <w:top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339,318</w:t>
            </w:r>
          </w:p>
        </w:tc>
        <w:tc>
          <w:tcPr>
            <w:tcW w:w="24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430,929</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61,621</w:t>
            </w:r>
          </w:p>
        </w:tc>
        <w:tc>
          <w:tcPr>
            <w:tcW w:w="100" w:type="dxa"/>
            <w:vAlign w:val="bottom"/>
            <w:tcBorders>
              <w:top w:val="single" w:sz="8" w:color="CFF0FC"/>
            </w:tcBorders>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6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Add: Impairment loss on long-lived assets</w:t>
            </w:r>
          </w:p>
        </w:tc>
        <w:tc>
          <w:tcPr>
            <w:tcW w:w="10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67,931</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9,714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1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673,208</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339,318</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71,335</w:t>
            </w:r>
          </w:p>
        </w:tc>
        <w:tc>
          <w:tcPr>
            <w:tcW w:w="10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-1036320</wp:posOffset>
            </wp:positionV>
            <wp:extent cx="7747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-1036320</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-1036320</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-479425</wp:posOffset>
            </wp:positionV>
            <wp:extent cx="774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-479425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-479425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-170815</wp:posOffset>
            </wp:positionV>
            <wp:extent cx="774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-170815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Cayman Islands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incorporated in the Cayman Islands. Under the current law of the Cayman Islands, we are not subject to income, corporate or capital gains tax.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dividend payments are not subject to withholding tax in the Cayman Islands.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subsidiary, Sunlands Online Education Singapore Pte. Ltd is incorporated in Singapore and are subject to Singapore Profits Tax on the taxable income as reported in its statutory financial statements adjusted in accordance with relevant Singapore tax laws. The profits earned by such Singapore entity will be taxed at 17%, with 75% of the first SGD$10,000 taxable income and 50% of the next SGD$190,000 taxable income are exempted from income tax.</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subsidiaries in Hong Kong are subject to a two-tiered income tax rate for taxable income earned in Hong Kong with effect from April 1, 2018. The first HK$2 million of profits earned by Hong Kong entities will be taxed at 8.25%, while the remaining profits will continue to be taxed at the existing 16.5% tax rate. In addition, to avoid abuse of the two-tiered income tax rate regime, each group of connected entities can nominate only one entity to benefit from the two-tiered income tax rate. Payments of dividends by our subsidiaries to the Group are not subject to withholding tax in Hong Kong.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3" w:name="page94"/>
    <w:bookmarkEnd w:id="93"/>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 xml:space="preserve">Our subsidiaries and the VIEs and their subsidiaries in China are companies incorporated under PRC law and, as such, are subject to PRC enterprise income tax on their taxable income in accordance with the relevant PRC income tax laws. Pursuant to the PRC Enterprise Income Tax Law, or PRC EIT Law, a uniform 25% enterprise income tax rate is generally applicable to both foreign-invested enterprises and domestic enterprises, except where a special preferential rate applies. For example, the local tax </w:t>
      </w:r>
      <w:r>
        <w:rPr>
          <w:rFonts w:ascii="Times New Roman" w:cs="Times New Roman" w:eastAsia="Times New Roman" w:hAnsi="Times New Roman"/>
          <w:sz w:val="19"/>
          <w:szCs w:val="19"/>
          <w:color w:val="231F20"/>
        </w:rPr>
        <w:t>bureau in Guangdong exempted 40% of the EIT based on the statutory tax rate of 25%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231F20"/>
        </w:rPr>
        <w:t>enterprises located in certain autonomous regions from 2018 to 2035</w:t>
      </w:r>
      <w:r>
        <w:rPr>
          <w:rFonts w:ascii="Times New Roman" w:cs="Times New Roman" w:eastAsia="Times New Roman" w:hAnsi="Times New Roman"/>
          <w:sz w:val="17"/>
          <w:szCs w:val="17"/>
          <w:color w:val="000000"/>
        </w:rPr>
        <w:t>. Besides, from January 1, 2023 to December 31, 2027, subject to certain</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7"/>
          <w:szCs w:val="17"/>
          <w:color w:val="000000"/>
        </w:rPr>
        <w:t>criteria, the portion of annual taxable income amount of a small profit enterprise shall be computed at a reduced rate of 25% as taxable income amount, and be subject to enterprise income tax at 20% tax rate.</w:t>
      </w:r>
    </w:p>
    <w:p>
      <w:pPr>
        <w:spacing w:after="0" w:line="7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Group’s services are subject to VAT at the rate of 6%, and sales of goods are calculated at 13% on revenue and paid after deducting input VAT on purchases for general-VAT-payer entities in accordance with tax rule, except that certain subsidiaries were subject to a simple VAT collection method at a rate of 3%.</w:t>
      </w:r>
    </w:p>
    <w:p>
      <w:pPr>
        <w:spacing w:after="0" w:line="68"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As a Cayman Islands holding company, we may receive dividends from our PRC subsidiaries through Sunlands Online Education HK Limited. The PRC EIT Law and its implementing regulations provide that dividends paid by a PRC entity to a non-resident enterprise for income tax purposes is subject to PRC withholding tax at a rate of 10%, subject to reduction by an applicable tax treaty with China. 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and certain other conditions are met. Pursuant to the Notice of the State Administration of Taxation on the Issues concerning the Application of the Dividend Clauses of Tax Agreements, or SAT Circular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The State Administration of Taxation promulgated the Administrative Measures for Non-resident Taxpayers to Enjoy Treatment under Treaties, or SAT Circular 35, which became effective on January 1, 2020. SAT Circular 35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Sunlands Online Education HK Limited may be able to benefit from the 5% withholding tax rate for the dividends it receives from Wuhan Zhibo if it satisfies the conditions prescribed under SAT Circular 81 and other relevant tax rules and regulations. However, according to SAT Circular 81 and SAT Circular 35, if the relevant tax authorities consider the transactions or arrangements the Group has are for the primary purpose of enjoying a favorable tax treatment, the relevant tax authorities may adjust the favorable withholding tax in the future.</w:t>
      </w:r>
    </w:p>
    <w:p>
      <w:pPr>
        <w:spacing w:after="0" w:line="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our company or any of our subsidiaries outside of China were deemed to be a “resident enterprise” under the PRC EIT Law, it would be subject to enterprise income tax on its worldwide income at a rate of 25%. See “Item 3. Key Information—3.D. Risk Factors—Risks Related to Doing Business in China—If we are classified as a PRC resident enterprise for PRC enterprise income tax purposes, such classification could result in unfavorable tax consequences to the Group and our non-PRC shareholders and ADS 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prepare financial statements in accordance with U.S. GAAP, which requires the Group to make judgments, estimates and assumptions that affect the reported amounts of our assets and liabilities and the disclosure of our contingent assets and liabilities at the end of each fiscal period and the reported amounts of revenues and expenses during each fiscal period.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the Group’s actual results could differ from those estimates. Some of our accounting estimates require a higher degree of judgment than others in their application.</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selection of critical accounting estimates, the judgments and other uncertainties affecting application of those estimates and the sensitivity of reported results to changes in conditions and assumptions are factors that should be considered when reviewing the Group’s financial statements. We believe the following accounting estimates involve the most significant judgments and estimates used in the preparation of the Group’s financial statements. For further information on our critical accounting estimates, see Note 2 to the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Group’s contracts with customers may include promises to transfer multiple services and goods. Determining whether different services and goods are considered distinct performance obligations that should be accounted for separately versus together may require significant judgment.</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Group derived revenue primarily from the online education services. Revenues for online education services are recognized on a straight-line basis over the service period from the registration day to the day on which the service period ends.</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online education services, the Group provides an integrated online education service package to students, including online live streaming audio-video interactive course content, recorded previous live audio-video course content, quiz banks, online chat rooms, and educational contents. The services and goods provided in the package are highly interdependent and interrelated in the context of the contract and are only considered accessory services to the online live streaming and recorded courses which are not distinct and are not sold standalone. Therefore, the Group’s integrated online education services package is accounted for as a single performance obligation.</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transaction price of the integrated online education service package is determined by the contract amount net of any discount. Students are offered a full, unconditional refund within 24 hours upon enrollment and undelivered courses are eligible for refund during the entire service period, excluding registration fees. Refund liability represents the tuition fee collected by the Group which is expected to refund back to the customers as a result of the Group’s refund policy. Refund liabilities are estimated based on a historical refund ratio on a portfolio basis using the expected value method and current period experience factors, such as the anticipated cash refund that would occur in the normal course of business. This may requires significant judgments and the actual amount of refund may differ from the Group’s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5.B. 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 financed operations from cash generated from operating activities as well as proceeds from the issuance and sale of our ordinary shares. As of December 31, 2025, the Group had RMB575.7 million (US$82.3 million) in cash and cash equivalents, the majority of which were held by our company, our PRC subsidiaries, the VIEs and the VIEs’ subsidiaries in China. The Group’s cash and cash equivalents consist primarily of bank deposits and are primarily denominated in U.S. dollars and Renminbi. We believe that the Group’s current cash and anticipated cash flow from operations will be sufficient to meet the Group’s anticipated cash needs, including the cash needs for working capital and capital expenditures, for at least the next 12 months. As of December 31, 2025, the Group’s cash and cash equivalents denominated in U.S. dollars and Renminbi amounted to RMB364.0 million (US$52.0 million) and RMB211.2 million (US$30.2 million), respectively. We believe there is no substantial doubt to operate as a going concern, as a result, the accompanying consolidated financial statements have been prepared on a going concern basis, and do not reflect any adjustments relating to the recoverability and reclassification of assets and liabilities that might have been necessary if we were unable to continue as a going concern.</w:t>
      </w:r>
    </w:p>
    <w:p>
      <w:pPr>
        <w:spacing w:after="0" w:line="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recorded net income of RMB640.8 million, RMB342.1 million and RMB365.6 million (US$52.3 million) for the years ended December 31, 2023, 2024 and 2025, respectively. The Group had positive working capital of RMB82.9 million and RMB157.9 million (US$22.6 million) as of December 31, 2024 and 2025, respectively.</w:t>
      </w:r>
    </w:p>
    <w:p>
      <w:pPr>
        <w:spacing w:after="0" w:line="6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intend to finance the Group’s future working capital requirements and capital expenditures from existing cash balance, cash generated from operating activities and funds raised from financing activities. We may, however, require additional cash due to changing business conditions or other future developments, including any investments or acquisitions we may decide to pursue. If our existing cash is insufficient to meet the Group’s requirements, we may seek to issue debt or equity securities or obtain additional credit facilities. Financing may be unavailable in the amounts we need or on terms acceptable to us, if at all. Issuance of additional equity securities, including convertible debt securities, would dilute earnings per share. The incurrence of debt would divert cash for working capital and capital expenditures to service debt obligations and could result in operating and financial covenants that restrict the Group’s operations and our ability to pay dividends to our shareholders. If we are unable to obtain additional equity or debt financing as required, the Group’s business operations and prospects may suffer.</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December 31, 2025.</w:t>
      </w:r>
    </w:p>
    <w:p>
      <w:pPr>
        <w:spacing w:after="0" w:line="11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a holding company with no material operations of our own, the Group’s operations are primarily conducted through our subsidiaries and the VIEs in China. We are permitted under PRC laws and regulations to provide funding to our PRC subsidiaries in China through capital contributions or loans, subject to the approval of government authorities and limits on the amount of capital contributions and loans. In addition, our subsidiaries in China may provide Renminbi funding to the VIEs only through entrusted loans. The ability of our subsidiaries in China to make dividends or other cash payments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5" w:name="page96"/>
    <w:bookmarkEnd w:id="95"/>
    <w:p>
      <w:pPr>
        <w:jc w:val="both"/>
        <w:spacing w:after="0" w:line="256" w:lineRule="auto"/>
        <w:rPr>
          <w:sz w:val="20"/>
          <w:szCs w:val="20"/>
          <w:color w:val="auto"/>
        </w:rPr>
      </w:pPr>
      <w:r>
        <w:rPr>
          <w:rFonts w:ascii="Times New Roman" w:cs="Times New Roman" w:eastAsia="Times New Roman" w:hAnsi="Times New Roman"/>
          <w:sz w:val="18"/>
          <w:szCs w:val="18"/>
          <w:color w:val="auto"/>
        </w:rPr>
        <w:t>to us is subject to various restrictions under PRC laws and regulations. See “Item 3. Key Information—3.D. Risk Factors—Risks Related to Doing Business in China—We may rely on dividends and other distributions on equity paid by our PRC and Hong Kong subsidiaries to fund any cash and financing requirements we may have, and any limitation on the ability of these subsidiaries in the PRC, including Hong Kong, to make payments to us could have a material and adverse effect on our ability to conduct the Group’s business” and “Item 3. Key Information—3.D. Risk Factors—Risks Related to Doing Business in China—If we are classified as a PRC resident enterprise for PRC enterprise income tax purposes, such classification could result in unfavorable tax consequences to the Group and our non-PRC shareholders and ADS holders.”</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 summary of the Group’s cash flows for the years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3900" w:type="dxa"/>
            <w:vAlign w:val="bottom"/>
            <w:tcBorders>
              <w:bottom w:val="single" w:sz="8" w:color="auto"/>
            </w:tcBorders>
            <w:gridSpan w:val="5"/>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6200" w:type="dxa"/>
            <w:vAlign w:val="bottom"/>
          </w:tcPr>
          <w:p>
            <w:pPr>
              <w:spacing w:after="0"/>
              <w:rPr>
                <w:sz w:val="18"/>
                <w:szCs w:val="18"/>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2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6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220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r>
      <w:tr>
        <w:trPr>
          <w:trHeight w:val="210"/>
        </w:trPr>
        <w:tc>
          <w:tcPr>
            <w:tcW w:w="62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195,519</w:t>
            </w: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146,809</w:t>
            </w:r>
          </w:p>
        </w:tc>
        <w:tc>
          <w:tcPr>
            <w:tcW w:w="4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20,994</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(358,860)</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(12,735)</w:t>
            </w:r>
          </w:p>
        </w:tc>
        <w:tc>
          <w:tcPr>
            <w:tcW w:w="4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(1,821)</w:t>
            </w: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(112,728)</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(47,708)</w:t>
            </w:r>
          </w:p>
        </w:tc>
        <w:tc>
          <w:tcPr>
            <w:tcW w:w="4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(6,822)</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16,920</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(16,832)</w:t>
            </w:r>
          </w:p>
        </w:tc>
        <w:tc>
          <w:tcPr>
            <w:tcW w:w="4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(2,408)</w:t>
            </w: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(decrease)/increase in cash, cash equivalents and restricted cash</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(259,149)</w:t>
            </w: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69,534</w:t>
            </w:r>
          </w:p>
        </w:tc>
        <w:tc>
          <w:tcPr>
            <w:tcW w:w="4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9,943</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766,378</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507,229</w:t>
            </w:r>
          </w:p>
        </w:tc>
        <w:tc>
          <w:tcPr>
            <w:tcW w:w="4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72,533</w:t>
            </w:r>
          </w:p>
        </w:tc>
      </w:tr>
      <w:tr>
        <w:trPr>
          <w:trHeight w:val="20"/>
        </w:trPr>
        <w:tc>
          <w:tcPr>
            <w:tcW w:w="62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year</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507,229</w:t>
            </w: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576,763</w:t>
            </w:r>
          </w:p>
        </w:tc>
        <w:tc>
          <w:tcPr>
            <w:tcW w:w="4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82,476</w:t>
            </w: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-25400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a summary of the Group’s cash flows in 2023, see “Item 5. Operating and Financial Review and Prospects—5.B. Liquidity and Capital Resources —Cash Flows and Working Capital” beginning on page 90 of our Form 20-F for the fiscal year ended December 31, 2023 filed with the Securities and Exchange Commission on April 25, 2024 (Securities Act File No. 001-38423).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Net cash generated from operating activities was RMB146.8 million (US$21.0 million) in 2025. The difference between the Group’s net income of RMB365.6 million (US$52.3 million), after netting non-cash reconciliation items, and the net cash used in operating activities was mainly due to (i) a decrease in deferred revenue of RMB331.2 million (US$47.4 million), (ii) a decrease in accrued expenses and other current liabilities of RMB38.4 million (US$5.5 million), (iii) a decrease in lease liability of RMB6.7 million (US$1.0 million); partially offset by (i) impairment loss on long-lived assets of RMB67.9 million (US$9.7 million), (ii) depreciation and amortization of RMB28.8 million (US$4.1 million), (iii) a decrease in deferred costs of RMB27.8 million (US$4.0 million), (iv) non-cash lease expenses of RMB12.2 million (US$1.7 million), (v) a decrease in prepaid expenses and other current assets of RMB12.4 million (US$1.8 million). Deferred revenue consisted primarily of tuition paid upfront by students at the time of purchase of course packages. Deferred cost consisted primarily of the incremental sales commissions and service fees relating to obtaining of customer contracts which is expected to be recovered and capitalized.</w:t>
      </w:r>
    </w:p>
    <w:p>
      <w:pPr>
        <w:spacing w:after="0" w:line="80"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Net cash generated from operating activities was RMB195.5 million in 2024. The difference between the Group’s net income of RMB342.1 million, after netting non-cash reconciliation items, and the net cash used in operating activities was mainly due to (i) a decrease in deferred revenue of RMB194.0 million, (ii) an increase in deferred tax assets of RMB24.7 million, (iii) a decrease in lease liability of RMB19.9 million; partially offset by (i) depreciation and amortization of RMB29.5 million, (ii) non-cash lease expenses of RMB18.1 million, (iii) a decrease in deferred costs of RMB18.1 million, (iv) loss from an equity method investment of RMB13.5 million. Deferred revenue consisted primarily of tuition paid upfront by students at the time of purchase of course packages. Deferred cost consisted primarily of the incremental sales commissions and service fees relating to obtaining of customer contracts which is expected to be recovered and capitalized.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RMB12.7 million (US$1.8 million) in 2025, which was primarily attributable to purchase of short-term investments of RMB1,491.4 million (US$213.3 million) and the payment for long-term investments of RMB84.6 million (US$12.1 million), partially offset by proceeds from maturity of short-term investments of RMB1,553.0 million (US$222.1 million) and proceeds received from disposal of long-term investments of RMB6.9 million (US$1.0 million).</w:t>
      </w:r>
    </w:p>
    <w:p>
      <w:pPr>
        <w:spacing w:after="0" w:line="72"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RMB358.9 million in 2024, which was primarily attributable to purchase of short-term investments of RMB1,738.7 million and the purchase of long-term investments of RMB235.3 million, partially offset by proceeds from maturity of short-term investments of RMB1,607.1 million.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2025 was RMB47.7 million (US$6.8 million), which was primarily attributable to repayment of bank debt of RMB61.5 million (US$8.8 million), and partially offset by the proceeds from bank loans of RMB20.0 million (US$2.9 million).</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2024 was RMB112.7 million, which was primarily attributable to repayment of bank debt of RMB101.8 million and repurchase Class A ordinary shares of RMB10.9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Group’s material cash requirements as of December 31, 2025 and any subsequent interim period primarily include the Group’s operating lease commitments, capital expenditures and working capital requirements.</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Group’s operating lease commitments consist of the commitments under the lease agreements for office premises. The Group leases the office facilities under non-cancelable operating leases with various expiration dates. The majority of the Group’s operating lease commitments are related to our office lease agreements in China.</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Group’s contractual obligations as of December 31,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Payment due by period</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More</w:t>
            </w:r>
          </w:p>
        </w:tc>
        <w:tc>
          <w:tcPr>
            <w:tcW w:w="10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Less than</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than</w:t>
            </w:r>
          </w:p>
        </w:tc>
      </w:tr>
      <w:tr>
        <w:trPr>
          <w:trHeight w:val="238"/>
        </w:trPr>
        <w:tc>
          <w:tcPr>
            <w:tcW w:w="3660" w:type="dxa"/>
            <w:vAlign w:val="bottom"/>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20"/>
                <w:szCs w:val="20"/>
                <w:color w:val="auto"/>
              </w:rPr>
            </w:pPr>
          </w:p>
        </w:tc>
        <w:tc>
          <w:tcPr>
            <w:tcW w:w="136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5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00" w:type="dxa"/>
            <w:vAlign w:val="bottom"/>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 years</w:t>
            </w:r>
          </w:p>
        </w:tc>
        <w:tc>
          <w:tcPr>
            <w:tcW w:w="100" w:type="dxa"/>
            <w:vAlign w:val="bottom"/>
          </w:tcPr>
          <w:p>
            <w:pPr>
              <w:spacing w:after="0"/>
              <w:rPr>
                <w:sz w:val="20"/>
                <w:szCs w:val="20"/>
                <w:color w:val="auto"/>
              </w:rPr>
            </w:pPr>
          </w:p>
        </w:tc>
      </w:tr>
      <w:tr>
        <w:trPr>
          <w:trHeight w:val="209"/>
        </w:trPr>
        <w:tc>
          <w:tcPr>
            <w:tcW w:w="3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(RMB in thousands)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190,411</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38,237</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94,979</w:t>
            </w:r>
          </w:p>
        </w:tc>
        <w:tc>
          <w:tcPr>
            <w:tcW w:w="100" w:type="dxa"/>
            <w:vAlign w:val="bottom"/>
            <w:shd w:val="clear" w:color="auto" w:fill="CFF0FC"/>
          </w:tcPr>
          <w:p>
            <w:pPr>
              <w:spacing w:after="0"/>
              <w:rPr>
                <w:sz w:val="18"/>
                <w:szCs w:val="18"/>
                <w:color w:val="auto"/>
              </w:rPr>
            </w:pPr>
          </w:p>
        </w:tc>
      </w:tr>
    </w:tbl>
    <w:p>
      <w:pPr>
        <w:spacing w:after="0" w:line="34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Group’s capital expenditures are incurred primarily in connection with purchases of IT infrastructure equipment necessary to support the Group’s operations. The Group’s capital expenditures were RMB6.4 million, RMB0.4 million and RMB0.7 million (US$0.1 million), respectively, for the years ended December 31, 2023, 2024 and 2025. We intend to fund our future working capital requirements and capital expenditures from the Group’s existing cash balance, cash generated from operating activities and funds raised from financing activities.</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Group’s long-term loans represent future maximum commitment relating to the principal amount and interests in connection with two loan agreements dated August 29, 2018 and November 21, 2018 in the aggregate principal amount of RMB260.0 million (US$40.8 million) and one loan agreement dated July 5, 2021 with the principal amount of RMB61.5 million (US$9.7 million). The annual interest rate for the loan agreements dated in 2018 was 1.472% prior to April 15, 2021, 1.25% from April 16, 2021 to August 25, 2023 and 0.7% after August 25, 2023 on top of base rate of one-year interest rate released by the People’s Bank of China. The annual interest rate for the loan agreement dated in 2021 was 1.05% prior to July 1, 2022 and 0.75% after July 1, 2022 on top of base rate of one-year interest rate released by the People’s Bank of China. Under the agreements, the Group is obligated to repay the loans in equal installment every three months with maturity terms ranging from eight years to ten years. The Group repaid RMB38.7 million, RMB101.8 million and RMB41.5 million (US$5.9 million) for the principals of loans during the years ended December 31, 2023, 2024 and 2025, respectively. During the year ended December 31, 2024, the Group has fully repaid outstanding amount under the two loan agreements dated August 29, 2018 and November 21, 2018.</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year ended December 31, 2025, the Group had fully repaid outstanding loan principals before maturity date for the loan dated July 5, 2021.</w:t>
      </w:r>
    </w:p>
    <w:p>
      <w:pPr>
        <w:spacing w:after="0" w:line="11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Group has not entered into any financial guarantees or other commitments to guarantee the payment obligations of any third parties. The Group does not have retained or contingent interests in assets transferred. The Group has not entered into contractual arrangements that support the credit, liquidity or market risk for transferred assets. The Group does not have obligations that arise or could arise from variable interests held in an unconsolidated entity, or obligations related to derivative instruments that are both indexed to and classified in the Group’s own equity, or not reflected in the statement of financial position.</w:t>
      </w:r>
    </w:p>
    <w:p>
      <w:pPr>
        <w:spacing w:after="0" w:line="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Other than those shown above, the Group did not have any significant capital and other commitments, long-term obligations, or guarantees as of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Funds and Other Assets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Under relevant PRC laws and regulations, we are permitted to remit funds to the VIEs through loans rather than capital contributions. The VIEs funded their operations primarily using cash generated from operating and financing activities. In addition, we and the VIEs may, from time to time, lend cash to each other to settle the payment obligations on each other’s behalf to provide temporary working capital support. In 2023 and 2024, the net amounts of working capital support provided by the VIEs to our PRC subsidiaries were RMB602.9 million and RMB924.6 million, respectively. In 2025, the net amounts of working capital support provided by our PRC subsidiaries to the VIEs were RMB148.4 million (US$21.2</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7" w:name="page98"/>
    <w:bookmarkEnd w:id="97"/>
    <w:p>
      <w:pPr>
        <w:jc w:val="both"/>
        <w:spacing w:after="0" w:line="282" w:lineRule="auto"/>
        <w:rPr>
          <w:sz w:val="20"/>
          <w:szCs w:val="20"/>
          <w:color w:val="auto"/>
        </w:rPr>
      </w:pPr>
      <w:r>
        <w:rPr>
          <w:rFonts w:ascii="Times New Roman" w:cs="Times New Roman" w:eastAsia="Times New Roman" w:hAnsi="Times New Roman"/>
          <w:sz w:val="18"/>
          <w:szCs w:val="18"/>
          <w:color w:val="auto"/>
        </w:rPr>
        <w:t>million). For more information, see “Item 3. Key Information—Condensed Consolidating Schedule,” and consolidated financial statements included elsewhere in this annual report.</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2025, Sunlands Technology Group had made cumulative capital contributions of US$200.2 million to our PRC subsidiaries through an intermediate holding company. These funds have been used by our PRC subsidiaries for their operations. Our PRC subsidiaries maintained certain personnel for sales and marketing, research and development, and general and administrative functions to support the operations of the VIEs.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2023, 2024 and 2025, the VIEs transferred RMB26.8 million, RMB60.1 million and RMB132.6 million (US$19.0 million) of service fees to our PRC subsidiaries pursuant to the contractual arrangements, respectively. The outstanding balance of service fees owed by the VIEs to our PRC subsidiaries was nil as of each of December 31, 2023, 2024 and 2025. There were no other assets transferred between us and the VIEs in 2023, 2024 and 2025.</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advised by our PRC legal counsel, for any amounts owed by the VIEs to our PRC subsidiaries under the VIE agreements, unless otherwise required by PRC tax authorities, the Group is able to settle such amounts without limitations under the current effective PRC laws and regulations, provided that the VIEs have sufficient funds to do so and that the VIEs, in case in the form of non-enterprise institution, follow the principles of openness, fairness and impartiality, fix the price reasonably and regulate the decision-making, and do not damage the state interests, the interests of the non-enterprise institution or the rights and interests of the teachers and students when conducting such related party transaction.</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subsidiaries are permitted to pay dividends to their shareholders, and eventually to Sunlands Technology Group, only out of their retained earnings, if any, as determined in accordance with PRC accounting standards and regulations. Such payment of dividends by entities registered in China is subject to limitations, which could result in limitations on the availability of cash to fund dividends or make distributions to shareholders of our securities. For example, our PRC subsidiaries and the VIEs are required to make appropriations to certain statutory reserve funds or may make appropriations to certain discretionary funds, which are not distributable as cash dividends except in the event of a solvent liquidation of the companies. For more details, see “Item 3. Key Information—D. Risk Factors—Risks Related to Doing Business in China—We may rely on dividends and other distributions on equity paid by our PRC and Hong Kong subsidiaries to fund any cash and financing requirements we may have, and any limitation on the ability of these subsidiaries in the PRC, including Hong Kong, to make payments to us could have a material and adverse effect on our ability to conduct the Group’s business.”</w:t>
      </w:r>
    </w:p>
    <w:p>
      <w:pPr>
        <w:spacing w:after="0" w:line="8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Sunlands Technology Group has previously declared a special cash dividend of US$1.36 per ordinary share (or US$0.68 per ADS) to holders of its ordinary shares and ADSs on June 14, 2022, which had been fully paid. We have no plan to declare or pay any dividends in the near future on our shares or the ADSs representing our ordinary shares. We currently intend to retain most, if not all, of our available funds and any future earnings to operate and expand the Group’s business. See “Item 8. Financial Information—8.A. Consolidated Statements and Other Financial Information—Dividend Policy.”</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no transfers, dividends, or distributions between Sunlands Technology Group, our PRC subsidiaries, and the VIEs, other than those described in this annual report, have been made. As of the date of this annual report, we do not have cash management policies in place that dictate how funds are transferred between Sunlands Technology Group, our subsidiaries, the VIEs and the investors. Rather, the funds can be transferred in accordance with the applicable laws and regulations discussed in this section.</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To the extent cash or assets in the business are in the PRC, including Hong Kong, or a PRC (including Hong Kong) entity, the funds or assets may not be available to fund operations or for other use outside of the PRC or Hong Kong due to interventions in or the imposition of restrictions and limitations on the ability of Sunlands Technology Group, our subsidiaries, or the VIEs by the PRC government to transfer cash or assets. There is no assurance the PRC government will not intervene in or impose restrictions on the ability of Sunlands Technology Group, our subsidiaries, or the VIEs to transfer cash or assets. See “Item 3. Key Information—3.D. Risk Factors—Risks Related to Doing Business in China—We may rely on dividends and other distributions on equity paid by our PRC and Hong Kong subsidiaries to fund any cash and financing requirements we may have, and any limitation on the ability of these subsidiaries in the PRC, including Hong Kong, to make payments to us could have a material and adverse effect on our ability to conduct the Group’s business.”</w:t>
      </w:r>
    </w:p>
    <w:p>
      <w:pPr>
        <w:spacing w:after="0" w:line="8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the purpose of illustration, the below table reflects the hypothetical taxes that might be required to be paid within China, assuming that: (i) we have taxable earnings, and (ii) we determine to pay a dividend in the future: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Taxation</w:t>
            </w:r>
          </w:p>
        </w:tc>
      </w:tr>
      <w:tr>
        <w:trPr>
          <w:trHeight w:val="236"/>
        </w:trPr>
        <w:tc>
          <w:tcPr>
            <w:tcW w:w="9180" w:type="dxa"/>
            <w:vAlign w:val="bottom"/>
          </w:tcPr>
          <w:p>
            <w:pPr>
              <w:spacing w:after="0"/>
              <w:rPr>
                <w:sz w:val="20"/>
                <w:szCs w:val="20"/>
                <w:color w:val="auto"/>
              </w:rPr>
            </w:pPr>
          </w:p>
        </w:tc>
        <w:tc>
          <w:tcPr>
            <w:tcW w:w="2060" w:type="dxa"/>
            <w:vAlign w:val="bottom"/>
            <w:gridSpan w:val="2"/>
          </w:tcPr>
          <w:p>
            <w:pPr>
              <w:jc w:val="center"/>
              <w:ind w:right="220"/>
              <w:spacing w:after="0" w:line="236" w:lineRule="exact"/>
              <w:rPr>
                <w:sz w:val="20"/>
                <w:szCs w:val="20"/>
                <w:color w:val="auto"/>
              </w:rPr>
            </w:pPr>
            <w:r>
              <w:rPr>
                <w:rFonts w:ascii="Times New Roman" w:cs="Times New Roman" w:eastAsia="Times New Roman" w:hAnsi="Times New Roman"/>
                <w:sz w:val="18"/>
                <w:szCs w:val="18"/>
                <w:b w:val="1"/>
                <w:bCs w:val="1"/>
                <w:color w:val="auto"/>
                <w:w w:val="93"/>
              </w:rPr>
              <w:t>Scenario</w:t>
            </w:r>
            <w:r>
              <w:rPr>
                <w:rFonts w:ascii="Times New Roman" w:cs="Times New Roman" w:eastAsia="Times New Roman" w:hAnsi="Times New Roman"/>
                <w:sz w:val="24"/>
                <w:szCs w:val="24"/>
                <w:b w:val="1"/>
                <w:bCs w:val="1"/>
                <w:color w:val="auto"/>
                <w:w w:val="93"/>
                <w:vertAlign w:val="superscript"/>
              </w:rPr>
              <w:t>(1)</w:t>
            </w:r>
          </w:p>
        </w:tc>
      </w:tr>
      <w:tr>
        <w:trPr>
          <w:trHeight w:val="216"/>
        </w:trPr>
        <w:tc>
          <w:tcPr>
            <w:tcW w:w="918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Statutory Tax</w:t>
            </w:r>
          </w:p>
        </w:tc>
      </w:tr>
      <w:tr>
        <w:trPr>
          <w:trHeight w:val="216"/>
        </w:trPr>
        <w:tc>
          <w:tcPr>
            <w:tcW w:w="918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and</w:t>
            </w:r>
          </w:p>
        </w:tc>
      </w:tr>
      <w:tr>
        <w:trPr>
          <w:trHeight w:val="238"/>
        </w:trPr>
        <w:tc>
          <w:tcPr>
            <w:tcW w:w="918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Standard Rates</w:t>
            </w:r>
          </w:p>
        </w:tc>
        <w:tc>
          <w:tcPr>
            <w:tcW w:w="220" w:type="dxa"/>
            <w:vAlign w:val="bottom"/>
          </w:tcPr>
          <w:p>
            <w:pPr>
              <w:spacing w:after="0"/>
              <w:rPr>
                <w:sz w:val="20"/>
                <w:szCs w:val="20"/>
                <w:color w:val="auto"/>
              </w:rPr>
            </w:pPr>
          </w:p>
        </w:tc>
      </w:tr>
      <w:tr>
        <w:trPr>
          <w:trHeight w:val="210"/>
        </w:trPr>
        <w:tc>
          <w:tcPr>
            <w:tcW w:w="91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Hypothetical pre-tax earnings</w:t>
            </w:r>
            <w:r>
              <w:rPr>
                <w:rFonts w:ascii="Times New Roman" w:cs="Times New Roman" w:eastAsia="Times New Roman" w:hAnsi="Times New Roman"/>
                <w:sz w:val="24"/>
                <w:szCs w:val="24"/>
                <w:color w:val="auto"/>
                <w:vertAlign w:val="superscript"/>
              </w:rPr>
              <w:t>(2)</w:t>
            </w:r>
          </w:p>
        </w:tc>
        <w:tc>
          <w:tcPr>
            <w:tcW w:w="2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9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Tax on earnings at statutory rate of 25%</w:t>
            </w:r>
            <w:r>
              <w:rPr>
                <w:rFonts w:ascii="Times New Roman" w:cs="Times New Roman" w:eastAsia="Times New Roman" w:hAnsi="Times New Roman"/>
                <w:sz w:val="24"/>
                <w:szCs w:val="24"/>
                <w:color w:val="auto"/>
                <w:vertAlign w:val="superscript"/>
              </w:rPr>
              <w:t>(3)</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2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Withholding tax at standard rate of 10%</w:t>
            </w:r>
            <w:r>
              <w:rPr>
                <w:rFonts w:ascii="Times New Roman" w:cs="Times New Roman" w:eastAsia="Times New Roman" w:hAnsi="Times New Roman"/>
                <w:sz w:val="24"/>
                <w:szCs w:val="24"/>
                <w:color w:val="auto"/>
                <w:vertAlign w:val="superscript"/>
              </w:rPr>
              <w:t>(4)</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distribution to Parent/Shareholders</w:t>
            </w:r>
          </w:p>
        </w:tc>
        <w:tc>
          <w:tcPr>
            <w:tcW w:w="2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67.5%</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69" w:lineRule="exact"/>
        <w:rPr>
          <w:sz w:val="20"/>
          <w:szCs w:val="20"/>
          <w:color w:val="auto"/>
        </w:rPr>
      </w:pPr>
    </w:p>
    <w:p>
      <w:pPr>
        <w:ind w:left="380" w:right="20" w:hanging="372"/>
        <w:spacing w:after="0" w:line="301" w:lineRule="auto"/>
        <w:tabs>
          <w:tab w:leader="none" w:pos="365"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calculation has been simplified for the purpose of this example. The hypothetical book pre-tax earnings amount, which does not consider timing differences, is assumed to equal the taxable income in the PRC.</w:t>
      </w:r>
    </w:p>
    <w:p>
      <w:pPr>
        <w:spacing w:after="0" w:line="1" w:lineRule="exact"/>
        <w:rPr>
          <w:rFonts w:ascii="Times New Roman" w:cs="Times New Roman" w:eastAsia="Times New Roman" w:hAnsi="Times New Roman"/>
          <w:sz w:val="14"/>
          <w:szCs w:val="14"/>
          <w:color w:val="auto"/>
        </w:rPr>
      </w:pPr>
    </w:p>
    <w:p>
      <w:pPr>
        <w:jc w:val="both"/>
        <w:ind w:left="380" w:hanging="372"/>
        <w:spacing w:after="0" w:line="261" w:lineRule="auto"/>
        <w:tabs>
          <w:tab w:leader="none" w:pos="365"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terms of the VIE agreements, sales service fees are charged by our PRC subsidiaries to the VIEs. For all the periods presented, these fees are recognized as cost of revenues of the VIEs, with a corresponding amount as service income by our PRC subsidiaries and eliminated in consolidation. For income tax purposes, our PRC subsidiaries and the VIEs file income taxes on a separate company basis. The fees paid are recognized as a tax deduction by the VIEs and as income by our PRC subsidiaries and are tax neutral.</w:t>
      </w:r>
    </w:p>
    <w:p>
      <w:pPr>
        <w:spacing w:after="0" w:line="14" w:lineRule="exact"/>
        <w:rPr>
          <w:rFonts w:ascii="Times New Roman" w:cs="Times New Roman" w:eastAsia="Times New Roman" w:hAnsi="Times New Roman"/>
          <w:sz w:val="14"/>
          <w:szCs w:val="14"/>
          <w:color w:val="auto"/>
        </w:rPr>
      </w:pPr>
    </w:p>
    <w:p>
      <w:pPr>
        <w:ind w:left="380" w:hanging="372"/>
        <w:spacing w:after="0" w:line="301" w:lineRule="auto"/>
        <w:tabs>
          <w:tab w:leader="none" w:pos="365"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our subsidiaries qualifies for a 15% preferential income tax rate in China. However, such rate is temporary in nature, and may not be available in a future period. For purposes of this hypothetical example, the table above reflects a maximum tax scenario under which the full statutory rate would be effective.</w:t>
      </w:r>
    </w:p>
    <w:p>
      <w:pPr>
        <w:spacing w:after="0" w:line="1" w:lineRule="exact"/>
        <w:rPr>
          <w:rFonts w:ascii="Times New Roman" w:cs="Times New Roman" w:eastAsia="Times New Roman" w:hAnsi="Times New Roman"/>
          <w:sz w:val="14"/>
          <w:szCs w:val="14"/>
          <w:color w:val="auto"/>
        </w:rPr>
      </w:pPr>
    </w:p>
    <w:p>
      <w:pPr>
        <w:ind w:left="380" w:hanging="372"/>
        <w:spacing w:after="0" w:line="295" w:lineRule="auto"/>
        <w:tabs>
          <w:tab w:leader="none" w:pos="365"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instance that the VIEs reach a cumulative level of profitability, because our PRC subsidiaries occupy certain trademarks and copyrights, the agreements will be updated to reflect charges for such trademarks and copyrights usage on the basis that they will qualify for tax neutral treatment.</w:t>
      </w: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China’s Enterprise Income Tax Law imposes a withholding income tax of 10% on dividends distributed by a Foreign Invested Enterprises, or the FIE, to its immediate holding company outside of China. A lower withholding income tax rate of 5% is applied if the FIE’s immediate holding company is registered in Hong Kong or other jurisdictions that have a tax treaty arrangement with China, subject to a qualification review at the time of the distribution. For the purpose of this hypothetical example, this table has been prepared based on a taxation scenario under which the full withholding tax would be applied. In addition, this table has been prepared under the assumption that all profits of the VIEs will be distributed as fees to our PRC subsidiaries under tax neutral contractual arrangements. If in the future, the accumulated earnings of the VIEs exceed the fees paid to our PRC subsidiaries, or if the current and contemplated fee structure between the intercompany entities is determined to be non-substantive and disallowed by Chinese tax authorities, we have other tax-planning strategies that can be deployed on a tax neutral basis. Should all tax planning strategies fail, the VIEs could, as a matter of last resort, make a non-deductible transfer to our PRC subsidiaries for the amounts of the stranded cash in the VIEs. This would result in the double taxation of earnings: one at the VIE level (for non-deductible expenses) and one at the PRC subsidiary level (for presumptive earnings on the transfer). Such a transfer and the related tax burdens would reduce our after-tax income to approximately 50.6% of the pre-tax income. The Group’s management is of the view that the likelihood that this scenario would happen is remote.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Sunlands Technology Group is a holding company with no material operations of its own. The Group’s operations are primarily conducted through our subsidiaries and the VIEs in China. As a result, our ability to pay dividends depends upon dividends paid by our subsidiaries. If our subsidiaries or any newly formed subsidiaries incur debt on their own behalf in the future, the instruments governing their debt may restrict their ability to pay dividends to us.</w:t>
      </w:r>
    </w:p>
    <w:p>
      <w:pPr>
        <w:spacing w:after="0" w:line="6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addition, our subsidiaries in China are permitted to pay dividends to us only out of their retained earnings, if any, as determined in accordance with the Accounting Standards for Business Enterprise as promulgated by the Ministry of Finance of the PRC, or PRC GAAP. In accordance with PRC company laws, the VIEs in China must make appropriations from their after-tax profit to non-distributable reserve funds including (i) 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the VIEs. Appropriation to discretionary surplus fund is made at the discretion of the VIEs. Pursuant to the law applicable to China’s foreign investment enterprise, our subsidiaries that are foreign investment enterprise in the PRC have to make appropriation from their after-tax profits,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 to the other two reserve funds are at our subsidiary’s discretion.</w:t>
      </w:r>
    </w:p>
    <w:p>
      <w:pPr>
        <w:spacing w:after="0" w:line="8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a Cayman Islands holding company, we are permitted under PRC laws and regulations to provide funding from the proceeds of our fund raising activities to our PRC subsidiaries only through loans or capital contributions, and to the VIEs only through loans, in each case subject to the satisfaction of the applicable government registration and reporting, approval requirements. As a result, there is uncertainty with respect to our ability to provide prompt financial support to our PRC subsidiaries and the VIEs when needed. Notwithstanding the foregoing, our PRC subsidiaries may use their own retained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99" w:name="page100"/>
    <w:bookmarkEnd w:id="99"/>
    <w:p>
      <w:pPr>
        <w:jc w:val="both"/>
        <w:spacing w:after="0" w:line="261" w:lineRule="auto"/>
        <w:rPr>
          <w:sz w:val="20"/>
          <w:szCs w:val="20"/>
          <w:color w:val="auto"/>
        </w:rPr>
      </w:pPr>
      <w:r>
        <w:rPr>
          <w:rFonts w:ascii="Times New Roman" w:cs="Times New Roman" w:eastAsia="Times New Roman" w:hAnsi="Times New Roman"/>
          <w:sz w:val="18"/>
          <w:szCs w:val="18"/>
          <w:color w:val="auto"/>
        </w:rPr>
        <w:t>earnings (rather than Renminbi converted from foreign currency denominated capital) to provide financial support to the VIEs either through entrustment loans from our PRC subsidiaries to the VIEs or direct loans to the VIEs’ nominee shareholders, which would be contributed to the VIEs as capital injections. Such direct loans to the nominee shareholders would be eliminated in the Group’s consolidated financial statements against the VIEs’ share capital.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5.C. Research and Development, Patents and Licenses, etc.</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 has focused on and will continue to invest in the technology system, which supports all key aspects of the Group’s online platform and is designed to optimize for scalability and flexibility. See “Item 4. Information on the Company—4.B. Business Overview.”</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details of the Group’s material licenses and approvals, see “Item 4. Information on the Company—4.B. Business Overview—Licenses and Approvals.”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5.D.Trend Information</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year ended December 31, 2025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5.E. Critical Accounting Estimates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our critical accounting estimates, see “Item 5. Operating and Financial Review and Prospects—5.A. Operating Results—Critical Accounting Estimates.”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6.A. Directors and Senior Management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directors and executive officers as of the date of this annual report.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Age</w:t>
            </w:r>
          </w:p>
        </w:tc>
        <w:tc>
          <w:tcPr>
            <w:tcW w:w="100" w:type="dxa"/>
            <w:vAlign w:val="bottom"/>
          </w:tcPr>
          <w:p>
            <w:pPr>
              <w:spacing w:after="0"/>
              <w:rPr>
                <w:sz w:val="21"/>
                <w:szCs w:val="21"/>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Position/Title</w:t>
            </w:r>
          </w:p>
        </w:tc>
      </w:tr>
      <w:tr>
        <w:trPr>
          <w:trHeight w:val="216"/>
        </w:trPr>
        <w:tc>
          <w:tcPr>
            <w:tcW w:w="4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Peng Ou (also known as Jianhong Yin)</w:t>
            </w:r>
          </w:p>
        </w:tc>
        <w:tc>
          <w:tcPr>
            <w:tcW w:w="12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5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Founder, Chairman, Director</w:t>
            </w:r>
          </w:p>
        </w:tc>
      </w:tr>
      <w:tr>
        <w:trPr>
          <w:trHeight w:val="198"/>
        </w:trPr>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Tongbo Liu</w:t>
            </w:r>
          </w:p>
        </w:tc>
        <w:tc>
          <w:tcPr>
            <w:tcW w:w="920" w:type="dxa"/>
            <w:vAlign w:val="bottom"/>
            <w:gridSpan w:val="2"/>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7"/>
                <w:szCs w:val="17"/>
                <w:color w:val="auto"/>
              </w:rPr>
            </w:pPr>
          </w:p>
        </w:tc>
        <w:tc>
          <w:tcPr>
            <w:tcW w:w="5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Jing Gao</w:t>
            </w:r>
          </w:p>
        </w:tc>
        <w:tc>
          <w:tcPr>
            <w:tcW w:w="9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Director</w:t>
            </w: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Yang Wang</w:t>
            </w:r>
          </w:p>
        </w:tc>
        <w:tc>
          <w:tcPr>
            <w:tcW w:w="9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Hangyu Li</w:t>
            </w:r>
          </w:p>
        </w:tc>
        <w:tc>
          <w:tcPr>
            <w:tcW w:w="9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Director</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Zheng Zhao (also known as Ching Chiu)</w:t>
            </w:r>
          </w:p>
        </w:tc>
        <w:tc>
          <w:tcPr>
            <w:tcW w:w="9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Yingda Song</w:t>
            </w:r>
          </w:p>
        </w:tc>
        <w:tc>
          <w:tcPr>
            <w:tcW w:w="9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331"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Peng Ou </w:t>
      </w:r>
      <w:r>
        <w:rPr>
          <w:rFonts w:ascii="Times New Roman" w:cs="Times New Roman" w:eastAsia="Times New Roman" w:hAnsi="Times New Roman"/>
          <w:sz w:val="18"/>
          <w:szCs w:val="18"/>
          <w:color w:val="auto"/>
        </w:rPr>
        <w:t>is our Founder and the Chairman of our board of directors. Mr. Peng Ou is the key architect of the Group’s success and has led the Group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achievement of a number of milestones and transformations, including the transition of business from an offline to an online education model. Mr. Ou received his bachelor’s degree in marketing from Renmin University in 2000.</w:t>
      </w:r>
    </w:p>
    <w:p>
      <w:pPr>
        <w:spacing w:after="0" w:line="65"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Tongbo Liu </w:t>
      </w:r>
      <w:r>
        <w:rPr>
          <w:rFonts w:ascii="Times New Roman" w:cs="Times New Roman" w:eastAsia="Times New Roman" w:hAnsi="Times New Roman"/>
          <w:sz w:val="18"/>
          <w:szCs w:val="18"/>
          <w:color w:val="auto"/>
        </w:rPr>
        <w:t>has served as our Chief Executive Officer since January 2015 and director since August 2017. He joined our company in 2009,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after graduation from Tsinghua University with a bachelor’s degree in applied mathematics. He started as a management trainee and was promoted to vice president in January 2012, responsible for our comprehensive operation in the greater Beijing region.</w:t>
      </w:r>
    </w:p>
    <w:p>
      <w:pPr>
        <w:spacing w:after="0" w:line="65" w:lineRule="exact"/>
        <w:rPr>
          <w:sz w:val="20"/>
          <w:szCs w:val="20"/>
          <w:color w:val="auto"/>
        </w:rPr>
      </w:pPr>
    </w:p>
    <w:p>
      <w:pPr>
        <w:jc w:val="both"/>
        <w:ind w:right="2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Jing Gao </w:t>
      </w:r>
      <w:r>
        <w:rPr>
          <w:rFonts w:ascii="Times New Roman" w:cs="Times New Roman" w:eastAsia="Times New Roman" w:hAnsi="Times New Roman"/>
          <w:sz w:val="18"/>
          <w:szCs w:val="18"/>
          <w:color w:val="auto"/>
        </w:rPr>
        <w:t>has served as our director since March 2021. She has been employed in our company since 2006. Ms. Gao has been a lecturer,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and director of the branch. Now she is the Vice President of Risk Control Department and is fully responsible for risk assessment and control. Ms. Gao received a bachelor's degree in business management from Beijing Correspondence College of economics and management in 2005.</w:t>
      </w:r>
    </w:p>
    <w:p>
      <w:pPr>
        <w:spacing w:after="0" w:line="6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Yang Wang </w:t>
      </w:r>
      <w:r>
        <w:rPr>
          <w:rFonts w:ascii="Times New Roman" w:cs="Times New Roman" w:eastAsia="Times New Roman" w:hAnsi="Times New Roman"/>
          <w:sz w:val="18"/>
          <w:szCs w:val="18"/>
          <w:color w:val="auto"/>
        </w:rPr>
        <w:t>has served as our director since August 2017. He has served as a partner of Primavera Capital, an investment house focused on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investments. Prior to that, he worked as the managing director of principal investment area at Goldman Sachs (Asia) L.L.C. from 2006 to 2010. Prior to his experience with Goldman Sachs (Asia) L.L.C., Mr. Wang worked for the investment banking division and private equity group of China International Capital Corporation Limited, or CICC, an investment bank listed on the Hong Kong Stock Exchange. Mr. Wang also serves as a director at Yum China Holdings, Inc., a leading restaurant company in China, and a director of Geely Automobile Holdings Limited, an auto manufacturing company in China. Mr. Wang received both his master’s and bachelor’s degrees from Shanghai Jiao Tong University.</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0" w:name="page101"/>
    <w:bookmarkEnd w:id="100"/>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Hangyu Li </w:t>
      </w:r>
      <w:r>
        <w:rPr>
          <w:rFonts w:ascii="Times New Roman" w:cs="Times New Roman" w:eastAsia="Times New Roman" w:hAnsi="Times New Roman"/>
          <w:sz w:val="18"/>
          <w:szCs w:val="18"/>
          <w:color w:val="auto"/>
        </w:rPr>
        <w:t>has served as our finance director since August 2017. He has been employed in our company since 2013. Prior to joining us, he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manager at a pre-IPO company from 2011 to 2012. From 2009 to 2010, Mr. Li served as an internal auditor at Shanghai Pudong Development Bank. From 2005 to 2009, Mr. Li served as a senior auditor at Ernst &amp; Young. Mr. Li received his MBA from Central University of Finance and Economics in 2013 and his bachelor's degree in accounting from Nanjing University in 2005. He is a member of Chinese Institute of Certified Public Accountant (“CICPA”) and a Certified Tax Accountant in China. He also holds CMA (Certified Management Accountant) certificate. Mr. Li is a member of the American Institute of Certified Public Accountants and a member of the State of Washington Certified Public Accountants.</w:t>
      </w:r>
    </w:p>
    <w:p>
      <w:pPr>
        <w:spacing w:after="0" w:line="7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Zheng Zhao </w:t>
      </w:r>
      <w:r>
        <w:rPr>
          <w:rFonts w:ascii="Times New Roman" w:cs="Times New Roman" w:eastAsia="Times New Roman" w:hAnsi="Times New Roman"/>
          <w:sz w:val="18"/>
          <w:szCs w:val="18"/>
          <w:color w:val="auto"/>
        </w:rPr>
        <w:t>has served as our independent director since June 2019. Mr. Zhao is currently the special assistant to the president and general manager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Oriental Industry Funds, where he leads the company’s strategic development, mergers and acquisitions and strategic collaboration efforts, as well as maintains domestic and international customer relations. Prior to that, Mr. Zhao was a senior auditor at Ernst &amp; Young. Mr. Zhao currently serves as an independent director of CLOOPEN GROUP HOLDING LIMITED. (a company listed on NYSE with stock ticker: RAAS) Mr. Zhao holds a master’s degree in finance, and a bachelor’s degree in economics, both from Peking University’s School of Economics.</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Yingda Song has served as our independent director since May 2024. Mr. Song currently serves as an associate professor in the A</w:t>
      </w:r>
      <w:r>
        <w:rPr>
          <w:rFonts w:ascii="Times New Roman" w:cs="Times New Roman" w:eastAsia="Times New Roman" w:hAnsi="Times New Roman"/>
          <w:sz w:val="18"/>
          <w:szCs w:val="18"/>
          <w:color w:val="auto"/>
        </w:rPr>
        <w:t>ntai College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Economics and Management of Shanghai Jiao Tong University, where he also served as an assistant professor from 2017 to 2019. Prior to that, he worked as a research associate in the University of Science and Technology of China from 2015 to 2017, and as a research fellow in the National University of Singapore from 2013 to 2015. Mr. Song holds a Ph.D. from Hong Kong University of Science and Technology and a bachelor’s degree from Tsinghua University.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Each of our executive officers is employed for a specified time period, which can be renewed upon both parties’ agreement before the end of the current employment term. We may terminate an executive officer’s employment for cause at any time without advance notice in the event of, among other things, (i) commitments by such executive officer of any serious breach of the terms and conditions of his or her employment and our internal rules and procedures, (ii) conviction of a criminal offense, or (iii) severe neglect of his or her duties or embezzlement to our detriment. We may also terminate an executive officer’s employment by giving a 30 days’ prior written notice or by paying a compensation of an amount equal to one month’s wages of such executive officer. An executive officer may terminate his or her employment at any time by giving a 30 days’ prior written notice.</w:t>
      </w:r>
    </w:p>
    <w:p>
      <w:pPr>
        <w:spacing w:after="0" w:line="8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and non-solicitation restrictions during the term of his or her employment and for two years following the last date of employment. Specifically, each executive officer has agreed not to (i) carry out or otherwise be concerned or interested, directly or indirectly, in certain businesses in direct or indirect competition with us; (ii) assume employment with or provide services to certain of our competitors or engage, whether as principal, partner, licensor or otherwise, with such competitors; or (iii) seek directly or indirectly, by the offer of alternative employment or other inducement whatsoever, to solicit the services of any of our employees, agents or consultants who are employed or engaged by us at any time in the one year preceding the last date of his or her employment.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6.B.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Senior Management</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the fiscal year ended December 31, 2025, we paid an aggregate of RMB1.8 million (US$0.3 million) in cash to our executive officers. The payment of compensation to our independent directors for their services rendered for the year ended December 31, 2025 is in a total amount of RMB0.9 million (US$0.1 million), which has been fully paid in cash. For share incentive grants to our directors and executive officers, see “—Share Incentive Plan.” We do not set aside any amount to provide pension, retirement or similar benefits.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Plan</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adopted an employee share incentive plan in October 2017, or the 2017 Plan. The purpose of the 2017 Plan is to attract and retain exceptionally qualified personnel and to encourage them to acquire a proprietary interest in our growth and performance.</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are authorized to grant options or share purchase rights to purchase up to an aggregate of 58,049 ordinary shares under the 2017 Plan. As of the same date, options to purchase an aggregate number 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31,550 ordinary shares are outstanding, all of which had vested and become exercisable.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paragraphs summarize the terms of the 2017 Plan.</w:t>
      </w:r>
    </w:p>
    <w:p>
      <w:pPr>
        <w:spacing w:after="0" w:line="113"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Types of Awards</w:t>
      </w:r>
      <w:r>
        <w:rPr>
          <w:rFonts w:ascii="Times New Roman" w:cs="Times New Roman" w:eastAsia="Times New Roman" w:hAnsi="Times New Roman"/>
          <w:sz w:val="18"/>
          <w:szCs w:val="18"/>
          <w:color w:val="auto"/>
        </w:rPr>
        <w:t>. The 2017 Plan permits the awards of options, share appreciation rights, rights to dividends and dividend equivalent right,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and restricted share units and other rights or benefits under the 2017 Plan.</w:t>
      </w:r>
    </w:p>
    <w:p>
      <w:pPr>
        <w:spacing w:after="0" w:line="47"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Plan Administration</w:t>
      </w:r>
      <w:r>
        <w:rPr>
          <w:rFonts w:ascii="Times New Roman" w:cs="Times New Roman" w:eastAsia="Times New Roman" w:hAnsi="Times New Roman"/>
          <w:sz w:val="18"/>
          <w:szCs w:val="18"/>
          <w:color w:val="auto"/>
        </w:rPr>
        <w:t>. A committee formed in accordance with applicable stock exchange rules shall administer the 2017 Plan, unless otherwise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determined by the board of directors.</w:t>
      </w:r>
    </w:p>
    <w:p>
      <w:pPr>
        <w:spacing w:after="0" w:line="47"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Our employees and consultants are eligible to participate in the 2017 Plan. An employee or consultant who has been granted an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if he or she is otherwise eligible, be granted additional awards.</w:t>
      </w:r>
    </w:p>
    <w:p>
      <w:pPr>
        <w:spacing w:after="0" w:line="47"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Designation of Award</w:t>
      </w:r>
      <w:r>
        <w:rPr>
          <w:rFonts w:ascii="Times New Roman" w:cs="Times New Roman" w:eastAsia="Times New Roman" w:hAnsi="Times New Roman"/>
          <w:sz w:val="18"/>
          <w:szCs w:val="18"/>
          <w:color w:val="auto"/>
        </w:rPr>
        <w:t>. Each award under the 2017 Plan is designated in an award agreement, which is a written agreement evidencing the grant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executed by the company and the grantee, including any amendments thereto.</w:t>
      </w:r>
    </w:p>
    <w:p>
      <w:pPr>
        <w:spacing w:after="0" w:line="47"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Conditions of Award</w:t>
      </w:r>
      <w:r>
        <w:rPr>
          <w:rFonts w:ascii="Times New Roman" w:cs="Times New Roman" w:eastAsia="Times New Roman" w:hAnsi="Times New Roman"/>
          <w:sz w:val="18"/>
          <w:szCs w:val="18"/>
          <w:color w:val="auto"/>
        </w:rPr>
        <w:t>. The board of directors or any entity appointed by the board of directors to administer the 2017 Plan shall determine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terms, and conditions of each award including, but not limited to, the award vesting schedule, repurchase provisions, rights of first refusal, forfeiture provisions, and form of payment upon settlement of the award.</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Terms of Award</w:t>
      </w:r>
      <w:r>
        <w:rPr>
          <w:rFonts w:ascii="Times New Roman" w:cs="Times New Roman" w:eastAsia="Times New Roman" w:hAnsi="Times New Roman"/>
          <w:sz w:val="18"/>
          <w:szCs w:val="18"/>
          <w:color w:val="auto"/>
        </w:rPr>
        <w:t>. The term of each award is stated in the award agreement between the company and the grantee of such award.</w:t>
      </w:r>
    </w:p>
    <w:p>
      <w:pPr>
        <w:spacing w:after="0" w:line="117"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 Unless otherwise determined by the administrator of the 2017 Plan, no award and no right under any such award,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assignable, alienable, saleable or transferable by the employee otherwise than by will or by the laws of descent and distribution unless, if so determined by the administrator of the 2017 Plan, the employee may, in the manner established by such administrator, designate a beneficiary or beneficiaries to exercise the rights of the employee, and to receive any property distributable, with respect to any award upon the death of the employee.</w:t>
      </w:r>
    </w:p>
    <w:p>
      <w:pPr>
        <w:spacing w:after="0" w:line="68"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Exercise of Award</w:t>
      </w:r>
      <w:r>
        <w:rPr>
          <w:rFonts w:ascii="Times New Roman" w:cs="Times New Roman" w:eastAsia="Times New Roman" w:hAnsi="Times New Roman"/>
          <w:sz w:val="18"/>
          <w:szCs w:val="18"/>
          <w:color w:val="auto"/>
        </w:rPr>
        <w:t>. Any award granted under the 2017 Plan is exercisable at such times and under such conditions as determined by the administrator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terms of the 2017 Plan and specified in the award agreement. An award is deemed to be exercised when exercise notice has been given to the company in accordance with the terms of the award by the person entitled to exercise the award and full payment for the shares with respect to which the award is exercised.</w:t>
      </w:r>
    </w:p>
    <w:p>
      <w:pPr>
        <w:spacing w:after="0" w:line="6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Amendment, Suspension or Termination of the 2017 Plan</w:t>
      </w:r>
      <w:r>
        <w:rPr>
          <w:rFonts w:ascii="Times New Roman" w:cs="Times New Roman" w:eastAsia="Times New Roman" w:hAnsi="Times New Roman"/>
          <w:sz w:val="18"/>
          <w:szCs w:val="18"/>
          <w:color w:val="auto"/>
        </w:rPr>
        <w:t>. The administrator of the 2017 Plan may amend, alter, suspend, discontinue or terminate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this 2017 Plan, or any award agreement hereunder or any portion hereof or thereof at any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amendment, alteration, suspension, discontinuation or termination shall be made without (i) shareholder approval with such legally mandated threshold for a resolution of the shareholders if such approval is necessary to comply with any tax or regulatory requirement for which or with which the administrator of the 2017 Plan deems it necessary or desirable to qualify or (ii) comply shareholder approval with such threshold for a resolution of the shareholders in respect of such amendment, alteration, suspension, discontinuation or termination as provided in our memorandum and articles of association for any amendment to the 2017 Plan that increases the total number of shares reserved for the purposes of the 2017 Plan, and (iii) with respect to any award agreement, the consent of the affected employee, if such action would materially and adversely affect the rights of such employee under any outstanding award.</w:t>
      </w:r>
    </w:p>
    <w:p>
      <w:pPr>
        <w:spacing w:after="0" w:line="8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there were no outstanding equity awards granted to our directors and executive officers under the 2017 Plan. As of the same date, our other employees and certain former employees as a group held options to purchase 31,550 Class C ordinary shares, with an exercise price of US$84.75 per share.</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discussions of our accounting estimates for awards granted pursuant to the 2017 Plan, see Note 2 to our consolidated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board of directors consists of six directors, including two independent directors, namely Mr. Zheng Zhao and Mr. Yingda Song. A director is not required to hold any shares in our company to qualify to serve as a director. The Corporate Governance Rules of the NYSE generally require that a majority of an issuer’s board of directors must consist of independent directors. However, the Corporate Governance Rules of the NYSE permit foreign private issuers like us to follow “home country practice” in certain corporate governance matters. We rely on this “home country practice” exception and do not have a majority of independent directors serving on our board of directors.</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 director who to his knowledge is in any way, whether directly or indirectly, interested in a contract or arrangement or proposed contract or arrangement with our company is required to declare the nature of his or her interest at a meeting of our directors. A general notice given to the directors by any director to the effect that (i) he is a member or officer of any specified company or firm and is to be regarded as interested in any contract or transaction with that company or firm, or (ii) he is to be regarded as interested in any contract or transaction which may, after the date of such notice, be made with a specified person who is connected with him, shall be deemed a sufficient declaration of interest for the purposes of</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2" w:name="page103"/>
    <w:bookmarkEnd w:id="102"/>
    <w:p>
      <w:pPr>
        <w:jc w:val="both"/>
        <w:spacing w:after="0" w:line="254" w:lineRule="auto"/>
        <w:rPr>
          <w:sz w:val="20"/>
          <w:szCs w:val="20"/>
          <w:color w:val="auto"/>
        </w:rPr>
      </w:pPr>
      <w:r>
        <w:rPr>
          <w:rFonts w:ascii="Times New Roman" w:cs="Times New Roman" w:eastAsia="Times New Roman" w:hAnsi="Times New Roman"/>
          <w:sz w:val="18"/>
          <w:szCs w:val="18"/>
          <w:color w:val="auto"/>
        </w:rPr>
        <w:t>voting on a resolution in respect to a contract or transaction in which he/she has an interest. 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subject to any separate requirement for Audit Committee approval under applicable laws or the rules of the New York Stock Exchange, and unless disqualified by the chairman of the relevant board meeting. Our board of directors may exercise all of the powers of our company to borrow money, to mortgage or charge its undertaking, property and assets (present and future) and uncalled capital, and to issue debentures, bonds and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under our board of directors. We have adopted a charter for each of the three committees. Each committee’s members and functions are described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audit committee consists of Mr. Zheng Zhao and Mr. Yingda Song, and is chaired by Mr. Zheng Zhao. We have determined that each of Mr. Zheng Zhao and Mr. Yingda Song satisfies the requirements of Section 303A of the Corporate Governance Rules of the NYSE and meet the independence standards under Rule 10A-3 under the Securities Exchange Act of 1934, as amended. We have determined that Mr. Zheng Zhao qualifies as an “audit committee financial expert.” The audit committee oversees our accounting and financial reporting processes and the audits of the Group’s financial statements. The audit committee is also responsible for, among other things:</w:t>
      </w:r>
    </w:p>
    <w:p>
      <w:pPr>
        <w:spacing w:after="0" w:line="75" w:lineRule="exact"/>
        <w:rPr>
          <w:sz w:val="20"/>
          <w:szCs w:val="20"/>
          <w:color w:val="auto"/>
        </w:rPr>
      </w:pPr>
    </w:p>
    <w:p>
      <w:pPr>
        <w:ind w:left="760" w:hanging="513"/>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approval, the appointment, re-appointment or removal of the independent auditor;</w:t>
      </w:r>
    </w:p>
    <w:p>
      <w:pPr>
        <w:spacing w:after="0" w:line="117" w:lineRule="exact"/>
        <w:rPr>
          <w:rFonts w:ascii="Times New Roman" w:cs="Times New Roman" w:eastAsia="Times New Roman" w:hAnsi="Times New Roman"/>
          <w:sz w:val="18"/>
          <w:szCs w:val="18"/>
          <w:color w:val="auto"/>
        </w:rPr>
      </w:pPr>
    </w:p>
    <w:p>
      <w:pPr>
        <w:ind w:left="760" w:right="20" w:hanging="513"/>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remuneration and terms of engagement of the independent auditor and pre-approving all auditing and non-auditing services performed by our independent auditors;</w:t>
      </w:r>
    </w:p>
    <w:p>
      <w:pPr>
        <w:spacing w:after="0" w:line="53" w:lineRule="exact"/>
        <w:rPr>
          <w:rFonts w:ascii="Times New Roman" w:cs="Times New Roman" w:eastAsia="Times New Roman" w:hAnsi="Times New Roman"/>
          <w:sz w:val="18"/>
          <w:szCs w:val="18"/>
          <w:color w:val="auto"/>
        </w:rPr>
      </w:pPr>
    </w:p>
    <w:p>
      <w:pPr>
        <w:ind w:left="760" w:right="20" w:hanging="513"/>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written report from our independent auditor describing matters relating to its independence and quality control procedures;</w:t>
      </w:r>
    </w:p>
    <w:p>
      <w:pPr>
        <w:spacing w:after="0" w:line="53" w:lineRule="exact"/>
        <w:rPr>
          <w:rFonts w:ascii="Times New Roman" w:cs="Times New Roman" w:eastAsia="Times New Roman" w:hAnsi="Times New Roman"/>
          <w:sz w:val="18"/>
          <w:szCs w:val="18"/>
          <w:color w:val="auto"/>
        </w:rPr>
      </w:pPr>
    </w:p>
    <w:p>
      <w:pPr>
        <w:ind w:left="760" w:hanging="513"/>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the independent registered public accounting firm any audit problems or difficulties and any significant disagreements with the management;</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Item 404 of Regulation S-K under the Securities Act;</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the adequacy of the committee charter;</w:t>
      </w:r>
    </w:p>
    <w:p>
      <w:pPr>
        <w:spacing w:after="0" w:line="117" w:lineRule="exact"/>
        <w:rPr>
          <w:rFonts w:ascii="Times New Roman" w:cs="Times New Roman" w:eastAsia="Times New Roman" w:hAnsi="Times New Roman"/>
          <w:sz w:val="18"/>
          <w:szCs w:val="18"/>
          <w:color w:val="auto"/>
        </w:rPr>
      </w:pPr>
    </w:p>
    <w:p>
      <w:pPr>
        <w:ind w:left="760" w:hanging="513"/>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evaluating the performance, responsibilities, budget and staffing of our internal audit function and review and approve the internal audit plan;</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compliance with our code of business conduct and ethics and reporting on such compliance to our board of directors; and</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our board of directors.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Mr. Peng Ou, Mr. Tongbo Liu and Mr. Zheng Zhao, and is chaired by Mr. Peng Ou. We have determined that Mr. Zheng Zhao satisfies the “independence” requirements of Section 303A of the Corporate Governance Rules of the NYSE. The compensation committee assists our board of directors in reviewing and approving the compensation structure, including all forms of compensation, relating to our directors and executive officers. The compensation committee is also responsible for, among other things:</w:t>
      </w:r>
    </w:p>
    <w:p>
      <w:pPr>
        <w:spacing w:after="0" w:line="72" w:lineRule="exact"/>
        <w:rPr>
          <w:sz w:val="20"/>
          <w:szCs w:val="20"/>
          <w:color w:val="auto"/>
        </w:rPr>
      </w:pPr>
    </w:p>
    <w:p>
      <w:pPr>
        <w:ind w:left="760" w:hanging="513"/>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chief executive officer and each of our other executive officers;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our chief executive officer, periodically reviewing our management succession planning;</w:t>
      </w:r>
    </w:p>
    <w:p>
      <w:pPr>
        <w:spacing w:after="0" w:line="117" w:lineRule="exact"/>
        <w:rPr>
          <w:rFonts w:ascii="Times New Roman" w:cs="Times New Roman" w:eastAsia="Times New Roman" w:hAnsi="Times New Roman"/>
          <w:sz w:val="18"/>
          <w:szCs w:val="18"/>
          <w:color w:val="auto"/>
        </w:rPr>
      </w:pPr>
    </w:p>
    <w:p>
      <w:pPr>
        <w:ind w:left="760" w:right="20" w:hanging="513"/>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our executive compensation and benefits policies generally (subject, if applicable, to shareholder approval), including the review and recommendation of any incentive-compensation and equity-based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3" w:name="page104"/>
    <w:bookmarkEnd w:id="103"/>
    <w:p>
      <w:pPr>
        <w:ind w:left="760"/>
        <w:spacing w:after="0"/>
        <w:rPr>
          <w:sz w:val="20"/>
          <w:szCs w:val="20"/>
          <w:color w:val="auto"/>
        </w:rPr>
      </w:pPr>
      <w:r>
        <w:rPr>
          <w:rFonts w:ascii="Times New Roman" w:cs="Times New Roman" w:eastAsia="Times New Roman" w:hAnsi="Times New Roman"/>
          <w:sz w:val="18"/>
          <w:szCs w:val="18"/>
          <w:color w:val="auto"/>
        </w:rPr>
        <w:t>plans that are subject to the approval of our board of directors;</w:t>
      </w:r>
    </w:p>
    <w:p>
      <w:pPr>
        <w:spacing w:after="0" w:line="117" w:lineRule="exact"/>
        <w:rPr>
          <w:sz w:val="20"/>
          <w:szCs w:val="20"/>
          <w:color w:val="auto"/>
        </w:rPr>
      </w:pPr>
    </w:p>
    <w:p>
      <w:pPr>
        <w:ind w:left="760" w:hanging="513"/>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the adequacy of the committee charter;</w:t>
      </w:r>
    </w:p>
    <w:p>
      <w:pPr>
        <w:spacing w:after="0" w:line="117" w:lineRule="exact"/>
        <w:rPr>
          <w:rFonts w:ascii="Times New Roman" w:cs="Times New Roman" w:eastAsia="Times New Roman" w:hAnsi="Times New Roman"/>
          <w:sz w:val="18"/>
          <w:szCs w:val="18"/>
          <w:color w:val="auto"/>
        </w:rPr>
      </w:pPr>
    </w:p>
    <w:p>
      <w:pPr>
        <w:ind w:left="760" w:hanging="513"/>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 and</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our board of directors.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Mr. Peng Ou, Mr. Tongbo Liu and Mr. Zheng Zhao, and is chaired by Mr. Peng Ou. We have determined that Mr. Zheng Zhao satisfies the “independence” requirements of Section 303A of the Corporate Governance Rules of the NYSE. The nominating and corporate governance committee assists our board of directors in selecting individuals qualified to become our directors and in determining the composition of our board of directors and its committees. The nominating and corporate governance committee is also responsible for, among other things:</w:t>
      </w:r>
    </w:p>
    <w:p>
      <w:pPr>
        <w:spacing w:after="0" w:line="75" w:lineRule="exact"/>
        <w:rPr>
          <w:sz w:val="20"/>
          <w:szCs w:val="20"/>
          <w:color w:val="auto"/>
        </w:rPr>
      </w:pPr>
    </w:p>
    <w:p>
      <w:pPr>
        <w:ind w:left="760" w:hanging="513"/>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searches for and identify qualified individuals for membership on our board of directors;</w:t>
      </w:r>
    </w:p>
    <w:p>
      <w:pPr>
        <w:spacing w:after="0" w:line="117" w:lineRule="exact"/>
        <w:rPr>
          <w:rFonts w:ascii="Times New Roman" w:cs="Times New Roman" w:eastAsia="Times New Roman" w:hAnsi="Times New Roman"/>
          <w:sz w:val="18"/>
          <w:szCs w:val="18"/>
          <w:color w:val="auto"/>
        </w:rPr>
      </w:pPr>
    </w:p>
    <w:p>
      <w:pPr>
        <w:ind w:left="760" w:hanging="513"/>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criteria for membership on our board of directors and its committees and recommending individuals for membership on our board of directors and its committees;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leading our board of directors in a self-evaluation to determine whether it and its committees are functioning effectively;</w:t>
      </w:r>
    </w:p>
    <w:p>
      <w:pPr>
        <w:spacing w:after="0" w:line="117" w:lineRule="exact"/>
        <w:rPr>
          <w:rFonts w:ascii="Times New Roman" w:cs="Times New Roman" w:eastAsia="Times New Roman" w:hAnsi="Times New Roman"/>
          <w:sz w:val="18"/>
          <w:szCs w:val="18"/>
          <w:color w:val="auto"/>
        </w:rPr>
      </w:pPr>
    </w:p>
    <w:p>
      <w:pPr>
        <w:ind w:left="760" w:hanging="513"/>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the evaluations prepared by each board committee of such committee’s performance and consider any recommendations for proposed changes to our board of directors;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compensation (including equity-based compensation) for our directors;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orientation and continuing education program for directors;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the adequacy of the committee charter; and</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our board of directors.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and Functions of Directors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The functions and powers of our board of directors include, among others, (i) convening shareholders’ annual general meetings and reporting its work to shareholders at such meetings, (ii) declaring dividends, (iii) appointing officers and determining their terms of offices and responsibilities, and (iv) approving the transfer of shares of our company, including the registering of such shares in our share register.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Each director is not subject to a term of office and holds office until such time as his successor takes office or until the earlier of his death, resignation or removal from office by ordinary resolution of the shareholders. A vacancy on the board created by the removal of a director may be filled by ordinary resolution or by the affirmative vote of a simple majority of the remaining directors present and voting at a board meeting. Mr. Peng Ou shall have the right to appoint or remove any Management Director (as defined under our fourth amended and restated memorandum and articles of association) by delivering a written notice to our company, provided that the Founder shall not be entitled to exercise such right if he or his affiliates do not hold any shares. A director will be removed from office automatically if, among other things, the director (i) becomes bankrupt or makes any arrangement or composition with his creditors; (ii) dies or is found by our company to be of unsound mind; (iii) resigns by notice in writing to our company; (iv) is prohibited by law or the rules of the New York Stock Exchange from being a director; or (v) is removed from office pursuant to any other provisions of our fourth amended and restated memorandum and articles of association.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6.D. Employees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had 2,113, 2,071 and 1,567 full-time employees as of December 31, 2023, 2024 and 2025, respectively. The decrease in the number of full-time employees was mainly driven by the strategic contraction of the business. As of December 31, 2025, most of the Group’s employees were in Beijing, Guangzhou and Wuhan.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number of the Group’s employees as of December 31, 2025:</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02"/>
        </w:trPr>
        <w:tc>
          <w:tcPr>
            <w:tcW w:w="7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7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Full-Time</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7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Employees</w:t>
            </w:r>
          </w:p>
        </w:tc>
        <w:tc>
          <w:tcPr>
            <w:tcW w:w="220" w:type="dxa"/>
            <w:vAlign w:val="bottom"/>
          </w:tcPr>
          <w:p>
            <w:pPr>
              <w:spacing w:after="0"/>
              <w:rPr>
                <w:sz w:val="20"/>
                <w:szCs w:val="20"/>
                <w:color w:val="auto"/>
              </w:rPr>
            </w:pPr>
          </w:p>
        </w:tc>
        <w:tc>
          <w:tcPr>
            <w:tcW w:w="16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Percentages</w:t>
            </w:r>
          </w:p>
        </w:tc>
        <w:tc>
          <w:tcPr>
            <w:tcW w:w="180" w:type="dxa"/>
            <w:vAlign w:val="bottom"/>
          </w:tcPr>
          <w:p>
            <w:pPr>
              <w:spacing w:after="0"/>
              <w:rPr>
                <w:sz w:val="20"/>
                <w:szCs w:val="20"/>
                <w:color w:val="auto"/>
              </w:rPr>
            </w:pPr>
          </w:p>
        </w:tc>
      </w:tr>
      <w:tr>
        <w:trPr>
          <w:trHeight w:val="209"/>
        </w:trPr>
        <w:tc>
          <w:tcPr>
            <w:tcW w:w="726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Academic and administrative faculty</w:t>
            </w:r>
            <w:r>
              <w:rPr>
                <w:rFonts w:ascii="Times New Roman" w:cs="Times New Roman" w:eastAsia="Times New Roman" w:hAnsi="Times New Roman"/>
                <w:sz w:val="24"/>
                <w:szCs w:val="24"/>
                <w:color w:val="auto"/>
                <w:vertAlign w:val="superscript"/>
              </w:rPr>
              <w:t>(1)</w:t>
            </w:r>
          </w:p>
        </w:tc>
        <w:tc>
          <w:tcPr>
            <w:tcW w:w="2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 staff</w:t>
            </w: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874</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7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operation</w:t>
            </w:r>
          </w:p>
        </w:tc>
        <w:tc>
          <w:tcPr>
            <w:tcW w:w="2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7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development</w:t>
            </w:r>
          </w:p>
        </w:tc>
        <w:tc>
          <w:tcPr>
            <w:tcW w:w="2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7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1,567</w:t>
            </w:r>
          </w:p>
        </w:tc>
        <w:tc>
          <w:tcPr>
            <w:tcW w:w="2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7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55"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teachers, mentors, course and educational content development professionals, and other administrative faculty members.</w:t>
      </w:r>
    </w:p>
    <w:p>
      <w:pPr>
        <w:spacing w:after="0" w:line="10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enters into employment contracts with full-time employees which contain standard confidentiality and non-compete provisions. In addition to salaries and benefits, we provide performance-based bonuses for full-time employees and commission-based compensation for the sales and marketing force.</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Under PRC law, the Group participates in various employee social security plans that are organized by municipal and provincial governments for PRC-based full-time employees, including pension, unemployment insurance, childbirth insurance, work-related injury insurance, medical insurance and housing insurance. The Group is required under PRC law to make contributions from time to time to employee benefit plans for PRC-based full-time employees at specified percentages of the salaries, bonuses and certain allowances of such employees, up to a maximum amount specified by the local governments in China.</w:t>
      </w:r>
    </w:p>
    <w:p>
      <w:pPr>
        <w:spacing w:after="0" w:line="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believe that the Group maintains a good working relationship with our employees, and the Group has not experienced any material labor disputes in the past. None of the Group’s employees are represented by labor unions.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6.E. Share Ownership</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beneficial ownership of our ordinary shares as of March 31, 2026 by:</w:t>
      </w:r>
    </w:p>
    <w:p>
      <w:pPr>
        <w:spacing w:after="0" w:line="117"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the Group to beneficially own more than 5% of each class of our ordinary shares.</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calculations in the table below are based on 6,696,498 issued and outstanding ordinary shares as of March 31, 2026, comprising (i) 2,538,047 Class A ordinary shares (excluding 5,200 Class A ordinary shares issued to our depositary bank for bulk issuance of ADSs reserved for future issuances upon the exercise or vesting of awards under our share incentive plans), (ii) 826,389 Class B ordinary shares, and (iii) 3,332,062 Class C ordinary shares.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Ordinary Shares Beneficially Owned</w:t>
            </w: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280" w:type="dxa"/>
            <w:vAlign w:val="bottom"/>
            <w:gridSpan w:val="3"/>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60" w:type="dxa"/>
            <w:vAlign w:val="bottom"/>
          </w:tcPr>
          <w:p>
            <w:pPr>
              <w:spacing w:after="0"/>
              <w:rPr>
                <w:sz w:val="18"/>
                <w:szCs w:val="18"/>
                <w:color w:val="auto"/>
              </w:rPr>
            </w:pPr>
          </w:p>
        </w:tc>
        <w:tc>
          <w:tcPr>
            <w:tcW w:w="2340" w:type="dxa"/>
            <w:vAlign w:val="bottom"/>
            <w:gridSpan w:val="5"/>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940" w:type="dxa"/>
            <w:vAlign w:val="bottom"/>
            <w:gridSpan w:val="3"/>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Class C</w:t>
            </w:r>
          </w:p>
        </w:tc>
        <w:tc>
          <w:tcPr>
            <w:tcW w:w="24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Voting</w:t>
            </w:r>
          </w:p>
        </w:tc>
        <w:tc>
          <w:tcPr>
            <w:tcW w:w="0" w:type="dxa"/>
            <w:vAlign w:val="bottom"/>
          </w:tcPr>
          <w:p>
            <w:pPr>
              <w:spacing w:after="0"/>
              <w:rPr>
                <w:sz w:val="1"/>
                <w:szCs w:val="1"/>
                <w:color w:val="auto"/>
              </w:rPr>
            </w:pPr>
          </w:p>
        </w:tc>
      </w:tr>
      <w:tr>
        <w:trPr>
          <w:trHeight w:val="225"/>
        </w:trPr>
        <w:tc>
          <w:tcPr>
            <w:tcW w:w="3200" w:type="dxa"/>
            <w:vAlign w:val="bottom"/>
          </w:tcPr>
          <w:p>
            <w:pPr>
              <w:spacing w:after="0"/>
              <w:rPr>
                <w:sz w:val="19"/>
                <w:szCs w:val="19"/>
                <w:color w:val="auto"/>
              </w:rPr>
            </w:pPr>
          </w:p>
        </w:tc>
        <w:tc>
          <w:tcPr>
            <w:tcW w:w="228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vMerge w:val="continue"/>
          </w:tcPr>
          <w:p>
            <w:pPr>
              <w:spacing w:after="0"/>
              <w:rPr>
                <w:sz w:val="19"/>
                <w:szCs w:val="19"/>
                <w:color w:val="auto"/>
              </w:rPr>
            </w:pPr>
          </w:p>
        </w:tc>
        <w:tc>
          <w:tcPr>
            <w:tcW w:w="194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1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260" w:type="dxa"/>
            <w:vAlign w:val="bottom"/>
          </w:tcPr>
          <w:p>
            <w:pPr>
              <w:spacing w:after="0"/>
              <w:rPr>
                <w:sz w:val="18"/>
                <w:szCs w:val="18"/>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Peng Ou</w:t>
            </w:r>
            <w:r>
              <w:rPr>
                <w:rFonts w:ascii="Times New Roman" w:cs="Times New Roman" w:eastAsia="Times New Roman" w:hAnsi="Times New Roman"/>
                <w:sz w:val="24"/>
                <w:szCs w:val="24"/>
                <w:color w:val="auto"/>
                <w:vertAlign w:val="superscript"/>
              </w:rPr>
              <w:t>(1)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2,721,904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Tongbo Liu</w:t>
            </w:r>
            <w:r>
              <w:rPr>
                <w:rFonts w:ascii="Times New Roman" w:cs="Times New Roman" w:eastAsia="Times New Roman" w:hAnsi="Times New Roman"/>
                <w:sz w:val="24"/>
                <w:szCs w:val="24"/>
                <w:color w:val="auto"/>
                <w:vertAlign w:val="superscript"/>
              </w:rPr>
              <w:t>(2)</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30,385</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482,732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Jing Gao</w:t>
            </w:r>
            <w:r>
              <w:rPr>
                <w:rFonts w:ascii="Times New Roman" w:cs="Times New Roman" w:eastAsia="Times New Roman" w:hAnsi="Times New Roman"/>
                <w:sz w:val="24"/>
                <w:szCs w:val="24"/>
                <w:color w:val="auto"/>
                <w:vertAlign w:val="superscript"/>
              </w:rPr>
              <w:t>(3)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Yang Wang</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Hangyu Li</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Zheng Zhao</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Yingda Song</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w:t>
            </w: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group</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208,119</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3,204,636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Affiliates of Orchid Asia</w:t>
            </w:r>
            <w:r>
              <w:rPr>
                <w:rFonts w:ascii="Times New Roman" w:cs="Times New Roman" w:eastAsia="Times New Roman" w:hAnsi="Times New Roman"/>
                <w:sz w:val="24"/>
                <w:szCs w:val="24"/>
                <w:color w:val="auto"/>
                <w:vertAlign w:val="superscript"/>
              </w:rPr>
              <w:t>(4)</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352,776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PV PLUTO LIMITED</w:t>
            </w:r>
            <w:r>
              <w:rPr>
                <w:rFonts w:ascii="Times New Roman" w:cs="Times New Roman" w:eastAsia="Times New Roman" w:hAnsi="Times New Roman"/>
                <w:sz w:val="24"/>
                <w:szCs w:val="24"/>
                <w:color w:val="auto"/>
                <w:vertAlign w:val="superscript"/>
              </w:rPr>
              <w:t>(5)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826,389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Studyvip Online Education Limited</w:t>
            </w:r>
            <w:r>
              <w:rPr>
                <w:rFonts w:ascii="Times New Roman" w:cs="Times New Roman" w:eastAsia="Times New Roman" w:hAnsi="Times New Roman"/>
                <w:sz w:val="24"/>
                <w:szCs w:val="24"/>
                <w:color w:val="auto"/>
                <w:vertAlign w:val="superscript"/>
              </w:rPr>
              <w:t>(6)</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2,084,772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MARBLE FAITH LIMITED</w:t>
            </w:r>
            <w:r>
              <w:rPr>
                <w:rFonts w:ascii="Times New Roman" w:cs="Times New Roman" w:eastAsia="Times New Roman" w:hAnsi="Times New Roman"/>
                <w:sz w:val="24"/>
                <w:szCs w:val="24"/>
                <w:color w:val="auto"/>
                <w:vertAlign w:val="superscript"/>
              </w:rPr>
              <w:t>(7)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637,132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SCuPt Global Limited</w:t>
            </w:r>
            <w:r>
              <w:rPr>
                <w:rFonts w:ascii="Times New Roman" w:cs="Times New Roman" w:eastAsia="Times New Roman" w:hAnsi="Times New Roman"/>
                <w:sz w:val="24"/>
                <w:szCs w:val="24"/>
                <w:color w:val="auto"/>
                <w:vertAlign w:val="superscript"/>
              </w:rPr>
              <w:t>(8)</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355,306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96" w:lineRule="exact"/>
        <w:rPr>
          <w:sz w:val="20"/>
          <w:szCs w:val="20"/>
          <w:color w:val="auto"/>
        </w:rPr>
      </w:pPr>
    </w:p>
    <w:p>
      <w:pPr>
        <w:ind w:left="300" w:hanging="292"/>
        <w:spacing w:after="0"/>
        <w:tabs>
          <w:tab w:leader="none" w:pos="300"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Less than 1% of our total outstanding shares on an as-converted basis.</w:t>
      </w:r>
    </w:p>
    <w:p>
      <w:pPr>
        <w:spacing w:after="0" w:line="96" w:lineRule="exact"/>
        <w:rPr>
          <w:sz w:val="20"/>
          <w:szCs w:val="20"/>
          <w:color w:val="auto"/>
        </w:rPr>
      </w:pPr>
    </w:p>
    <w:p>
      <w:pPr>
        <w:ind w:left="760" w:hanging="752"/>
        <w:spacing w:after="0" w:line="261" w:lineRule="auto"/>
        <w:tabs>
          <w:tab w:leader="none" w:pos="299"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each person and group included in this column, percentage of voting power is calculated by dividing the voting power beneficially owned by such person or group by the voting power of all of our ordinary shares as a single class.</w:t>
      </w:r>
    </w:p>
    <w:p>
      <w:pPr>
        <w:spacing w:after="0" w:line="55" w:lineRule="exact"/>
        <w:rPr>
          <w:sz w:val="20"/>
          <w:szCs w:val="20"/>
          <w:color w:val="auto"/>
        </w:rPr>
      </w:pPr>
    </w:p>
    <w:p>
      <w:pPr>
        <w:ind w:left="760" w:hanging="752"/>
        <w:spacing w:after="0"/>
        <w:tabs>
          <w:tab w:leader="none" w:pos="299"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our directors and executive officers Mr. Peng Ou, Mr. Tongbo Liu, Ms. Jing Gao and Mr. Hangyu Li is Building 6, Chaolai Science Park, No. 36 Chuangyuan Road, Chaoyang District, Beijing, China. The address of Mr. Yang Wang is Wickhams Cay II, Road Town, Tortola, VG1110, the British Virgin Islands. The address of Mr. Zheng Zhao is Suite 1503, New Oriental South Building, No. 2 Haidiandongsan Street, Beijing 100080, China. The address of Mr. Yingda Song is Room 2602, Building No. 1, 109 Tianlin Road, Shanghai, China.</w:t>
      </w:r>
    </w:p>
    <w:p>
      <w:pPr>
        <w:spacing w:after="0" w:line="219" w:lineRule="exact"/>
        <w:rPr>
          <w:sz w:val="20"/>
          <w:szCs w:val="20"/>
          <w:color w:val="auto"/>
        </w:rPr>
      </w:pPr>
    </w:p>
    <w:p>
      <w:pPr>
        <w:ind w:left="760" w:hanging="752"/>
        <w:spacing w:after="0" w:line="236" w:lineRule="auto"/>
        <w:tabs>
          <w:tab w:leader="none" w:pos="299"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637,132 Class C ordinary shares held of record by MARBLE FAITH LIMITED, a British Virgin Islands company ultimately wholly owned by Vistra Trust (Hong Kong) Limited as trustee of an irrevocable trust constituted under the laws of the British Virgin Islands, with Mr. Peng Ou as the settlor and certain family members of Mr. Peng Ou as the beneficiaries; (ii) 2,084,772 Class C ordinary shares held of record by Studyvip Online Education Limited, a British Virgin Islands company wholly owned by MARBLE FAITH LIMITED; and (iii) 111,120 Class A ordinary shares in the form of ADSs held of record by Mr. Peng Ou.</w:t>
      </w:r>
    </w:p>
    <w:p>
      <w:pPr>
        <w:spacing w:after="0" w:line="68" w:lineRule="exact"/>
        <w:rPr>
          <w:rFonts w:ascii="Times New Roman" w:cs="Times New Roman" w:eastAsia="Times New Roman" w:hAnsi="Times New Roman"/>
          <w:sz w:val="14"/>
          <w:szCs w:val="14"/>
          <w:color w:val="auto"/>
        </w:rPr>
      </w:pPr>
    </w:p>
    <w:p>
      <w:pPr>
        <w:ind w:left="760" w:hanging="752"/>
        <w:spacing w:after="0" w:line="236" w:lineRule="auto"/>
        <w:tabs>
          <w:tab w:leader="none" w:pos="299"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355,306 Class C ordinary shares held of record by SCuPt Global Limited, a British Virgin Islands company wholly owned by TheTwinPeak Limited; (ii) 127,426 Class C ordinary shares held of record by The TwinPeak Limited, a British Virgin Islands company ultimately wholly owned by Vistra Trust (Hong Kong) Limited, as trustee of an irrevocable trust constituted under the laws of the British Virgin Islands, with Mr. Tongbo Liu as the settlor and certain family members of Mr. Tongbo Liu as the beneficiaries; and (iii) 30,385 Class A ordinary shares in the form of ADSs held of record by Mr. Tongbo Liu.</w:t>
      </w:r>
    </w:p>
    <w:p>
      <w:pPr>
        <w:spacing w:after="0" w:line="109"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60,383 Class A ordinary shares in the form of ADSs held of record by Ms. Jing Gao.</w:t>
      </w:r>
    </w:p>
    <w:p>
      <w:pPr>
        <w:spacing w:after="0" w:line="163" w:lineRule="exact"/>
        <w:rPr>
          <w:rFonts w:ascii="Times New Roman" w:cs="Times New Roman" w:eastAsia="Times New Roman" w:hAnsi="Times New Roman"/>
          <w:sz w:val="14"/>
          <w:szCs w:val="14"/>
          <w:color w:val="auto"/>
        </w:rPr>
      </w:pPr>
    </w:p>
    <w:p>
      <w:pPr>
        <w:ind w:left="760" w:hanging="752"/>
        <w:spacing w:after="0" w:line="248" w:lineRule="auto"/>
        <w:tabs>
          <w:tab w:leader="none" w:pos="371"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309,326 Class A ordinary shares directly held by Diamond Tower Investments Limited; and (ii) 43,450 Class A ordinary shares in the form of ADSs beneficially owned Ms. Lam Lai Ming. Diamond Tower Investments Limited is part of Orchid Asia V Group, Limited, an investment complex that focuses on companies in Asia and China in particular. Orchid Asia V Group, Limited is a wholly-owned subsidiary of AREO Holdings Limited. AREO Holdings Limited is wholly owned by Ms. Lam Lai Ming. The business address of Diamond Tower Investments Limited is Vistra Corporate Services Centre, Wickhams Cay II, Road Town Tortola, VG1110, the British Virgin Islands.</w:t>
      </w:r>
    </w:p>
    <w:p>
      <w:pPr>
        <w:spacing w:after="0" w:line="104" w:lineRule="exact"/>
        <w:rPr>
          <w:rFonts w:ascii="Times New Roman" w:cs="Times New Roman" w:eastAsia="Times New Roman" w:hAnsi="Times New Roman"/>
          <w:sz w:val="14"/>
          <w:szCs w:val="14"/>
          <w:color w:val="auto"/>
        </w:rPr>
      </w:pPr>
    </w:p>
    <w:p>
      <w:pPr>
        <w:ind w:left="760" w:hanging="752"/>
        <w:spacing w:after="0" w:line="302" w:lineRule="auto"/>
        <w:tabs>
          <w:tab w:leader="none" w:pos="371"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826,389 Class B ordinary shares held of record by PV PLUTO LIMITED, a British Virgin Islands company. The sole shareholder of PV PLUTO LIMITED is Primavera Capital Fund II L.P. The business address of PV PLUTO LIMITED is Wickhams Cay II, Road Town, Tortola, VG1110, the British Virgin Islands.</w:t>
      </w:r>
    </w:p>
    <w:p>
      <w:pPr>
        <w:spacing w:after="0" w:line="67" w:lineRule="exact"/>
        <w:rPr>
          <w:rFonts w:ascii="Times New Roman" w:cs="Times New Roman" w:eastAsia="Times New Roman" w:hAnsi="Times New Roman"/>
          <w:sz w:val="14"/>
          <w:szCs w:val="14"/>
          <w:color w:val="auto"/>
        </w:rPr>
      </w:pPr>
    </w:p>
    <w:p>
      <w:pPr>
        <w:ind w:left="760" w:right="20" w:hanging="752"/>
        <w:spacing w:after="0" w:line="302" w:lineRule="auto"/>
        <w:tabs>
          <w:tab w:leader="none" w:pos="371"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2,084,772 Class C ordinary shares held of record by Studyvip Online Education Limited, a British Virgin Islands company wholly owned by MARBLE FAITH LIMITED. The business address of Studyvip Online Education Limited is Start Chambers, Wickham Cay II, P. O. Box 2221, Road Town, Tortola, the British Virgin Islands.</w:t>
      </w:r>
    </w:p>
    <w:p>
      <w:pPr>
        <w:spacing w:after="0" w:line="67" w:lineRule="exact"/>
        <w:rPr>
          <w:rFonts w:ascii="Times New Roman" w:cs="Times New Roman" w:eastAsia="Times New Roman" w:hAnsi="Times New Roman"/>
          <w:sz w:val="14"/>
          <w:szCs w:val="14"/>
          <w:color w:val="auto"/>
        </w:rPr>
      </w:pPr>
    </w:p>
    <w:p>
      <w:pPr>
        <w:jc w:val="right"/>
        <w:ind w:left="760" w:hanging="752"/>
        <w:spacing w:after="0" w:line="261" w:lineRule="auto"/>
        <w:tabs>
          <w:tab w:leader="none" w:pos="385"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637,132 Class C ordinary shares held of record by MARBLE FAITH LIMITED, a British Virgin Islands company ultimately wholly owned by Vistra Trust (Hong Kong) Limited, as trustee of an irrevocable trust constituted under the laws of the British Virgin Islands, with Mr. Peng Ou as the settlor and certain family members of Mr. Peng Ou as the beneficiaries. The business address of MARBLE FAITH LIMITED is Vistra Corporate Services Centre, Wickhams Cay II, Road Town, Tortola, VG 1110, the British Virgin Islands.</w:t>
      </w:r>
    </w:p>
    <w:p>
      <w:pPr>
        <w:spacing w:after="0" w:line="95" w:lineRule="exact"/>
        <w:rPr>
          <w:rFonts w:ascii="Times New Roman" w:cs="Times New Roman" w:eastAsia="Times New Roman" w:hAnsi="Times New Roman"/>
          <w:sz w:val="14"/>
          <w:szCs w:val="14"/>
          <w:color w:val="auto"/>
        </w:rPr>
      </w:pPr>
    </w:p>
    <w:p>
      <w:pPr>
        <w:ind w:left="760" w:right="20" w:hanging="752"/>
        <w:spacing w:after="0" w:line="302" w:lineRule="auto"/>
        <w:tabs>
          <w:tab w:leader="none" w:pos="371"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355,306 Class C ordinary shares held of record by SCuPt Global Limited, a British Virgin Islands company wholly owned by TheTwinPeak Limited. The business address of SCuPt Global Limited is Trinity Chambers, PO Box 4301, Road Town, Tortola, the British Virgin Islands.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6" w:name="page107"/>
    <w:bookmarkEnd w:id="106"/>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To our knowledge, as of March 31, 2026, 2,122,594 of our Class A ordinary shares were held by one record holder in the United States, which was the Bank of New York Mellon, the depositary of our ADR program. The number of beneficial owners of the ADSs in the United States is likely to be much larger than the number of record holders of our ordinary shares in the United States.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6.F. Disclosure of a Registrant’s Action to Recover Erroneously Awarded Compensation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right="4840"/>
        <w:spacing w:after="0" w:line="378" w:lineRule="auto"/>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 7.A. Major Shareholders</w:t>
      </w:r>
    </w:p>
    <w:p>
      <w:pPr>
        <w:ind w:left="380"/>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Employees—6.E. Share Ownership.”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7.B.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Consolidated VIEs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See “Item 3. Key Information—Contractual Arrangements with Consolidated VIEs and Their Shareholders” and “Item 3. Key Information—Transfer of Funds and Other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Employees—6.A. Directors and Senior Management—Employment Agreements and Indemnification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6. Directors, Senior Management and Employees—6.B. Compensation—Share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7.C. Interests of Experts and Counsel</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81717"/>
        </w:rPr>
        <w:t>ITEM 8.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8.A. Consolidated Statements and Other Financial Information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 on Form 20-F.</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From time to time, the Group may become a party to various legal or administrative proceedings arising in the ordinary course of the Group’s business. As of the date of this annual report, the Group is not a party to, and the Group is not aware of any threat of, any legal or administrative proceedings that, in the opinion of the management, are likely to have any material and adverse effect on the Group’s business, financial condition, cash flow or results of operations.</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June 2019, we, and certain of our current and former directors and officers and our underwriters in our initial public offering were named as defendants in a securities class action filed in the U.S. District Court for the Eastern District of New York. An amended complaint in this class action was filed in November 2019. The action, purportedly brought on behalf of a class of persons who allegedly suffered damages as a result of their trading in the ADSs, alleges that our registration statement on Form F-1 in connection with our March 2018 initial public offering contains materially false and misleading statements and omissions in violation of the U.S. federal securities laws. We filed a motion to dismiss the action in March 2020, which was denied by an order dated March 31, 2021. In July 2021, we filed a motion for judgment on the pleadings, which was denied on September 21, 2022. On May 8, 2023, the parties entered into a stipulation of settlement to resolve the action on a class-wide basis without any admission of liability. The settlement received final approval of the court on October 11, 2023. For risks and uncertainties relating to pending cases against us, see “Item 3. Key Information—3.D. Risk Factors—Risks Related to the Group’s Business—The Group may be subject to litigations, allegations, complaints and investigations from time to time arising out of business operations. We and certain of our directors and officers have been named as defendants in a shareholder class action lawsuit, which could have a material adverse impact on the Group’s business, financial condition, results of operation, cash flows and reputation.”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7" w:name="page108"/>
    <w:bookmarkEnd w:id="107"/>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currently do not have any dividend policy. On June 14, 2022, our board of directors declared a special cash dividend of US$1.36 per ordinary share (or US$0.68 per ADS) to holders of our ordinary shares and ADSs, which had been fully paid. We have no plan to declare or pay any dividends in the near future on our shares or the ADSs representing our ordinary shares. We currently intend to retain most, if not all, of our available funds and any future earnings to operate and expand the Group’s business.</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4. Information on the Company—4.B. Business Overview—Regulation—Regulations on Foreign Exchange—Dividend Distribution.”</w:t>
      </w:r>
    </w:p>
    <w:p>
      <w:pPr>
        <w:spacing w:after="0" w:line="6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8.B. Significant Changes</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annual report, we have not experienced any significant changes since the date of the annual financial statements included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9.A. Offering and Listing Details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ADSs representing our Class A ordinary shares have been listed on the New York Stock Exchange since March 23, 2018 under the symbol “STG.” Effective from August 31, 2021, the ratio of ADSs representing the Class A ordinary shares changed from each 25 ADSs representing one Class A ordinary share to each two ADSs representing one Class A ordinary share.</w:t>
      </w:r>
    </w:p>
    <w:p>
      <w:pPr>
        <w:spacing w:after="0" w:line="172" w:lineRule="exact"/>
        <w:rPr>
          <w:sz w:val="20"/>
          <w:szCs w:val="20"/>
          <w:color w:val="auto"/>
        </w:rPr>
      </w:pPr>
    </w:p>
    <w:p>
      <w:pPr>
        <w:jc w:val="center"/>
        <w:ind w:right="9360"/>
        <w:spacing w:after="0"/>
        <w:rPr>
          <w:sz w:val="20"/>
          <w:szCs w:val="20"/>
          <w:color w:val="auto"/>
        </w:rPr>
      </w:pPr>
      <w:r>
        <w:rPr>
          <w:rFonts w:ascii="Times New Roman" w:cs="Times New Roman" w:eastAsia="Times New Roman" w:hAnsi="Times New Roman"/>
          <w:sz w:val="18"/>
          <w:szCs w:val="18"/>
          <w:b w:val="1"/>
          <w:bCs w:val="1"/>
          <w:color w:val="auto"/>
        </w:rPr>
        <w:t>9.B. Plan of Distribution</w:t>
      </w:r>
    </w:p>
    <w:p>
      <w:pPr>
        <w:spacing w:after="0" w:line="121" w:lineRule="exact"/>
        <w:rPr>
          <w:sz w:val="20"/>
          <w:szCs w:val="20"/>
          <w:color w:val="auto"/>
        </w:rPr>
      </w:pPr>
    </w:p>
    <w:p>
      <w:pPr>
        <w:jc w:val="center"/>
        <w:ind w:right="9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9.C. Markets</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ADSs representing our Class A ordinary shares have been listed on the New York Stock Exchange since March 23, 2018 under the symbol “STG.”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9.D. Selling Shareholders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9.E. Dilution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9.F. Expenses of the Issue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10.A.</w:t>
      </w:r>
      <w:r>
        <w:rPr>
          <w:sz w:val="20"/>
          <w:szCs w:val="20"/>
          <w:color w:val="auto"/>
        </w:rPr>
        <w:tab/>
      </w: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8" w:name="page109"/>
    <w:bookmarkEnd w:id="10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10.B.</w:t>
      </w:r>
      <w:r>
        <w:rPr>
          <w:sz w:val="20"/>
          <w:szCs w:val="20"/>
          <w:color w:val="auto"/>
        </w:rPr>
        <w:tab/>
      </w:r>
      <w:r>
        <w:rPr>
          <w:rFonts w:ascii="Times New Roman" w:cs="Times New Roman" w:eastAsia="Times New Roman" w:hAnsi="Times New Roman"/>
          <w:sz w:val="18"/>
          <w:szCs w:val="18"/>
          <w:b w:val="1"/>
          <w:bCs w:val="1"/>
          <w:color w:val="auto"/>
        </w:rPr>
        <w:t>Memorandum and Articles of Association</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Under the third clause of our fourth amended and restated memorandum and articles of association, the objects for which the Company is established are unrestricted and the Company shall have full power and authority to carry out any object not prohibited by the Companies Law (2016 Revision) or as the same may be revised from time to time, or any other law of the Cayman Islands. The following are summaries of material provisions of our fourth amended and restated memorandum and articles of association and the Companies Act (As Revised) of the Cayman Islands which we refer to as the “Companies Act” below insofar as they relate to the material terms of our ordinary shares.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17" w:lineRule="exact"/>
        <w:rPr>
          <w:sz w:val="20"/>
          <w:szCs w:val="20"/>
          <w:color w:val="auto"/>
        </w:rPr>
      </w:pPr>
    </w:p>
    <w:p>
      <w:pPr>
        <w:jc w:val="both"/>
        <w:ind w:firstLine="37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Our authorized share capital is US$50,000 divided into 1,000,000,000 shares with a par value of US$0.00005 each, comprising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796,062,195 Class A ordinary shares with a par value of US$0.00005 each, (ii) 826,389 Class B ordinary shares with a par value of US$0.00005 each, and</w:t>
      </w:r>
    </w:p>
    <w:p>
      <w:pPr>
        <w:spacing w:after="0" w:line="1" w:lineRule="exact"/>
        <w:rPr>
          <w:sz w:val="20"/>
          <w:szCs w:val="20"/>
          <w:color w:val="auto"/>
        </w:rPr>
      </w:pPr>
    </w:p>
    <w:p>
      <w:pPr>
        <w:jc w:val="both"/>
        <w:ind w:firstLine="8"/>
        <w:spacing w:after="0" w:line="253" w:lineRule="auto"/>
        <w:tabs>
          <w:tab w:leader="none" w:pos="33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203,111,416 Class C ordinary shares with a par value of US$0.00005 each. Holders of ordinary shares have the same rights except for voting and conversion rights as set out in our fourth amended and restated memorandum and articles of association. All of our issued and outstanding ordinary shares are fully paid and non-assessable. Certificates representing the ordinary shares are issued in registered form. We may not issue share to bearer. Our shareholders who are non-residents of the Cayman Islands may freely hold and transfer their ordinary shares.</w:t>
      </w:r>
    </w:p>
    <w:p>
      <w:pPr>
        <w:spacing w:after="0" w:line="77"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subject to our fourth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memorandum and articles of association and the Companies Act. Our fourth amended and restated memorandum and articles of association provide that dividends may be declared and paid out of our profits, realized or unrealized. Dividends may also be declared and paid out of share premium account or any other fund or account which can be authorized for this purpose in accordance with the Companies Act.</w:t>
      </w:r>
    </w:p>
    <w:p>
      <w:pPr>
        <w:spacing w:after="0" w:line="68"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In respect of all matters subject to shareholder vote, each Class A ordinary share is entitled to one vote, each Class B ordinary share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entitled to seven votes, and each Class C ordinary share is entitled to ten votes.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a majority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fourth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at the NYSE. Each general meeting, other than an annual general meeting, shall be an extraordinary general meeting. Shareholders’ annual general meetings and any other general meetings of our shareholders may be called by a majority of our board of directors or our chairman and a majority of our board of directors or our chairman shall, upon requisition of shareholders holding not less 10% of all votes attaching to all issued and outstanding ordinary shares entitled to vote at general meetings, convene an extraordinary general meeting; however, our fourth amended and restated memorandum and articles of association do not provide our shareholders with any right to put any proposals before annual general meetings or extraordinary general meetings not called by such shareholders. Advance notice of at least fifteen (15) days is required for the convening of our annual general meeting and other general meetings unless such notice is waived in accordance with our articles of association.</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making changes to our fourth amended and restated memorandum and articles of association.</w:t>
      </w:r>
    </w:p>
    <w:p>
      <w:pPr>
        <w:spacing w:after="0" w:line="71"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the restrictions in our fourth amended and restated memorandum and articles of association as set out below,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of our shareholders may transfer all or any of his or her ordinary shares by an instrument of transfer in the usual or common form or any other form approved by our board of directors.</w:t>
      </w:r>
    </w:p>
    <w:p>
      <w:pPr>
        <w:spacing w:after="0" w:line="6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54" w:lineRule="exact"/>
        <w:rPr>
          <w:sz w:val="20"/>
          <w:szCs w:val="20"/>
          <w:color w:val="auto"/>
        </w:rPr>
      </w:pPr>
    </w:p>
    <w:p>
      <w:pPr>
        <w:ind w:left="760" w:right="120" w:hanging="378"/>
        <w:spacing w:after="0" w:line="282"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NYSE may determine to be payable or such lesser sum as our directors may from time to time require is paid to us in respect thereof.</w:t>
      </w:r>
    </w:p>
    <w:p>
      <w:pPr>
        <w:spacing w:after="0" w:line="5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of any share they shall, within two calendar months after the date on which the instrument of transfer was lodged, send to each of the transferor and the transferee notice of such refusal.</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The registration of transfers may, after compliance with any notice required of the NYSE, be suspended and the register closed at such times and for such periods as our board of directors may from time to time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registration of transfers shall not be suspended nor the register closed for more than 30 days in any year.</w:t>
      </w:r>
    </w:p>
    <w:p>
      <w:pPr>
        <w:spacing w:after="0" w:line="6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On a return of capital on winding up or otherwise (other than on conversion, redemption or purchase of ordinary shares), if the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Any distribution of assets or capital to a holder of ordinary share will be the same in any liquidation event.</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We may issue shares on terms that such shares are subject to redemption, at our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fourth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80"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or series of shares, the rights attached to any class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series of shares (unless otherwise provided by the terms of issue of the shares of that class or series), whether or not our company is being wound-up, may be varied with the consent in writing of a majority the holders of the issued shares of that class or series or with the sanction of an ordinary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such existing class of shares.</w:t>
      </w:r>
    </w:p>
    <w:p>
      <w:pPr>
        <w:spacing w:after="0" w:line="74"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 Islands law to inspect or obtain copies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 of members or our corporate records (other than copies of our memorandum and articles of association, our register of mortgages and charges, and any special resolutions passed by our shareholders). Under Cayman Islands law, the names of current directors can be obtained from a search conducted at the Registrar of Companies in the Cayman Islands. However, we will provide our shareholders with annual audited financial statements. See “—10.H. Document on Display.”</w:t>
      </w:r>
    </w:p>
    <w:p>
      <w:pPr>
        <w:spacing w:after="0" w:line="71" w:lineRule="exact"/>
        <w:rPr>
          <w:sz w:val="20"/>
          <w:szCs w:val="20"/>
          <w:color w:val="auto"/>
        </w:rPr>
      </w:pPr>
    </w:p>
    <w:p>
      <w:pPr>
        <w:jc w:val="both"/>
        <w:ind w:right="2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fourth amended and restated memorandum and articles of association authorizes our board of directors to issue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ordinary shares from time to time as our board of directors shall determine, to the extent of available authorized but unissued shares.</w:t>
      </w:r>
    </w:p>
    <w:p>
      <w:pPr>
        <w:spacing w:after="0" w:line="5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fourth amended and restated memorandum and articles of association also authorizes our board of directors to, without the approval of our shareholders, establish from time to time one or more series of preferred shares and to determine, with respect to any series of preferred shares, the terms and rights of that series, including, among other things:</w:t>
      </w:r>
    </w:p>
    <w:p>
      <w:pPr>
        <w:spacing w:after="0" w:line="68" w:lineRule="exact"/>
        <w:rPr>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conversion rights, and voting rights;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1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50" w:lineRule="exact"/>
        <w:rPr>
          <w:sz w:val="20"/>
          <w:szCs w:val="20"/>
          <w:color w:val="auto"/>
        </w:rPr>
      </w:pPr>
    </w:p>
    <w:p>
      <w:pPr>
        <w:ind w:right="20" w:firstLine="37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fourth amended and restated memorandum and articles of association may discourage, delay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prevent a change of control of our company or management that shareholders may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0" w:name="page111"/>
    <w:bookmarkEnd w:id="110"/>
    <w:p>
      <w:pPr>
        <w:jc w:val="both"/>
        <w:spacing w:after="0" w:line="282" w:lineRule="auto"/>
        <w:rPr>
          <w:sz w:val="20"/>
          <w:szCs w:val="20"/>
          <w:color w:val="auto"/>
        </w:rPr>
      </w:pPr>
      <w:r>
        <w:rPr>
          <w:rFonts w:ascii="Times New Roman" w:cs="Times New Roman" w:eastAsia="Times New Roman" w:hAnsi="Times New Roman"/>
          <w:sz w:val="18"/>
          <w:szCs w:val="18"/>
          <w:color w:val="auto"/>
        </w:rPr>
        <w:t>consider favorable, including provisions that authorize our board of directors to issue authorized preferred shares in one or more series and to designate the price, rights, preferences, privileges and restrictions of such preferred shares without any further vote or action by our shareholders.</w:t>
      </w:r>
    </w:p>
    <w:p>
      <w:pPr>
        <w:spacing w:after="0" w:line="50"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 Companies Act distinguishes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72" w:lineRule="exact"/>
        <w:rPr>
          <w:sz w:val="20"/>
          <w:szCs w:val="20"/>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30 years in the first instance);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10.C.</w:t>
      </w:r>
      <w:r>
        <w:rPr>
          <w:sz w:val="20"/>
          <w:szCs w:val="20"/>
          <w:color w:val="auto"/>
        </w:rPr>
        <w:tab/>
      </w:r>
      <w:r>
        <w:rPr>
          <w:rFonts w:ascii="Times New Roman" w:cs="Times New Roman" w:eastAsia="Times New Roman" w:hAnsi="Times New Roman"/>
          <w:sz w:val="18"/>
          <w:szCs w:val="18"/>
          <w:b w:val="1"/>
          <w:bCs w:val="1"/>
          <w:color w:val="auto"/>
        </w:rPr>
        <w:t>Material Contracts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this annual report on Form 20-F.</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10.D.</w:t>
      </w:r>
      <w:r>
        <w:rPr>
          <w:sz w:val="20"/>
          <w:szCs w:val="20"/>
          <w:color w:val="auto"/>
        </w:rPr>
        <w:tab/>
      </w:r>
      <w:r>
        <w:rPr>
          <w:rFonts w:ascii="Times New Roman" w:cs="Times New Roman" w:eastAsia="Times New Roman" w:hAnsi="Times New Roman"/>
          <w:sz w:val="18"/>
          <w:szCs w:val="18"/>
          <w:b w:val="1"/>
          <w:bCs w:val="1"/>
          <w:color w:val="auto"/>
        </w:rPr>
        <w:t>Exchange Controls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4. Information on the Company—4.B. Business Overview—Regulation—Regulations Relating to Foreign Exchange.”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10.E.</w:t>
      </w:r>
      <w:r>
        <w:rPr>
          <w:sz w:val="20"/>
          <w:szCs w:val="20"/>
          <w:color w:val="auto"/>
        </w:rPr>
        <w:tab/>
      </w: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following discussion of the Cayman Islands, PRC and United States federal income tax consequences of an investment in the ADSs or ordinary shares is based upon laws and relevant interpretations thereof in effect as of the date of this annual report, all of which are subject to change. This discussion does not deal with all possible tax consequences relating to an investment in the ADSs or ordinary shares, such as the tax consequences under state, local and other tax laws. To the extent that the discussion relates to matters of Cayman Islands tax law, it represents the opinion of Maples and Calder (Hong Kong) LLP, our Cayman Islands legal counsel. To the extent that the discussion relates to matters of PRC tax law, it represents the opinion of Tian Yuan Law Firm, our PRC legal counsel.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holders of the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the ADSs or ordinary shares will not be subject to taxation in the Cayman Islands and no withholding will be required on the payment of a dividend or capital to any holder of the ADSs or ordinary shares, nor will gains derived from the disposal of the ADSs or ordinary shares be subject to Cayman Islands income or corporate tax.</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1" w:name="page112"/>
    <w:bookmarkEnd w:id="111"/>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Under the PRC EIT Law, which became effective on January 1, 2008 and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business operations, personnel and human resources, finances and properties of an enterprise.</w:t>
      </w:r>
    </w:p>
    <w:p>
      <w:pPr>
        <w:spacing w:after="0" w:line="75"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color w:val="auto"/>
        </w:rPr>
        <w:t>In addition, the SAT Circular 82 issued by the SAT in April 2009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 making bodies; (c) key properties, accounting books, company seal, minutes of board meetings and shareholders’ meetings; and (d) half or more of the senior management or directors having voting rights. 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If the PRC tax authorities determine that our Cayman Islands holding company is a PRC resident enterprise for PRC enterprise income tax purposes, a number of unfavorable PRC tax consequences could follow. For example, a 10% withholding tax would be imposed on dividends we pay to our non-PRC enterprise shareholders (including the ADS holders). In addition, non-resident enterprise shareholders (including the ADS holders) may be subject to PRC tax on gains realized on the sale or other disposition of ADSs or ordinary shares, if such income is treated as sourced from within the PRC. Furthermore, if we are deemed a PRC resident enterprise, dividends paid to our non-PRC individual shareholders (including the ADS holders) and any gain realized on the transfer of ADSs or ordinary shares by such shareholders may be subject to PRC tax at a rate of 20% (which, in the case of dividends, may be withheld at source by us).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See “Item 3. Key Information—3.D. Risk Factors—Risks Related to Doing Business in China—If we are classified as a PRC resident enterprise for PRC enterprise income tax purposes, such classification could result in unfavorable tax consequences to the Group and our non-PRC shareholders and ADS holders.”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to the U.S. Holders described below of owning and disposing of ADSs or ordinary shares, but it does not purport to be a comprehensive description of all of the tax considerations that may be relevant to a particular person’s decision to hold ADSs or ordinary shares. This discussion applies only to a U.S. Holder that holds ADSs or ordinary shares as capital assets for U.S. federal income tax purposes. In addition, it does not describe all of the tax consequences that may be relevant in light of a U.S. Holder’s particular circumstances, including alternative minimum tax and Medicare contribution tax consequences, and tax consequences applicable to U.S. Holders subject to special rules, such as:</w:t>
      </w:r>
    </w:p>
    <w:p>
      <w:pPr>
        <w:spacing w:after="0" w:line="79" w:lineRule="exact"/>
        <w:rPr>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that use a mark-to-market method of tax accounting;</w:t>
      </w:r>
    </w:p>
    <w:p>
      <w:pPr>
        <w:spacing w:after="0" w:line="117"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as part of a straddle, wash sale, hedging or conversion transaction or integrated transaction or persons entering into a constructive sale with respect to the ADSs or ordinary shares;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 (and investors therein);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“individual retirement accounts” or “Roth IRAs”;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ADSs or ordinary shares representing ten percent or more of our voting power or value;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ADSs or ordinary shares pursuant to the exercise of an employee stock option or otherwise as compensation;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in connection with a trade or business conducted outside of the United States.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2" w:name="page113"/>
    <w:bookmarkEnd w:id="112"/>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owns ADSs or ordinary shares, the U.S. federal income tax treatment of its partners will generally depend on the status of such partners and the activities of the partnership. Partnerships owning ADSs or ordinary shares and partners in such partnerships should consult their tax advisers as to the particular U.S. federal income tax consequences of owning and disposing of ADSs or ordinary shares.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or the Code, administrative pronouncements, judicial decisions and final, temporary and proposed Treasury regulations, and the income tax treaty between the United States and the PRC, or the Treaty, all as of the date hereof, any of which is subject to change, possibly with retroactive effect. This discussion is also based, in part, on representations by the Depositary and assumes that each obligation under the deposit agreement and any related agreement will be performed in accordance with its terms.</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person that is eligible for the benefits of the Treaty, and is a beneficial owner of ADSs or ordinary shares that for U.S. federal income tax purposes is:</w:t>
      </w:r>
    </w:p>
    <w:p>
      <w:pPr>
        <w:spacing w:after="0" w:line="54" w:lineRule="exact"/>
        <w:rPr>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17"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11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Treasury regulations that apply to taxable years beginning on or after December 28, 2021, or the Foreign Tax Credit Regulations, may in some circumstances prohibit a U.S. person from claiming a foreign tax credit with respect to certain non-U.S. taxes that are not creditable under applicable income tax treaties. The Internal Revenue Service has released notices that provide relief from certain of the provisions of the Foreign Tax Credit Regulations for taxable years ending before the date that a notice or other guidance withdrawing or modifying the temporary relief is issued (or any later date specified in such notice or other guidance). U.S. investors that are not eligible for benefits under the Treaty should consult their tax advisers regarding the creditability or deductibility of any PRC taxes imposed on dividends on, or dispositions of, the ADSs or ordinary shares. This discussion does not apply to investors in this special situation.</w:t>
      </w:r>
    </w:p>
    <w:p>
      <w:pPr>
        <w:spacing w:after="0" w:line="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advisers concerning the U.S. federal, state, local and non-U.S. tax consequences of owning and disposing of ADSs or ordinary shares in their particular circumstances.</w:t>
      </w:r>
    </w:p>
    <w:p>
      <w:pPr>
        <w:spacing w:after="0" w:line="5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In general, a U.S. Holder who owns ADSs will be treated as the owner of the underlying shares represented by those ADSs for U.S. federal income tax purposes. Accordingly, no gain or loss will be recognized if a U.S. Holder exchanges ADSs for the underlying shares represented by those ADSs.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subject to the discussion under “—Passive Foreign Investment Company Rules” below.</w:t>
      </w:r>
    </w:p>
    <w:p>
      <w:pPr>
        <w:spacing w:after="0" w:line="11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Distributions paid on the ADSs or ordinary shares, other than certain pro rata distributions of ADSs or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for U.S. federal income tax purposes. Such dividends will not be eligible for the dividends-received deduction generally available to U.S. corporations under the Code. Subject to applicable limitations, dividends paid to certain non-corporate U.S. Holders may be taxable at reduced rates. Non-corporate U.S. Holders should consult their tax advisers regarding the availability of the reduced tax rate on dividends in their particular circumstances.</w:t>
      </w:r>
    </w:p>
    <w:p>
      <w:pPr>
        <w:spacing w:after="0" w:line="8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Dividends will be included in a U.S. Holder’s income generally on the date of the U.S. Holder’s, or in the case of ADSs, the Depositary’s, receipt. The amount of any dividend income paid in currency other than U.S. dollars will be the U.S. dollars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Dividends will be treated as foreign-source income for foreign tax credit purposes. As described in “—People’s Republic of China Taxation,” dividends paid by us may be subject to PRC withholding tax. For U.S. federal income tax purposes, the amount of the dividend income will include amounts withheld in respect of the PRC withholding tax. Subject to applicable limitations, which vary depending upon the U.S. Holder’s circumstances, PRC taxes withheld from dividend payments (at a rate not exceeding the applicable rate provided in the Treaty) generally will be creditable against a U.S. Holder’s U.S. federal income tax liability. In lieu of claiming a credit, a U.S. Holder may elect to deduct such PRC taxes in computing its taxable income, subject to applicable limitations. An election to deduct creditable foreign taxes instead of claiming foreign tax credits must apply to all creditable foreign taxes paid or accrued in the taxable year. The rules governing deductions and credits for foreign taxes are complex, and U.S. Holders should consult their tax advisers regarding the creditability or deductibility of foreign taxes in their particular circumstances.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ADSs or Ordinary Shares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subject to the discussion under “—Passive Foreign Investment Company Rules” below.</w:t>
      </w:r>
    </w:p>
    <w:p>
      <w:pPr>
        <w:spacing w:after="0" w:line="11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gain or loss realized on the sale or other taxable disposition of ADSs or ordinary shares will be capital gain or loss, and will be long-term capital gain or loss if the U.S. Holder held the ADSs or ordinary shares for more than one year. The amount of the gain or loss will equal the difference between the U.S. Holder’s tax basis in the ADSs or ordinary shares disposed of and the amount realized on the disposition, in each case as determined in U.S. dollars.</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described in “—People’s Republic of China Taxation” above, gains on the sale of ADSs or ordinary shares may be subject to PRC taxes if we are treated as a PRC resident enterprise for PRC tax purposes. Under the Code, capital gains of U.S. persons are generally treated as U.S.-source income. However, a U.S. Holder may be able to elect to treat the gain as foreign-source income under the Treaty and claim foreign tax credit in respect to any PRC tax on dispositions. The Foreign Tax Credit Regulations generally preclude a U.S. Holder from claiming a foreign tax credit with respect to PRC income taxes on gains from dispositions of ADSs or ordinary shares if the U.S. Holder does not elect to apply the benefits of the Treaty. However, in that case it is possible that any PRC taxes on disposition gains may either be deductible or reduce the amount realized on the disposition. The rules governing foreign tax credits and deductibility of foreign taxes are complex. U.S. Holders should consult their tax advisers regarding the consequences of the imposition of any PRC tax on disposition gains, including the Treaty’s resourcing rule, any reporting requirements with respect to a Treaty-based return position and the creditability or deductibility of the PRC tax in their particular circumstances (including any applicable limitations).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general, a non-U.S. corporation is a PFIC for any taxable year in which (i) 75% or more of its gross income consists of passive income or (ii) 50% or more of the average quarterly value of its assets consists of assets that produce, or are held for the production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Passive income generally includes dividends, interest, rents, royalties and investment gains. Cash is a passive asset for these purposes. Goodwill and other intangible assets are active assets under the PFIC rules to the extent attributable to activities that produce active income.</w:t>
      </w:r>
    </w:p>
    <w:p>
      <w:pPr>
        <w:spacing w:after="0" w:line="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determination of our PFIC status is subject to certain uncertainties and is made by applying principles and methodologies that are in some circumstances unclear.</w:t>
      </w:r>
    </w:p>
    <w:p>
      <w:pPr>
        <w:spacing w:after="0" w:line="5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Based on the composition of our income and assets and the value of our assets, including goodwill and other intangible assets, which is based on the market price of the ADSs, we believe that we were likely a PFIC for the 2025 taxable year. In addition, it is not entirely clear how the contractual arrangements between our wholly-owned PRC subsidiaries, our consolidated affiliated entities and the shareholders of our consolidated affiliated entities will be treated for purposes of the PFIC rules. Because the treatment of the contractual arrangements is not entirely clear, because we hold a substantial amount of cash, and because PFIC status depends upon the composition of our income and assets and the value of our assets from time to time (which may be determined, in part, by reference to the market price of the ADSs or ordinary shares, which has been, and may continue to be, volatile), there is a risk that we may be a PFIC for our current taxable year and possibly future taxable years.</w:t>
      </w:r>
    </w:p>
    <w:p>
      <w:pPr>
        <w:spacing w:after="0" w:line="8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we are or were a PFIC for any taxable year and any of our subsidiaries, consolidated affiliated entities or other companies in which we own or are treated as owning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general, if we are or were a PFIC for any taxable year during which a U.S. Holder holds ADSs or ordinary shares, gain recognized by such U.S. Holder on a sale or other disposition (including certain pledges) of its ADSs or ordinary shares would be allocated ratably over that U.S. Holder’s holding period. The amounts allocated to the taxable year of the sale or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resulting tax liability for each such year. Furthermore, to the extent that distributions received by a U.S. Holder in any year on its ADSs or ordinary shares exceed 125% of the average of the annual distributions on the ADSs or ordinary shares received during the preceding three taxable years or the U.S. Holder’s holding period for the ADSs or ordinary shares, whichever is shorter, such distributions would be subject to taxation in the same manner.</w:t>
      </w:r>
    </w:p>
    <w:p>
      <w:pPr>
        <w:spacing w:after="0" w:line="8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Alternatively, if we are or were a PFIC and if the ADSs were “regularly traded” on a “qualified exchange,” as defined in applicable Treasury regulations, a U.S. Holder could make a mark-to-market election that would result in tax treatment different from the general tax treatment for PFICs described in the preceding paragraph. The ADSs would be treated as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4" w:name="page115"/>
    <w:bookmarkEnd w:id="114"/>
    <w:p>
      <w:pPr>
        <w:jc w:val="both"/>
        <w:spacing w:after="0" w:line="258" w:lineRule="auto"/>
        <w:rPr>
          <w:sz w:val="20"/>
          <w:szCs w:val="20"/>
          <w:color w:val="auto"/>
        </w:rPr>
      </w:pPr>
      <w:r>
        <w:rPr>
          <w:rFonts w:ascii="Times New Roman" w:cs="Times New Roman" w:eastAsia="Times New Roman" w:hAnsi="Times New Roman"/>
          <w:sz w:val="18"/>
          <w:szCs w:val="18"/>
          <w:color w:val="auto"/>
        </w:rPr>
        <w:t>“regularly traded” for any calendar year in which more than a de minimis quantity of the ADSs were traded on a qualified exchange on at least 15 days during each calendar quarter. The New York Stock Exchange, where the ADSs are listed, is a qualified exchange for this purpose. U.S. Holders will not be able to make a mark-to-market election with respect to Lower-tier PFICs, if any. Accordingly, if we were a PFIC for any taxable year, a U.S. Holder that makes the mark-to-market election may continue to be subject to the general PFIC rules with respect to such U.S. Holder’s indirect interest in any Lower-tier PFICs.</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If a U.S. Holder makes the mark-to-market election, the U.S. Holder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 income or loss amounts recognized. Any gain recognized on the sale or other disposition of ADSs in a year when we are a PFIC will be treated as ordinary income and any loss will be treated as an ordinary loss (but only to the extent of the net amount of income previously included as a result of the mark-to-market election, with any excess treated as capital loss).</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a U.S. Holder makes the mark-to-market election, distributions paid on ADSs will be treated as discussed under “—Taxation of Distributions” above. However, regardless of whether a U.S. Holder makes the mark-to-market election,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we are or were a PFIC for any taxable year during a U.S. Holder’s holding period for ADSs or ordinary shares, we will generally continue to be treated as a PFIC with respect to the U.S. Holder for all succeeding years during which the U.S. Holder owns ADSs or ordinary shares, even if we cease to meet the threshold requirements for PFIC status. If we are or were a PFIC for any taxable year but cease to be a PFIC for subsequent years, U.S. Holders should consult their tax advisers regarding the advisability of making a “deemed sale” election that would allow them to eliminate the continuing PFIC status under certain circumstances but may require them to recognize gain taxed under the general PFIC rules described above.</w:t>
      </w:r>
    </w:p>
    <w:p>
      <w:pPr>
        <w:spacing w:after="0" w:line="7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do not intend to provide the information that would otherwise enable U.S. Holders to make a “qualified electing fund election,” which would have resulted in alternate treatment if we are or were a PFIC for any taxable year.</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we are or were a PFIC for any taxable year during which a U.S. Holder owned any ADSs or ordinary shares, the U.S. Holder would generally be required to file annual reports with the Internal Revenue Service.</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advisers regarding the determination of whether we are or were a PFIC for any taxable year and the potential application of the PFIC rules to their ownership of ADSs or ordinary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Payments of dividends and sales proceeds from the sale or exchange of the ADSs or ordinary shares,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generally on Internal Revenue Service Form W-9. 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Internal Revenue Service.</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Certain U.S. Holders who are individuals (or entities formed or availed of to hold certain “specified foreign financial assets”) may be required to report information relating to their ownership of ADSs or ordinary shares, unless the ADSs or ordinary shares are held in accounts at financial institutions (in which case the accounts may be reportable if maintained by non-U.S. financial institutions). U.S. Holders should consult their tax advisers regarding their reporting obligations with respect to the ADSs or ordinary shares.</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10.F.</w:t>
      </w:r>
      <w:r>
        <w:rPr>
          <w:sz w:val="20"/>
          <w:szCs w:val="20"/>
          <w:color w:val="auto"/>
        </w:rPr>
        <w:tab/>
      </w:r>
      <w:r>
        <w:rPr>
          <w:rFonts w:ascii="Times New Roman" w:cs="Times New Roman" w:eastAsia="Times New Roman" w:hAnsi="Times New Roman"/>
          <w:sz w:val="18"/>
          <w:szCs w:val="18"/>
          <w:b w:val="1"/>
          <w:bCs w:val="1"/>
          <w:color w:val="auto"/>
        </w:rPr>
        <w:t>Dividends and Paying Agents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10.G.</w:t>
      </w:r>
      <w:r>
        <w:rPr>
          <w:sz w:val="20"/>
          <w:szCs w:val="20"/>
          <w:color w:val="auto"/>
        </w:rPr>
        <w:tab/>
      </w:r>
      <w:r>
        <w:rPr>
          <w:rFonts w:ascii="Times New Roman" w:cs="Times New Roman" w:eastAsia="Times New Roman" w:hAnsi="Times New Roman"/>
          <w:sz w:val="17"/>
          <w:szCs w:val="17"/>
          <w:b w:val="1"/>
          <w:bCs w:val="1"/>
          <w:color w:val="auto"/>
        </w:rPr>
        <w:t>Statement by Experts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10.H.</w:t>
      </w:r>
      <w:r>
        <w:rPr>
          <w:sz w:val="20"/>
          <w:szCs w:val="20"/>
          <w:color w:val="auto"/>
        </w:rPr>
        <w:tab/>
      </w:r>
      <w:r>
        <w:rPr>
          <w:rFonts w:ascii="Times New Roman" w:cs="Times New Roman" w:eastAsia="Times New Roman" w:hAnsi="Times New Roman"/>
          <w:sz w:val="17"/>
          <w:szCs w:val="17"/>
          <w:b w:val="1"/>
          <w:bCs w:val="1"/>
          <w:color w:val="auto"/>
        </w:rPr>
        <w:t>Documents on Display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5" w:name="page116"/>
    <w:bookmarkEnd w:id="115"/>
    <w:p>
      <w:pPr>
        <w:jc w:val="both"/>
        <w:spacing w:after="0" w:line="254" w:lineRule="auto"/>
        <w:rPr>
          <w:sz w:val="20"/>
          <w:szCs w:val="20"/>
          <w:color w:val="auto"/>
        </w:rPr>
      </w:pPr>
      <w:r>
        <w:rPr>
          <w:rFonts w:ascii="Times New Roman" w:cs="Times New Roman" w:eastAsia="Times New Roman" w:hAnsi="Times New Roman"/>
          <w:sz w:val="18"/>
          <w:szCs w:val="18"/>
          <w:color w:val="auto"/>
        </w:rPr>
        <w:t>Exchange Act, we are required to file reports and other information with the SEC. Specifically, we are required to file annually a Form 20-F no later than four months after the close of each fiscal year. Copies of reports and other information, when so filed, may be inspected without charge and may be obtained at prescribed rates at the public reference facilities maintained by the SEC at 100 F Street, N.E., Room 1580,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will furnish The Bank of New York Mellon,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10.I. Subsidiary Information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10.J. Annual Report to Security Holders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Group’s exposure to interest rate risk primarily relates to the interest income generated by excess cash, which is mostly held in interest-bearing bank deposits. The Group has not used any derivative financial instruments to manage the Group’s interest risk exposure. Interest-earning instruments carry a degree of interest rate risk. The Group has not been exposed, nor does the Group anticipate being exposed, to material risks due to changes in interest rates. However, the Group’s future interest income may be lower than expected due to changes in market interest rates.</w:t>
      </w:r>
    </w:p>
    <w:p>
      <w:pPr>
        <w:spacing w:after="0" w:line="7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Group may also be subject to interest rate risk in relation to the installment payment option that the Group offers to students that enables them to finance all or part of their tuition from loans provided by third-party credit providers. The borrowing student is obligated to repay the loan principal in installments over a period ranging from 3 to 12 months, while the Group is generally obligated to pay the full amount of interest payable to the credit providers at the very beginning of the loan. The Group may be subject to risks associated with an increase in interest rates to the extent that the Group continues to agree to make the interest payments under such loans. In 2023, 2024 and 2025, the Group’s student loan coverage ratio was 1.3%, 1.9% and 1.7%, respectively. For the same periods, the Group made interest payments of RMB1.5 million, RMB1.7 million and RMB1.9 million (US$0.3 million), respectively, to the credit providers.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Substantially all of the Group’s revenues are denominated in Renminbi. Renminbi is not freely convertible into foreign currencies for capital account transactions. The value of Renminbi against U.S. dollars and other currencies is affected by, among other things, changes in China’s political and economic conditions and China’s foreign exchange policies. On July 21, 2005, the PRC government changed its decade-old policy of pegging the value of Renminbi to U.S. dollars, and Renminbi appreciated more than 20% against U.S. dollars over the following three years. Since June 2010, Renminbi has fluctuated against U.S. dollars, at times significantly and unpredictably. It is difficult to predict how market forces or PRC or U.S. government policy may impact the exchange rate between Renminbi and U.S. dollars in the future.</w:t>
      </w:r>
    </w:p>
    <w:p>
      <w:pPr>
        <w:spacing w:after="0" w:line="79" w:lineRule="exact"/>
        <w:rPr>
          <w:sz w:val="20"/>
          <w:szCs w:val="20"/>
          <w:color w:val="auto"/>
        </w:rPr>
      </w:pPr>
    </w:p>
    <w:p>
      <w:pPr>
        <w:ind w:right="1180" w:firstLine="374"/>
        <w:spacing w:after="0" w:line="375" w:lineRule="auto"/>
        <w:rPr>
          <w:sz w:val="20"/>
          <w:szCs w:val="20"/>
          <w:color w:val="auto"/>
        </w:rPr>
      </w:pPr>
      <w:r>
        <w:rPr>
          <w:rFonts w:ascii="Times New Roman" w:cs="Times New Roman" w:eastAsia="Times New Roman" w:hAnsi="Times New Roman"/>
          <w:sz w:val="18"/>
          <w:szCs w:val="18"/>
          <w:color w:val="auto"/>
        </w:rPr>
        <w:t xml:space="preserve">To date, the Group has not entered into any hedging transactions in an effort to reduce the exposure to foreign currency exchange risk. </w:t>
      </w:r>
      <w:r>
        <w:rPr>
          <w:rFonts w:ascii="Times New Roman" w:cs="Times New Roman" w:eastAsia="Times New Roman" w:hAnsi="Times New Roman"/>
          <w:sz w:val="18"/>
          <w:szCs w:val="18"/>
          <w:b w:val="1"/>
          <w:bCs w:val="1"/>
          <w:i w:val="1"/>
          <w:iCs w:val="1"/>
          <w:color w:val="auto"/>
        </w:rPr>
        <w:t>Inflation Risk</w:t>
      </w:r>
    </w:p>
    <w:p>
      <w:pPr>
        <w:spacing w:after="0" w:line="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Since the Group’s inception, inflation in China has not materially impacted the Group’s results of operations. According to the National Bureau of Statistics of China, the year-over-year percent changes in the consumer price index were decreases of 0.3% for December 2023, increase of 0.1% for December 2024, and increases of 0.8% for December 2025, respectively. Although the Group has not in the past been materially affected by inflation since the Group’s inception, the Group can provide no assurance that the Group will not be affected in the future by higher rates of inflation in China.</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37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12.A.</w:t>
      </w:r>
      <w:r>
        <w:rPr>
          <w:sz w:val="20"/>
          <w:szCs w:val="20"/>
          <w:color w:val="auto"/>
        </w:rPr>
        <w:tab/>
      </w:r>
      <w:r>
        <w:rPr>
          <w:rFonts w:ascii="Times New Roman" w:cs="Times New Roman" w:eastAsia="Times New Roman" w:hAnsi="Times New Roman"/>
          <w:sz w:val="18"/>
          <w:szCs w:val="18"/>
          <w:b w:val="1"/>
          <w:bCs w:val="1"/>
          <w:color w:val="auto"/>
        </w:rPr>
        <w:t>Debt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12.B.</w:t>
      </w:r>
      <w:r>
        <w:rPr>
          <w:sz w:val="20"/>
          <w:szCs w:val="20"/>
          <w:color w:val="auto"/>
        </w:rPr>
        <w:tab/>
      </w:r>
      <w:r>
        <w:rPr>
          <w:rFonts w:ascii="Times New Roman" w:cs="Times New Roman" w:eastAsia="Times New Roman" w:hAnsi="Times New Roman"/>
          <w:sz w:val="18"/>
          <w:szCs w:val="18"/>
          <w:b w:val="1"/>
          <w:bCs w:val="1"/>
          <w:color w:val="auto"/>
        </w:rPr>
        <w:t>Warrants and Rights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12.C.</w:t>
      </w:r>
      <w:r>
        <w:rPr>
          <w:sz w:val="20"/>
          <w:szCs w:val="20"/>
          <w:color w:val="auto"/>
        </w:rPr>
        <w:tab/>
      </w:r>
      <w:r>
        <w:rPr>
          <w:rFonts w:ascii="Times New Roman" w:cs="Times New Roman" w:eastAsia="Times New Roman" w:hAnsi="Times New Roman"/>
          <w:sz w:val="18"/>
          <w:szCs w:val="18"/>
          <w:b w:val="1"/>
          <w:bCs w:val="1"/>
          <w:color w:val="auto"/>
        </w:rPr>
        <w:t>Other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12.D.</w:t>
      </w:r>
      <w:r>
        <w:rPr>
          <w:sz w:val="20"/>
          <w:szCs w:val="20"/>
          <w:color w:val="auto"/>
        </w:rPr>
        <w:tab/>
      </w:r>
      <w:r>
        <w:rPr>
          <w:rFonts w:ascii="Times New Roman" w:cs="Times New Roman" w:eastAsia="Times New Roman" w:hAnsi="Times New Roman"/>
          <w:sz w:val="18"/>
          <w:szCs w:val="18"/>
          <w:b w:val="1"/>
          <w:bCs w:val="1"/>
          <w:color w:val="auto"/>
        </w:rPr>
        <w:t>American Depositary Shares</w:t>
      </w:r>
    </w:p>
    <w:p>
      <w:pPr>
        <w:spacing w:after="0" w:line="266"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b w:val="1"/>
          <w:bCs w:val="1"/>
          <w:color w:val="auto"/>
        </w:rPr>
        <w:t>Persons depositing or withdrawing shares or ADS holders must pay:</w:t>
      </w:r>
      <w:r>
        <w:rPr>
          <w:sz w:val="20"/>
          <w:szCs w:val="20"/>
          <w:color w:val="auto"/>
        </w:rPr>
        <w:tab/>
      </w: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US$0.05 (or less) per ADS</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shares and the shares had been deposited for issuance of ADSs</w:t>
      </w:r>
    </w:p>
    <w:p>
      <w:pPr>
        <w:spacing w:after="0" w:line="40" w:lineRule="exact"/>
        <w:rPr>
          <w:sz w:val="20"/>
          <w:szCs w:val="20"/>
          <w:color w:val="auto"/>
        </w:rPr>
      </w:pPr>
    </w:p>
    <w:p>
      <w:pPr>
        <w:ind w:right="2740"/>
        <w:spacing w:after="0" w:line="391" w:lineRule="auto"/>
        <w:rPr>
          <w:sz w:val="20"/>
          <w:szCs w:val="20"/>
          <w:color w:val="auto"/>
        </w:rPr>
      </w:pPr>
      <w:r>
        <w:rPr>
          <w:rFonts w:ascii="Times New Roman" w:cs="Times New Roman" w:eastAsia="Times New Roman" w:hAnsi="Times New Roman"/>
          <w:sz w:val="18"/>
          <w:szCs w:val="18"/>
          <w:color w:val="auto"/>
        </w:rPr>
        <w:t>$0.05 (or less) per ADS per calendar year Registration or transfer fees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20" w:right="280" w:hanging="6"/>
        <w:spacing w:after="0" w:line="282" w:lineRule="auto"/>
        <w:rPr>
          <w:sz w:val="20"/>
          <w:szCs w:val="20"/>
          <w:color w:val="auto"/>
        </w:rPr>
      </w:pPr>
      <w:r>
        <w:rPr>
          <w:rFonts w:ascii="Times New Roman" w:cs="Times New Roman" w:eastAsia="Times New Roman" w:hAnsi="Times New Roman"/>
          <w:sz w:val="18"/>
          <w:szCs w:val="18"/>
          <w:color w:val="181717"/>
        </w:rPr>
        <w:t xml:space="preserve">Issuance </w:t>
      </w:r>
      <w:r>
        <w:rPr>
          <w:rFonts w:ascii="Times New Roman" w:cs="Times New Roman" w:eastAsia="Times New Roman" w:hAnsi="Times New Roman"/>
          <w:sz w:val="18"/>
          <w:szCs w:val="18"/>
          <w:color w:val="000000"/>
        </w:rPr>
        <w:t>of ADSs, including issuances resulting from a distribution of</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shares or rights or other property</w:t>
      </w:r>
    </w:p>
    <w:p>
      <w:pPr>
        <w:spacing w:after="0" w:line="40" w:lineRule="exact"/>
        <w:rPr>
          <w:sz w:val="20"/>
          <w:szCs w:val="20"/>
          <w:color w:val="auto"/>
        </w:rPr>
      </w:pPr>
    </w:p>
    <w:p>
      <w:pPr>
        <w:ind w:left="20" w:right="380" w:hanging="6"/>
        <w:spacing w:after="0" w:line="282" w:lineRule="auto"/>
        <w:rPr>
          <w:sz w:val="20"/>
          <w:szCs w:val="20"/>
          <w:color w:val="auto"/>
        </w:rPr>
      </w:pPr>
      <w:r>
        <w:rPr>
          <w:rFonts w:ascii="Times New Roman" w:cs="Times New Roman" w:eastAsia="Times New Roman" w:hAnsi="Times New Roman"/>
          <w:sz w:val="18"/>
          <w:szCs w:val="18"/>
          <w:color w:val="181717"/>
        </w:rPr>
        <w:t xml:space="preserve">Cancellation </w:t>
      </w:r>
      <w:r>
        <w:rPr>
          <w:rFonts w:ascii="Times New Roman" w:cs="Times New Roman" w:eastAsia="Times New Roman" w:hAnsi="Times New Roman"/>
          <w:sz w:val="18"/>
          <w:szCs w:val="18"/>
          <w:color w:val="000000"/>
        </w:rPr>
        <w:t>of ADSs for the purpose of withdrawal, including if the</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deposit agreement terminates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Any cash distribution to ADS holders</w:t>
      </w:r>
    </w:p>
    <w:p>
      <w:pPr>
        <w:spacing w:after="0" w:line="104" w:lineRule="exact"/>
        <w:rPr>
          <w:sz w:val="20"/>
          <w:szCs w:val="20"/>
          <w:color w:val="auto"/>
        </w:rPr>
      </w:pPr>
    </w:p>
    <w:p>
      <w:pPr>
        <w:ind w:left="20" w:right="220" w:hanging="6"/>
        <w:spacing w:after="0" w:line="312" w:lineRule="auto"/>
        <w:rPr>
          <w:sz w:val="20"/>
          <w:szCs w:val="20"/>
          <w:color w:val="auto"/>
        </w:rPr>
      </w:pPr>
      <w:r>
        <w:rPr>
          <w:rFonts w:ascii="Times New Roman" w:cs="Times New Roman" w:eastAsia="Times New Roman" w:hAnsi="Times New Roman"/>
          <w:sz w:val="17"/>
          <w:szCs w:val="17"/>
          <w:color w:val="181717"/>
        </w:rPr>
        <w:t xml:space="preserve">Distribution </w:t>
      </w:r>
      <w:r>
        <w:rPr>
          <w:rFonts w:ascii="Times New Roman" w:cs="Times New Roman" w:eastAsia="Times New Roman" w:hAnsi="Times New Roman"/>
          <w:sz w:val="17"/>
          <w:szCs w:val="17"/>
          <w:color w:val="000000"/>
        </w:rPr>
        <w:t>of securities distributed to holders of deposited securities</w:t>
      </w:r>
      <w:r>
        <w:rPr>
          <w:rFonts w:ascii="Times New Roman" w:cs="Times New Roman" w:eastAsia="Times New Roman" w:hAnsi="Times New Roman"/>
          <w:sz w:val="17"/>
          <w:szCs w:val="17"/>
          <w:color w:val="181717"/>
        </w:rPr>
        <w:t xml:space="preserve"> </w:t>
      </w:r>
      <w:r>
        <w:rPr>
          <w:rFonts w:ascii="Times New Roman" w:cs="Times New Roman" w:eastAsia="Times New Roman" w:hAnsi="Times New Roman"/>
          <w:sz w:val="17"/>
          <w:szCs w:val="17"/>
          <w:color w:val="000000"/>
        </w:rPr>
        <w:t>(including rights) that are distributed by the depositary to ADS holders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Depositary services</w:t>
      </w:r>
    </w:p>
    <w:p>
      <w:pPr>
        <w:spacing w:after="0" w:line="104" w:lineRule="exact"/>
        <w:rPr>
          <w:sz w:val="20"/>
          <w:szCs w:val="20"/>
          <w:color w:val="auto"/>
        </w:rPr>
      </w:pPr>
    </w:p>
    <w:p>
      <w:pPr>
        <w:ind w:left="20" w:right="100" w:hanging="6"/>
        <w:spacing w:after="0" w:line="282" w:lineRule="auto"/>
        <w:rPr>
          <w:sz w:val="20"/>
          <w:szCs w:val="20"/>
          <w:color w:val="auto"/>
        </w:rPr>
      </w:pPr>
      <w:r>
        <w:rPr>
          <w:rFonts w:ascii="Times New Roman" w:cs="Times New Roman" w:eastAsia="Times New Roman" w:hAnsi="Times New Roman"/>
          <w:sz w:val="18"/>
          <w:szCs w:val="18"/>
          <w:color w:val="181717"/>
        </w:rPr>
        <w:t xml:space="preserve">Transfer </w:t>
      </w:r>
      <w:r>
        <w:rPr>
          <w:rFonts w:ascii="Times New Roman" w:cs="Times New Roman" w:eastAsia="Times New Roman" w:hAnsi="Times New Roman"/>
          <w:sz w:val="18"/>
          <w:szCs w:val="18"/>
          <w:color w:val="000000"/>
        </w:rPr>
        <w:t>and registration of shares on our share register to or from the</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name of the depositary or its agent when you deposit or withdraw shares</w:t>
      </w:r>
    </w:p>
    <w:p>
      <w:pPr>
        <w:spacing w:after="0" w:line="40" w:lineRule="exact"/>
        <w:rPr>
          <w:sz w:val="20"/>
          <w:szCs w:val="20"/>
          <w:color w:val="auto"/>
        </w:rPr>
      </w:pPr>
    </w:p>
    <w:p>
      <w:pPr>
        <w:sectPr>
          <w:pgSz w:w="11900" w:h="16838" w:orient="portrait"/>
          <w:cols w:equalWidth="0" w:num="2">
            <w:col w:w="5740" w:space="160"/>
            <w:col w:w="5340"/>
          </w:cols>
          <w:pgMar w:left="320" w:top="1413" w:right="339" w:bottom="1440" w:gutter="0" w:footer="0" w:header="0"/>
          <w:type w:val="continuous"/>
        </w:sect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Expenses of the depositary</w:t>
      </w:r>
      <w:r>
        <w:rPr>
          <w:sz w:val="20"/>
          <w:szCs w:val="20"/>
          <w:color w:val="auto"/>
        </w:rPr>
        <w:tab/>
      </w:r>
      <w:r>
        <w:rPr>
          <w:rFonts w:ascii="Times New Roman" w:cs="Times New Roman" w:eastAsia="Times New Roman" w:hAnsi="Times New Roman"/>
          <w:sz w:val="18"/>
          <w:szCs w:val="18"/>
          <w:color w:val="181717"/>
        </w:rPr>
        <w:t xml:space="preserve">Cable </w:t>
      </w:r>
      <w:r>
        <w:rPr>
          <w:rFonts w:ascii="Times New Roman" w:cs="Times New Roman" w:eastAsia="Times New Roman" w:hAnsi="Times New Roman"/>
          <w:sz w:val="18"/>
          <w:szCs w:val="18"/>
          <w:color w:val="000000"/>
        </w:rPr>
        <w:t>and facsimile transmissions (when expressly provided in the</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8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181717"/>
        </w:rPr>
        <w:t>Converting foreign currency to U.S. dollars</w:t>
      </w:r>
    </w:p>
    <w:p>
      <w:pPr>
        <w:spacing w:after="0" w:line="104" w:lineRule="exact"/>
        <w:rPr>
          <w:sz w:val="20"/>
          <w:szCs w:val="20"/>
          <w:color w:val="auto"/>
        </w:rPr>
      </w:pPr>
    </w:p>
    <w:p>
      <w:pPr>
        <w:ind w:right="4380"/>
        <w:spacing w:after="0" w:line="257" w:lineRule="auto"/>
        <w:rPr>
          <w:sz w:val="20"/>
          <w:szCs w:val="20"/>
          <w:color w:val="auto"/>
        </w:rPr>
      </w:pPr>
      <w:r>
        <w:rPr>
          <w:rFonts w:ascii="Times New Roman" w:cs="Times New Roman" w:eastAsia="Times New Roman" w:hAnsi="Times New Roman"/>
          <w:sz w:val="18"/>
          <w:szCs w:val="18"/>
          <w:color w:val="auto"/>
        </w:rPr>
        <w:t xml:space="preserve">Taxes and other governmental charges the depositary or the custodian has to pay </w:t>
      </w:r>
      <w:r>
        <w:rPr>
          <w:rFonts w:ascii="Times New Roman" w:cs="Times New Roman" w:eastAsia="Times New Roman" w:hAnsi="Times New Roman"/>
          <w:sz w:val="18"/>
          <w:szCs w:val="18"/>
          <w:color w:val="181717"/>
        </w:rPr>
        <w:t>As necessary</w:t>
      </w:r>
      <w:r>
        <w:rPr>
          <w:rFonts w:ascii="Times New Roman" w:cs="Times New Roman" w:eastAsia="Times New Roman" w:hAnsi="Times New Roman"/>
          <w:sz w:val="18"/>
          <w:szCs w:val="18"/>
          <w:color w:val="auto"/>
        </w:rPr>
        <w:t xml:space="preserve"> on any ADSs or shares underlying ADSs, such as stock transfer taxes, stamp duty or withholding taxes</w:t>
      </w:r>
    </w:p>
    <w:p>
      <w:pPr>
        <w:spacing w:after="0" w:line="1" w:lineRule="exact"/>
        <w:rPr>
          <w:sz w:val="20"/>
          <w:szCs w:val="20"/>
          <w:color w:val="auto"/>
        </w:rPr>
      </w:pPr>
    </w:p>
    <w:p>
      <w:pPr>
        <w:ind w:right="4380"/>
        <w:spacing w:after="0" w:line="260" w:lineRule="auto"/>
        <w:rPr>
          <w:sz w:val="20"/>
          <w:szCs w:val="20"/>
          <w:color w:val="auto"/>
        </w:rPr>
      </w:pPr>
      <w:r>
        <w:rPr>
          <w:rFonts w:ascii="Times New Roman" w:cs="Times New Roman" w:eastAsia="Times New Roman" w:hAnsi="Times New Roman"/>
          <w:sz w:val="18"/>
          <w:szCs w:val="18"/>
          <w:color w:val="auto"/>
        </w:rPr>
        <w:t xml:space="preserve">Any charges incurred by the depositary or its agents for servicing the deposited </w:t>
      </w:r>
      <w:r>
        <w:rPr>
          <w:rFonts w:ascii="Times New Roman" w:cs="Times New Roman" w:eastAsia="Times New Roman" w:hAnsi="Times New Roman"/>
          <w:sz w:val="18"/>
          <w:szCs w:val="18"/>
          <w:color w:val="181717"/>
        </w:rPr>
        <w:t>As necessary</w:t>
      </w:r>
      <w:r>
        <w:rPr>
          <w:rFonts w:ascii="Times New Roman" w:cs="Times New Roman" w:eastAsia="Times New Roman" w:hAnsi="Times New Roman"/>
          <w:sz w:val="18"/>
          <w:szCs w:val="18"/>
          <w:color w:val="auto"/>
        </w:rPr>
        <w:t xml:space="preserve"> securities</w:t>
      </w:r>
    </w:p>
    <w:p>
      <w:pPr>
        <w:spacing w:after="0" w:line="39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8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 In 2025, we did not receive any net reimbursement from the Bank of New York Mellon for the expenses incurred in connection with our ADS program.</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17" w:name="page118"/>
    <w:bookmarkEnd w:id="117"/>
    <w:p>
      <w:pPr>
        <w:jc w:val="both"/>
        <w:spacing w:after="0" w:line="261" w:lineRule="auto"/>
        <w:rPr>
          <w:sz w:val="20"/>
          <w:szCs w:val="20"/>
          <w:color w:val="auto"/>
        </w:rPr>
      </w:pPr>
      <w:r>
        <w:rPr>
          <w:rFonts w:ascii="Times New Roman" w:cs="Times New Roman" w:eastAsia="Times New Roman" w:hAnsi="Times New Roman"/>
          <w:sz w:val="18"/>
          <w:szCs w:val="18"/>
          <w:color w:val="auto"/>
        </w:rPr>
        <w:t>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8" w:name="page119"/>
    <w:bookmarkEnd w:id="118"/>
    <w:p>
      <w:pPr>
        <w:ind w:left="52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DEFAULTS, DIVIDEND ARREARAGES AND DELINQUENCIES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3"/>
          <w:szCs w:val="13"/>
          <w:color w:val="181717"/>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469900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089" w:right="1440" w:bottom="1440" w:gutter="0" w:footer="0" w:header="0"/>
        </w:sectPr>
      </w:pPr>
    </w:p>
    <w:bookmarkStart w:id="119" w:name="page120"/>
    <w:bookmarkEnd w:id="1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14.A. – 14.D. Material Modifications to the Rights of Security Holders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14.E.</w:t>
      </w:r>
      <w:r>
        <w:rPr>
          <w:sz w:val="20"/>
          <w:szCs w:val="20"/>
          <w:color w:val="auto"/>
        </w:rPr>
        <w:tab/>
      </w: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as amended (File No. 333-223190) (the “F-1 Registration Statement”) in relation to our initial public offering of 13,000,000 ADSs representing 520,000 Class A ordinary shares, at an initial offering price of US$11.50 per ADS. Our initial public offering closed in March 2018. Goldman Sachs (Asia) L.L.C., J.P. Morgan Securities LLC and Credit Suisse Securities (USA) LLC were the representatives of the underwriters.</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F-1 Registration Statement was declared effective by the SEC on March 22, 2018. The total expenses incurred for our company’s account in connection with our initial public offering was approximately US$12.8 million, which included US$10.5 million in underwriting discounts and commissions for the initial public offering and approximately US$2.3 million in other costs and expenses for our initial public offering. We received net proceeds of approximately US$176.8 million from our initial public offering and the concurrent private placements in connection with the initial public offering to DIAMOND TOWER INVESTMENTS LIMITED and ELITE CONCEPT HOLDINGS LIMITED. None of the transaction expenses included payments to directors or officers of our company or their associates, persons owning more than 10% or more of our equity securities or our affiliates. None of the net proceeds we received from the initial public offering were paid, directly or indirectly, to any of our directors or officers or their associates, persons owning 10% or more of our equity securities or our affiliates.</w:t>
      </w:r>
    </w:p>
    <w:p>
      <w:pPr>
        <w:spacing w:after="0" w:line="8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2025, we had used a portion of the net proceeds received from our initial public offering and the concurrent private placement, which consisted of US$18.1 million for repurchase program, US$200.2 million for capital injection to our wholly-owned subsidiaries in China, and US$9.5 million for special cash dividend.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Financial Controller, has performed an evaluation of the effectiveness of the Group’s disclosure controls and procedures (as defined in Rule 13a-15(e) under the Exchange Act) as of the end of the period covered by this report, as required by Rule 13a-15(b) under the Exchange Act.</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2025, the Group’s disclosure controls and procedures were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Financial Controller, to allow timely decisions regarding required disclosure.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As required by Rule 13a-15(c) of the Exchange Act, our management conducted an evaluation of the Group’s internal control over financial reporting as of December 31, 2025 based on the framework in Internal Control—Integrated Framework (2013) issued by the Committee of Sponsoring Organizations of the Treadway Commission. Based on this evaluation, our management concluded that the Group’s internal control over financial reporting was effective as of December 31, 2025.</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of the Group’s internal control over financial reporting to future periods are subject to the risks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Because we are a non-accelerated filer, this annual report on Form 20-F does not include an attestation report of our registered public accounting firm regarding internal control over financial reporting.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were no changes in the Group’s internal control over financial reporting (as defined in Rules 13a-15(f) and 15d-15(f) under the Exchange Act) during the period covered by this annual report on Form 20-F that have materially affected, or that are reasonably likely to materially affect, the Group’s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Mr. Zheng Zhao, an independent director and the chairperson of our audit committee, qualifies as an “audit committee financial expert” within the meaning of the SEC rules and possesses financial sophistication within the meaning of Listing Rules of the New York Stock Exchange. Mr. Zheng Zhao satisfies the “independence” requirements of Rule 10A-3 under the Securities Exchange Act of 1934, as amended, and Section 303A of the Corporate Governance Rules of the NYSE.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directors, officers, employees, including certain provisions that specifically apply to our principal executive officer, principal financial officer, principal accounting officer or controller and any other persons who perform similar functions for us. We have filed our code of business conduct and ethics as Exhibit 99.1 of our registration statement on Form F-1 (file No. 333-223190) initially filed with the SEC on February 23, 2018 and posted a copy of our code of business conduct and ethics on our website at http://www.sunlands.com/investorroom. We hereby undertake to provide to any person without charge, a copy of our code of business conduct and ethics within ten working days after we receive such person’s written request.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Fees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Deloitte Touche Tohmatsu Certified Public Accountants LLP, our independent registered public accounting firm,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20" w:type="dxa"/>
            <w:vAlign w:val="bottom"/>
            <w:vMerge w:val="restart"/>
          </w:tcPr>
          <w:p>
            <w:pPr>
              <w:spacing w:after="0"/>
              <w:rPr>
                <w:sz w:val="18"/>
                <w:szCs w:val="18"/>
                <w:color w:val="auto"/>
              </w:rPr>
            </w:pPr>
          </w:p>
        </w:tc>
        <w:tc>
          <w:tcPr>
            <w:tcW w:w="11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(in</w:t>
            </w: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520" w:type="dxa"/>
            <w:vAlign w:val="bottom"/>
            <w:tcBorders>
              <w:left w:val="single" w:sz="8" w:color="CFF0FC"/>
            </w:tcBorders>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8,429</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7,846</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8"/>
                <w:szCs w:val="18"/>
                <w:color w:val="auto"/>
              </w:rPr>
            </w:pPr>
          </w:p>
        </w:tc>
        <w:tc>
          <w:tcPr>
            <w:tcW w:w="1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8,310</w:t>
            </w:r>
          </w:p>
        </w:tc>
        <w:tc>
          <w:tcPr>
            <w:tcW w:w="240" w:type="dxa"/>
            <w:vAlign w:val="bottom"/>
            <w:tcBorders>
              <w:left w:val="single" w:sz="8" w:color="CFF0FC"/>
            </w:tcBorders>
            <w:shd w:val="clear" w:color="auto" w:fill="CFF0FC"/>
          </w:tcPr>
          <w:p>
            <w:pPr>
              <w:spacing w:after="0"/>
              <w:rPr>
                <w:sz w:val="18"/>
                <w:szCs w:val="18"/>
                <w:color w:val="auto"/>
              </w:rPr>
            </w:pPr>
          </w:p>
        </w:tc>
        <w:tc>
          <w:tcPr>
            <w:tcW w:w="12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8,631</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7,937</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1,105</w:t>
            </w:r>
          </w:p>
        </w:tc>
        <w:tc>
          <w:tcPr>
            <w:tcW w:w="0" w:type="dxa"/>
            <w:vAlign w:val="bottom"/>
          </w:tcPr>
          <w:p>
            <w:pPr>
              <w:spacing w:after="0"/>
              <w:rPr>
                <w:sz w:val="1"/>
                <w:szCs w:val="1"/>
                <w:color w:val="auto"/>
              </w:rPr>
            </w:pPr>
          </w:p>
        </w:tc>
      </w:tr>
      <w:tr>
        <w:trPr>
          <w:trHeight w:val="20"/>
        </w:trPr>
        <w:tc>
          <w:tcPr>
            <w:tcW w:w="60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-8255</wp:posOffset>
            </wp:positionV>
            <wp:extent cx="774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7" w:lineRule="exact"/>
        <w:rPr>
          <w:sz w:val="20"/>
          <w:szCs w:val="20"/>
          <w:color w:val="auto"/>
        </w:rPr>
      </w:pPr>
    </w:p>
    <w:p>
      <w:pPr>
        <w:ind w:left="380" w:hanging="372"/>
        <w:spacing w:after="0" w:line="251" w:lineRule="auto"/>
        <w:tabs>
          <w:tab w:leader="none" w:pos="294"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Audit Fees</w:t>
      </w:r>
      <w:r>
        <w:rPr>
          <w:rFonts w:ascii="Times New Roman" w:cs="Times New Roman" w:eastAsia="Times New Roman" w:hAnsi="Times New Roman"/>
          <w:sz w:val="14"/>
          <w:szCs w:val="14"/>
          <w:color w:val="auto"/>
        </w:rPr>
        <w:t>. Audit fees mean the aggregate fees billed in each of the fiscal periods listed for professional services rendered by our principal auditors for the audit of our annual consolidated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statements and assistance with the review of documents filed with the SEC.</w:t>
      </w:r>
    </w:p>
    <w:p>
      <w:pPr>
        <w:ind w:left="380" w:right="20" w:hanging="372"/>
        <w:spacing w:after="0" w:line="263" w:lineRule="auto"/>
        <w:tabs>
          <w:tab w:leader="none" w:pos="294"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Tax Fees</w:t>
      </w:r>
      <w:r>
        <w:rPr>
          <w:rFonts w:ascii="Times New Roman" w:cs="Times New Roman" w:eastAsia="Times New Roman" w:hAnsi="Times New Roman"/>
          <w:sz w:val="14"/>
          <w:szCs w:val="14"/>
          <w:color w:val="auto"/>
        </w:rPr>
        <w:t>. Tax fees represent the aggregate fees for professional services rendered by our independent registered public accounting firm for tax planning, which was pre-approved by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audit committee.</w:t>
      </w:r>
    </w:p>
    <w:p>
      <w:pPr>
        <w:spacing w:after="0" w:line="1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Deloitte Touche Tohmatsu Certified Public Accountants LLP, our independent registered public accounting firm, including audit services and tax services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December 6, 2021, our board of directors authorized a share repurchase program, under which we may repurchase up to US$15.0 million of Class A ordinary shares in the form of ADSs over the next 24 months until December 2023. On December 1, 2023, we extended such share repurchase program for another 24 months until December 2025. As of December 31, 2025, we had repurchased an aggregate of 815,399 ADSs for approximately US$4.8 million under this share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1" w:name="page122"/>
    <w:bookmarkEnd w:id="121"/>
    <w:p>
      <w:pPr>
        <w:jc w:val="both"/>
        <w:spacing w:after="0" w:line="266" w:lineRule="auto"/>
        <w:rPr>
          <w:sz w:val="20"/>
          <w:szCs w:val="20"/>
          <w:color w:val="auto"/>
        </w:rPr>
      </w:pPr>
      <w:r>
        <w:rPr>
          <w:rFonts w:ascii="Times New Roman" w:cs="Times New Roman" w:eastAsia="Times New Roman" w:hAnsi="Times New Roman"/>
          <w:sz w:val="18"/>
          <w:szCs w:val="18"/>
          <w:color w:val="auto"/>
        </w:rPr>
        <w:t>repurchase program. This share repurchase program was ceased by December 31, 2025. The following table sets forth information about our purchases of outstanding ADSs from April 1, 2025 to December 31, 2025. All shares were repurchased in the open market pursuant to the share repurchase program announced on December 6, 2021.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Dollar</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ADSs</w:t>
            </w:r>
          </w:p>
        </w:tc>
        <w:tc>
          <w:tcPr>
            <w:tcW w:w="2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Value of ADSs</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2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that May</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2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Yet Be</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2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196"/>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Total Number</w:t>
            </w:r>
          </w:p>
        </w:tc>
        <w:tc>
          <w:tcPr>
            <w:tcW w:w="240" w:type="dxa"/>
            <w:vAlign w:val="bottom"/>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220" w:type="dxa"/>
            <w:vAlign w:val="bottom"/>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220" w:type="dxa"/>
            <w:vAlign w:val="bottom"/>
          </w:tcPr>
          <w:p>
            <w:pPr>
              <w:spacing w:after="0"/>
              <w:rPr>
                <w:sz w:val="17"/>
                <w:szCs w:val="17"/>
                <w:color w:val="auto"/>
              </w:rPr>
            </w:pPr>
          </w:p>
        </w:tc>
        <w:tc>
          <w:tcPr>
            <w:tcW w:w="17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ADSs</w:t>
            </w:r>
          </w:p>
        </w:tc>
        <w:tc>
          <w:tcPr>
            <w:tcW w:w="2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220" w:type="dxa"/>
            <w:vAlign w:val="bottom"/>
          </w:tcPr>
          <w:p>
            <w:pPr>
              <w:spacing w:after="0"/>
              <w:rPr>
                <w:sz w:val="18"/>
                <w:szCs w:val="18"/>
                <w:color w:val="auto"/>
              </w:rPr>
            </w:pPr>
          </w:p>
        </w:tc>
        <w:tc>
          <w:tcPr>
            <w:tcW w:w="172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18"/>
                <w:szCs w:val="18"/>
                <w:b w:val="1"/>
                <w:bCs w:val="1"/>
                <w:color w:val="auto"/>
                <w:w w:val="95"/>
              </w:rPr>
              <w:t>Program</w:t>
            </w:r>
            <w:r>
              <w:rPr>
                <w:rFonts w:ascii="Times New Roman" w:cs="Times New Roman" w:eastAsia="Times New Roman" w:hAnsi="Times New Roman"/>
                <w:sz w:val="24"/>
                <w:szCs w:val="24"/>
                <w:b w:val="1"/>
                <w:bCs w:val="1"/>
                <w:color w:val="auto"/>
                <w:w w:val="95"/>
                <w:vertAlign w:val="superscript"/>
              </w:rPr>
              <w:t>(2)</w:t>
            </w:r>
          </w:p>
        </w:tc>
      </w:tr>
      <w:tr>
        <w:trPr>
          <w:trHeight w:val="258"/>
        </w:trPr>
        <w:tc>
          <w:tcPr>
            <w:tcW w:w="38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2"/>
                <w:szCs w:val="22"/>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40" w:type="dxa"/>
            <w:vAlign w:val="bottom"/>
          </w:tcPr>
          <w:p>
            <w:pPr>
              <w:spacing w:after="0"/>
              <w:rPr>
                <w:sz w:val="22"/>
                <w:szCs w:val="22"/>
                <w:color w:val="auto"/>
              </w:rPr>
            </w:pPr>
          </w:p>
        </w:tc>
        <w:tc>
          <w:tcPr>
            <w:tcW w:w="162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3"/>
              </w:rPr>
              <w:t>ADS</w:t>
            </w:r>
            <w:r>
              <w:rPr>
                <w:rFonts w:ascii="Times New Roman" w:cs="Times New Roman" w:eastAsia="Times New Roman" w:hAnsi="Times New Roman"/>
                <w:sz w:val="24"/>
                <w:szCs w:val="24"/>
                <w:b w:val="1"/>
                <w:bCs w:val="1"/>
                <w:color w:val="auto"/>
                <w:w w:val="93"/>
                <w:vertAlign w:val="superscript"/>
              </w:rPr>
              <w:t>(1)</w:t>
            </w:r>
            <w:r>
              <w:rPr>
                <w:rFonts w:ascii="Times New Roman" w:cs="Times New Roman" w:eastAsia="Times New Roman" w:hAnsi="Times New Roman"/>
                <w:sz w:val="18"/>
                <w:szCs w:val="18"/>
                <w:b w:val="1"/>
                <w:bCs w:val="1"/>
                <w:color w:val="auto"/>
                <w:w w:val="93"/>
              </w:rPr>
              <w:t xml:space="preserve"> (US$)</w:t>
            </w:r>
          </w:p>
        </w:tc>
        <w:tc>
          <w:tcPr>
            <w:tcW w:w="22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2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2"/>
                <w:szCs w:val="22"/>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2025 to April 30, 2025</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5.1604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696,394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11,081,445</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May 1, 2025 to May 31, 2025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5.3715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703,745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11,041,959</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1,2025 to June 30,2025</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5.9168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711,841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10,994,056</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July 1,2025 to July 31,2025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22,526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9.0850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734,367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10,789,406</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1,2025 to August 31,2025</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32,889</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8.8618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767,256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10,497,951</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September 1,2025 to September 30,2025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15,544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8.2528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782,800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10,369,669</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1,2025 to October 31,2025</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7.5353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796,235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10,268,433</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November 1,2025 to November 30,2025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5.8544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802,532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10,231,568</w:t>
            </w:r>
          </w:p>
        </w:tc>
        <w:tc>
          <w:tcPr>
            <w:tcW w:w="100" w:type="dxa"/>
            <w:vAlign w:val="bottom"/>
          </w:tcPr>
          <w:p>
            <w:pPr>
              <w:spacing w:after="0"/>
              <w:rPr>
                <w:sz w:val="18"/>
                <w:szCs w:val="18"/>
                <w:color w:val="auto"/>
              </w:rPr>
            </w:pPr>
          </w:p>
        </w:tc>
      </w:tr>
      <w:tr>
        <w:trPr>
          <w:trHeight w:val="216"/>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1,2025 to December 31, 2025</w:t>
            </w:r>
          </w:p>
        </w:tc>
        <w:tc>
          <w:tcPr>
            <w:tcW w:w="12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6.0511</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815,399</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10,153,709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123,251</w:t>
            </w:r>
          </w:p>
        </w:tc>
        <w:tc>
          <w:tcPr>
            <w:tcW w:w="24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7.7050</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815,399</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10,153,709</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-153670</wp:posOffset>
            </wp:positionV>
            <wp:extent cx="768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-153670</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7" w:lineRule="exact"/>
        <w:rPr>
          <w:sz w:val="20"/>
          <w:szCs w:val="20"/>
          <w:color w:val="auto"/>
        </w:rPr>
      </w:pPr>
    </w:p>
    <w:p>
      <w:pPr>
        <w:ind w:left="300" w:hanging="292"/>
        <w:spacing w:after="0"/>
        <w:tabs>
          <w:tab w:leader="none" w:pos="3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two ADSs represent one Class A ordinary share. The average price per ADS is calculated using the execution price for each repurchase excluding commissions paid to brokers.</w:t>
      </w:r>
    </w:p>
    <w:p>
      <w:pPr>
        <w:spacing w:after="0" w:line="55" w:lineRule="exact"/>
        <w:rPr>
          <w:rFonts w:ascii="Times New Roman" w:cs="Times New Roman" w:eastAsia="Times New Roman" w:hAnsi="Times New Roman"/>
          <w:sz w:val="14"/>
          <w:szCs w:val="14"/>
          <w:color w:val="auto"/>
        </w:rPr>
      </w:pPr>
    </w:p>
    <w:p>
      <w:pPr>
        <w:jc w:val="both"/>
        <w:ind w:left="380" w:hanging="372"/>
        <w:spacing w:after="0" w:line="241" w:lineRule="auto"/>
        <w:tabs>
          <w:tab w:leader="none" w:pos="365"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announced a share repurchase program approved by our board of directors in December 2021, under which we may repurchase up to US$15.0 million worth of Class A ordinary shares in the form of ADSs over the next 24 months until December 2023. In December 2023, we extended such share repurchase program for another 24 months until December 2025. The repurchases have been, and will be, through various means, including open market transactions, privately negotiated transactions, tender offers or any combination thereof. The repurchases have been, and will be, effected in compliance with Rule 10b5-1 under the Securities Exchange Act of 1934, as amended, and our insider trading policy. The number of ADSs repurchased and the timing of repurchases will depend on a number of factors, including, but not limited to, price, trading volume and general market conditions.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a Cayman Islands exempted company listed on the New York Stock Exchange, we are subject to New York Stock Exchange corporate governance listing standards. However, New York Stock Exchange rules permit a foreign private issuer like us to follow the corporate governance practices of its home country. Certain corporate governance practices in the Cayman Islands, which is our home country, may differ significantly from the New York Stock Exchange corporate governance listing standards. We currently follow Cayman Islands corporate governance practices in lieu of the corporate governance requirements of the New York Stock Exchange that listed companies must have: (i) a majority of independent directors; (ii) a nominating/corporate governance committee composed entirely of independent directors; and (iii) a compensation committee composed entirely of independent directors. To the extent we choose to continue to follow home country practice in the future, our shareholders may be afforded less protection than they otherwise would enjoy under New York Stock Exchange corporate governance listing standards applicable to U.S. domestic issuers. See “Item 3. Key Information—3.D. Risk Factors—Risks Relating to the ADSs—As an exempted company incorporated in the Cayman Islands, we are permitted to adopt certain home country practices in relation to corporate governance matters that differ significantly from the New York Stock Exchange corporate governance listing standards. These practices may afford less protection to shareholders than they would enjoy if we complied fully with the New York Stock Exchange corporate governance listing standards. These practices may afford less protection to shareholders than they wouldenjoy if we complied fully with the New York Stock Exchange corporate governance listing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senior management and employees, which policies and procedures are reasonably designed to promote compliance with applicable insider trading laws, rules and regulations, and any listing standards applicable to us. We have filed our insider trading policies, as amended, as Exhibit 11.2 to our annual report for the fiscal year ended December 31, 2024 on Form 20-F filed with the Securities and Exchange Commission on April 25, 2025 and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At Sunlands, cybersecurity risk management is an integral part of our overall risk management program. Our cybersecurity risk management program is designed to align with industry best practices and provide a framework for handling cybersecurity threats and incidents, including threats and incidents associated with the use of services provided by third-party service providers, and facilitate coordination across different departments of our company. This framework includes steps for assessing the severity of a cybersecurity threat, identifying the source of a cybersecurity threat including whether the cybersecurity threat is associated with a third-party service provider, implementing cybersecurity countermeasures and mitigation strategies and informing management and our board of directors of material cybersecurity threats and incidents. Our cybersecurity team is responsible for assessing our cybersecurity risk management program and we currently do not engage third parties for such assessment. In addition, our cybersecurity team provides training to all key employees for product development regularly.</w:t>
      </w:r>
    </w:p>
    <w:p>
      <w:pPr>
        <w:spacing w:after="0" w:line="8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board of directors has overall oversight responsibility for our risk management, and delegates cybersecurity risk management oversight to the audit committee of the board of directors. The audit committee is responsible for ensuring that management has processes in place designed to identify and evaluate cybersecurity risks to which the company is exposed and implement processes and programs to manage cybersecurity risks and mitigate cybersecurity incidents. The audit committee also reports material cybersecurity risks to our full board of directors. 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Our cybersecurity programs are under the direction of our chief executive officer who receives reports from our cybersecurity team and monitors the prevention, detection, mitigation, and remediation of cybersecurity incidents. Our chief executive officer has rich management experience, including cybersecurity management. Our vice president of product development, the leader of our cybersecurity team, as well as dedicated personnel, are experienced information system security professionals and information security managers with years of experience. Management, including the chief executive officer and our cybersecurity team, regularly update the audit committee on the company’s cybersecurity programs, material cybersecurity risks and mitigation strategies and provide cybersecurity reports annually that cover, among other topics, developments in cybersecurity and updates to the company’s cybersecurity programs and mitigation strategies.</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2025, we did not identify any cybersecurity threats that have materially affected or are reasonably likely to materially affect the Group’s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“Item 3. Key Information —3.D. Risk Factors—Risks Related to the Group’s Business—Privacy concerns could limit the Group’s ability to collect and leverage the Group’s user data and disclosure of user data could adversely impact the Group’s business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of Sunlands Technology Group are included at the end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181717"/>
              </w:rPr>
              <w:t>Exhibit</w:t>
            </w:r>
          </w:p>
        </w:tc>
        <w:tc>
          <w:tcPr>
            <w:tcW w:w="1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181717"/>
              </w:rPr>
              <w:t>Number</w:t>
            </w:r>
          </w:p>
        </w:tc>
        <w:tc>
          <w:tcPr>
            <w:tcW w:w="120" w:type="dxa"/>
            <w:vAlign w:val="bottom"/>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120" w:type="dxa"/>
            <w:vAlign w:val="bottom"/>
            <w:tcBorders>
              <w:bottom w:val="single" w:sz="8" w:color="auto"/>
            </w:tcBorders>
            <w:gridSpan w:val="12"/>
          </w:tcPr>
          <w:p>
            <w:pPr>
              <w:ind w:left="300"/>
              <w:spacing w:after="0"/>
              <w:rPr>
                <w:sz w:val="20"/>
                <w:szCs w:val="20"/>
                <w:color w:val="auto"/>
              </w:rPr>
            </w:pPr>
            <w:r>
              <w:rPr>
                <w:rFonts w:ascii="Times New Roman" w:cs="Times New Roman" w:eastAsia="Times New Roman" w:hAnsi="Times New Roman"/>
                <w:sz w:val="14"/>
                <w:szCs w:val="14"/>
                <w:b w:val="1"/>
                <w:bCs w:val="1"/>
                <w:color w:val="181717"/>
              </w:rPr>
              <w:t>Description of Document</w:t>
            </w:r>
          </w:p>
        </w:tc>
        <w:tc>
          <w:tcPr>
            <w:tcW w:w="0" w:type="dxa"/>
            <w:vAlign w:val="bottom"/>
          </w:tcPr>
          <w:p>
            <w:pPr>
              <w:spacing w:after="0"/>
              <w:rPr>
                <w:sz w:val="1"/>
                <w:szCs w:val="1"/>
                <w:color w:val="auto"/>
              </w:rPr>
            </w:pPr>
          </w:p>
        </w:tc>
      </w:tr>
      <w:tr>
        <w:trPr>
          <w:trHeight w:val="291"/>
        </w:trPr>
        <w:tc>
          <w:tcPr>
            <w:tcW w:w="1020" w:type="dxa"/>
            <w:vAlign w:val="bottom"/>
          </w:tcPr>
          <w:p>
            <w:pPr>
              <w:spacing w:after="0" w:line="290" w:lineRule="exact"/>
              <w:rPr>
                <w:sz w:val="20"/>
                <w:szCs w:val="20"/>
                <w:color w:val="auto"/>
              </w:rPr>
            </w:pPr>
            <w:r>
              <w:rPr>
                <w:rFonts w:ascii="Times New Roman" w:cs="Times New Roman" w:eastAsia="Times New Roman" w:hAnsi="Times New Roman"/>
                <w:sz w:val="33"/>
                <w:szCs w:val="33"/>
                <w:color w:val="181717"/>
                <w:vertAlign w:val="subscript"/>
              </w:rPr>
              <w:t>1.1</w:t>
            </w:r>
            <w:r>
              <w:rPr>
                <w:rFonts w:ascii="Times New Roman" w:cs="Times New Roman" w:eastAsia="Times New Roman" w:hAnsi="Times New Roman"/>
                <w:sz w:val="12"/>
                <w:szCs w:val="12"/>
                <w:color w:val="181717"/>
              </w:rPr>
              <w:t>(3)</w:t>
            </w:r>
          </w:p>
        </w:tc>
        <w:tc>
          <w:tcPr>
            <w:tcW w:w="120" w:type="dxa"/>
            <w:vAlign w:val="bottom"/>
          </w:tcPr>
          <w:p>
            <w:pPr>
              <w:spacing w:after="0"/>
              <w:rPr>
                <w:sz w:val="24"/>
                <w:szCs w:val="24"/>
                <w:color w:val="auto"/>
              </w:rPr>
            </w:pPr>
          </w:p>
        </w:tc>
        <w:tc>
          <w:tcPr>
            <w:tcW w:w="10100" w:type="dxa"/>
            <w:vAlign w:val="bottom"/>
            <w:gridSpan w:val="20"/>
          </w:tcPr>
          <w:p>
            <w:pPr>
              <w:spacing w:after="0"/>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The Fourth Amended and Restated Memorandum and Articles of Association, as currently in effect</w:t>
              </w:r>
            </w:hyperlink>
          </w:p>
        </w:tc>
        <w:tc>
          <w:tcPr>
            <w:tcW w:w="0" w:type="dxa"/>
            <w:vAlign w:val="bottom"/>
          </w:tcPr>
          <w:p>
            <w:pPr>
              <w:spacing w:after="0"/>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181717"/>
              </w:rPr>
              <w:t>2.1</w:t>
            </w:r>
            <w:r>
              <w:rPr>
                <w:rFonts w:ascii="Times New Roman" w:cs="Times New Roman" w:eastAsia="Times New Roman" w:hAnsi="Times New Roman"/>
                <w:sz w:val="24"/>
                <w:szCs w:val="24"/>
                <w:color w:val="181717"/>
                <w:vertAlign w:val="superscript"/>
              </w:rPr>
              <w:t>(1)</w:t>
            </w:r>
          </w:p>
        </w:tc>
        <w:tc>
          <w:tcPr>
            <w:tcW w:w="120" w:type="dxa"/>
            <w:vAlign w:val="bottom"/>
          </w:tcPr>
          <w:p>
            <w:pPr>
              <w:spacing w:after="0"/>
              <w:rPr>
                <w:sz w:val="24"/>
                <w:szCs w:val="24"/>
                <w:color w:val="auto"/>
              </w:rPr>
            </w:pPr>
          </w:p>
        </w:tc>
        <w:tc>
          <w:tcPr>
            <w:tcW w:w="444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8"/>
                <w:szCs w:val="18"/>
                <w:color w:val="0000FF"/>
                <w:w w:val="99"/>
              </w:rPr>
            </w:pPr>
            <w:hyperlink r:id="rId431">
              <w:r>
                <w:rPr>
                  <w:rFonts w:ascii="Times New Roman" w:cs="Times New Roman" w:eastAsia="Times New Roman" w:hAnsi="Times New Roman"/>
                  <w:sz w:val="18"/>
                  <w:szCs w:val="18"/>
                  <w:color w:val="0000FF"/>
                  <w:w w:val="99"/>
                </w:rPr>
                <w:t>Form of Registrant’s Specimen American Depositary Receipt</w:t>
              </w:r>
            </w:hyperlink>
          </w:p>
        </w:tc>
        <w:tc>
          <w:tcPr>
            <w:tcW w:w="20" w:type="dxa"/>
            <w:vAlign w:val="bottom"/>
            <w:tcBorders>
              <w:top w:val="single" w:sz="8" w:color="0000FF"/>
              <w:bottom w:val="single" w:sz="8" w:color="0000EE"/>
            </w:tcBorders>
          </w:tcPr>
          <w:p>
            <w:pPr>
              <w:spacing w:after="0"/>
              <w:rPr>
                <w:sz w:val="24"/>
                <w:szCs w:val="24"/>
                <w:color w:val="auto"/>
              </w:rPr>
            </w:pPr>
          </w:p>
        </w:tc>
        <w:tc>
          <w:tcPr>
            <w:tcW w:w="2700" w:type="dxa"/>
            <w:vAlign w:val="bottom"/>
            <w:tcBorders>
              <w:top w:val="single" w:sz="8" w:color="0000FF"/>
            </w:tcBorders>
            <w:gridSpan w:val="4"/>
          </w:tcPr>
          <w:p>
            <w:pPr>
              <w:spacing w:after="0"/>
              <w:rPr>
                <w:sz w:val="24"/>
                <w:szCs w:val="24"/>
                <w:color w:val="auto"/>
              </w:rPr>
            </w:pPr>
          </w:p>
        </w:tc>
        <w:tc>
          <w:tcPr>
            <w:tcW w:w="29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181717"/>
              </w:rPr>
              <w:t>2.2</w:t>
            </w:r>
            <w:r>
              <w:rPr>
                <w:rFonts w:ascii="Times New Roman" w:cs="Times New Roman" w:eastAsia="Times New Roman" w:hAnsi="Times New Roman"/>
                <w:sz w:val="24"/>
                <w:szCs w:val="24"/>
                <w:color w:val="181717"/>
                <w:vertAlign w:val="superscript"/>
              </w:rPr>
              <w:t>(1)</w:t>
            </w:r>
          </w:p>
        </w:tc>
        <w:tc>
          <w:tcPr>
            <w:tcW w:w="120" w:type="dxa"/>
            <w:vAlign w:val="bottom"/>
          </w:tcPr>
          <w:p>
            <w:pPr>
              <w:spacing w:after="0"/>
              <w:rPr>
                <w:sz w:val="24"/>
                <w:szCs w:val="24"/>
                <w:color w:val="auto"/>
              </w:rPr>
            </w:pPr>
          </w:p>
        </w:tc>
        <w:tc>
          <w:tcPr>
            <w:tcW w:w="10100" w:type="dxa"/>
            <w:vAlign w:val="bottom"/>
            <w:gridSpan w:val="20"/>
          </w:tcPr>
          <w:p>
            <w:pPr>
              <w:spacing w:after="0"/>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Form of Registrant’s Specimen Certificate for Class A Ordinary Shares</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181717"/>
              </w:rPr>
              <w:t>2.3</w:t>
            </w:r>
            <w:r>
              <w:rPr>
                <w:rFonts w:ascii="Times New Roman" w:cs="Times New Roman" w:eastAsia="Times New Roman" w:hAnsi="Times New Roman"/>
                <w:sz w:val="24"/>
                <w:szCs w:val="24"/>
                <w:color w:val="181717"/>
                <w:vertAlign w:val="superscript"/>
              </w:rPr>
              <w:t>(1)</w:t>
            </w:r>
          </w:p>
        </w:tc>
        <w:tc>
          <w:tcPr>
            <w:tcW w:w="1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431">
              <w:r>
                <w:rPr>
                  <w:rFonts w:ascii="Times New Roman" w:cs="Times New Roman" w:eastAsia="Times New Roman" w:hAnsi="Times New Roman"/>
                  <w:sz w:val="18"/>
                  <w:szCs w:val="18"/>
                  <w:color w:val="0000FF"/>
                  <w:w w:val="99"/>
                </w:rPr>
                <w:t>Form of Deposit Agreement among the Registrant, the depositary and holders of the American Depositary Shares</w:t>
              </w:r>
            </w:hyperlink>
          </w:p>
        </w:tc>
        <w:tc>
          <w:tcPr>
            <w:tcW w:w="19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4"/>
                <w:szCs w:val="24"/>
                <w:color w:val="auto"/>
              </w:rPr>
            </w:pPr>
          </w:p>
        </w:tc>
        <w:tc>
          <w:tcPr>
            <w:tcW w:w="10100" w:type="dxa"/>
            <w:vAlign w:val="bottom"/>
            <w:gridSpan w:val="20"/>
          </w:tcPr>
          <w:p>
            <w:pPr>
              <w:spacing w:after="0"/>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Description of Registrant’s Securities</w:t>
              </w:r>
            </w:hyperlink>
          </w:p>
        </w:tc>
        <w:tc>
          <w:tcPr>
            <w:tcW w:w="0" w:type="dxa"/>
            <w:vAlign w:val="bottom"/>
          </w:tcPr>
          <w:p>
            <w:pPr>
              <w:spacing w:after="0"/>
              <w:rPr>
                <w:sz w:val="1"/>
                <w:szCs w:val="1"/>
                <w:color w:val="auto"/>
              </w:rPr>
            </w:pPr>
          </w:p>
        </w:tc>
      </w:tr>
      <w:tr>
        <w:trPr>
          <w:trHeight w:val="318"/>
        </w:trPr>
        <w:tc>
          <w:tcPr>
            <w:tcW w:w="1020" w:type="dxa"/>
            <w:vAlign w:val="bottom"/>
          </w:tcPr>
          <w:p>
            <w:pPr>
              <w:spacing w:after="0" w:line="317" w:lineRule="exact"/>
              <w:rPr>
                <w:sz w:val="20"/>
                <w:szCs w:val="20"/>
                <w:color w:val="auto"/>
              </w:rPr>
            </w:pPr>
            <w:r>
              <w:rPr>
                <w:rFonts w:ascii="Times New Roman" w:cs="Times New Roman" w:eastAsia="Times New Roman" w:hAnsi="Times New Roman"/>
                <w:sz w:val="35"/>
                <w:szCs w:val="35"/>
                <w:color w:val="181717"/>
                <w:vertAlign w:val="subscript"/>
              </w:rPr>
              <w:t>4.1</w:t>
            </w:r>
            <w:r>
              <w:rPr>
                <w:rFonts w:ascii="Times New Roman" w:cs="Times New Roman" w:eastAsia="Times New Roman" w:hAnsi="Times New Roman"/>
                <w:sz w:val="12"/>
                <w:szCs w:val="12"/>
                <w:color w:val="181717"/>
              </w:rPr>
              <w:t>(1)</w:t>
            </w:r>
          </w:p>
        </w:tc>
        <w:tc>
          <w:tcPr>
            <w:tcW w:w="120" w:type="dxa"/>
            <w:vAlign w:val="bottom"/>
          </w:tcPr>
          <w:p>
            <w:pPr>
              <w:spacing w:after="0"/>
              <w:rPr>
                <w:sz w:val="24"/>
                <w:szCs w:val="24"/>
                <w:color w:val="auto"/>
              </w:rPr>
            </w:pPr>
          </w:p>
        </w:tc>
        <w:tc>
          <w:tcPr>
            <w:tcW w:w="2700" w:type="dxa"/>
            <w:vAlign w:val="bottom"/>
            <w:tcBorders>
              <w:top w:val="single" w:sz="8" w:color="0000FF"/>
            </w:tcBorders>
            <w:gridSpan w:val="5"/>
          </w:tcPr>
          <w:p>
            <w:pPr>
              <w:spacing w:after="0"/>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The 2017 Share Incentive Plan</w:t>
              </w:r>
            </w:hyperlink>
          </w:p>
        </w:tc>
        <w:tc>
          <w:tcPr>
            <w:tcW w:w="74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338" w:lineRule="exact"/>
              <w:rPr>
                <w:sz w:val="20"/>
                <w:szCs w:val="20"/>
                <w:color w:val="auto"/>
              </w:rPr>
            </w:pPr>
            <w:r>
              <w:rPr>
                <w:rFonts w:ascii="Times New Roman" w:cs="Times New Roman" w:eastAsia="Times New Roman" w:hAnsi="Times New Roman"/>
                <w:sz w:val="35"/>
                <w:szCs w:val="35"/>
                <w:color w:val="181717"/>
                <w:vertAlign w:val="subscript"/>
              </w:rPr>
              <w:t>4.2</w:t>
            </w:r>
            <w:r>
              <w:rPr>
                <w:rFonts w:ascii="Times New Roman" w:cs="Times New Roman" w:eastAsia="Times New Roman" w:hAnsi="Times New Roman"/>
                <w:sz w:val="12"/>
                <w:szCs w:val="12"/>
                <w:color w:val="181717"/>
              </w:rPr>
              <w:t>(1)</w:t>
            </w:r>
          </w:p>
        </w:tc>
        <w:tc>
          <w:tcPr>
            <w:tcW w:w="1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20"/>
          </w:tcPr>
          <w:p>
            <w:pPr>
              <w:spacing w:after="0"/>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Form of Indemnification Agreement between the Registrant and the directors and executive officers of the Registrant</w:t>
              </w:r>
            </w:hyperlink>
          </w:p>
        </w:tc>
        <w:tc>
          <w:tcPr>
            <w:tcW w:w="0" w:type="dxa"/>
            <w:vAlign w:val="bottom"/>
          </w:tcPr>
          <w:p>
            <w:pPr>
              <w:spacing w:after="0"/>
              <w:rPr>
                <w:sz w:val="1"/>
                <w:szCs w:val="1"/>
                <w:color w:val="auto"/>
              </w:rPr>
            </w:pPr>
          </w:p>
        </w:tc>
      </w:tr>
      <w:tr>
        <w:trPr>
          <w:trHeight w:val="318"/>
        </w:trPr>
        <w:tc>
          <w:tcPr>
            <w:tcW w:w="1020" w:type="dxa"/>
            <w:vAlign w:val="bottom"/>
          </w:tcPr>
          <w:p>
            <w:pPr>
              <w:spacing w:after="0" w:line="317" w:lineRule="exact"/>
              <w:rPr>
                <w:sz w:val="20"/>
                <w:szCs w:val="20"/>
                <w:color w:val="auto"/>
              </w:rPr>
            </w:pPr>
            <w:r>
              <w:rPr>
                <w:rFonts w:ascii="Times New Roman" w:cs="Times New Roman" w:eastAsia="Times New Roman" w:hAnsi="Times New Roman"/>
                <w:sz w:val="35"/>
                <w:szCs w:val="35"/>
                <w:color w:val="181717"/>
                <w:vertAlign w:val="subscript"/>
              </w:rPr>
              <w:t>4.3</w:t>
            </w:r>
            <w:r>
              <w:rPr>
                <w:rFonts w:ascii="Times New Roman" w:cs="Times New Roman" w:eastAsia="Times New Roman" w:hAnsi="Times New Roman"/>
                <w:sz w:val="12"/>
                <w:szCs w:val="12"/>
                <w:color w:val="181717"/>
              </w:rPr>
              <w:t>(1)</w:t>
            </w:r>
          </w:p>
        </w:tc>
        <w:tc>
          <w:tcPr>
            <w:tcW w:w="120" w:type="dxa"/>
            <w:vAlign w:val="bottom"/>
          </w:tcPr>
          <w:p>
            <w:pPr>
              <w:spacing w:after="0"/>
              <w:rPr>
                <w:sz w:val="24"/>
                <w:szCs w:val="24"/>
                <w:color w:val="auto"/>
              </w:rPr>
            </w:pPr>
          </w:p>
        </w:tc>
        <w:tc>
          <w:tcPr>
            <w:tcW w:w="8440" w:type="dxa"/>
            <w:vAlign w:val="bottom"/>
            <w:tcBorders>
              <w:top w:val="single" w:sz="8" w:color="0000FF"/>
            </w:tcBorders>
            <w:gridSpan w:val="19"/>
          </w:tcPr>
          <w:p>
            <w:pPr>
              <w:spacing w:after="0"/>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Form of Employment Agreement between the Registrant and the executive officers of the Registrant</w:t>
              </w:r>
            </w:hyperlink>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181717"/>
              </w:rPr>
              <w:t>8.1*</w:t>
            </w:r>
          </w:p>
        </w:tc>
        <w:tc>
          <w:tcPr>
            <w:tcW w:w="120" w:type="dxa"/>
            <w:vAlign w:val="bottom"/>
          </w:tcPr>
          <w:p>
            <w:pPr>
              <w:spacing w:after="0"/>
              <w:rPr>
                <w:sz w:val="24"/>
                <w:szCs w:val="24"/>
                <w:color w:val="auto"/>
              </w:rPr>
            </w:pPr>
          </w:p>
        </w:tc>
        <w:tc>
          <w:tcPr>
            <w:tcW w:w="72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List of principal subsidiaries and VIE of the Registrant</w:t>
            </w:r>
          </w:p>
        </w:tc>
        <w:tc>
          <w:tcPr>
            <w:tcW w:w="28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181717"/>
              </w:rPr>
              <w:t>11.1</w:t>
            </w:r>
            <w:r>
              <w:rPr>
                <w:rFonts w:ascii="Times New Roman" w:cs="Times New Roman" w:eastAsia="Times New Roman" w:hAnsi="Times New Roman"/>
                <w:sz w:val="24"/>
                <w:szCs w:val="24"/>
                <w:color w:val="181717"/>
                <w:vertAlign w:val="superscript"/>
              </w:rPr>
              <w:t>(1)</w:t>
            </w:r>
          </w:p>
        </w:tc>
        <w:tc>
          <w:tcPr>
            <w:tcW w:w="1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8"/>
              </w:rPr>
            </w:pPr>
            <w:hyperlink r:id="rId437">
              <w:r>
                <w:rPr>
                  <w:rFonts w:ascii="Times New Roman" w:cs="Times New Roman" w:eastAsia="Times New Roman" w:hAnsi="Times New Roman"/>
                  <w:sz w:val="18"/>
                  <w:szCs w:val="18"/>
                  <w:color w:val="0000FF"/>
                  <w:w w:val="98"/>
                </w:rPr>
                <w:t>Code of Business Conduct and Ethics of the Registrant</w:t>
              </w:r>
            </w:hyperlink>
          </w:p>
        </w:tc>
        <w:tc>
          <w:tcPr>
            <w:tcW w:w="20" w:type="dxa"/>
            <w:vAlign w:val="bottom"/>
            <w:tcBorders>
              <w:bottom w:val="single" w:sz="8" w:color="0000EE"/>
            </w:tcBorders>
          </w:tcPr>
          <w:p>
            <w:pPr>
              <w:spacing w:after="0"/>
              <w:rPr>
                <w:sz w:val="24"/>
                <w:szCs w:val="24"/>
                <w:color w:val="auto"/>
              </w:rPr>
            </w:pPr>
          </w:p>
        </w:tc>
        <w:tc>
          <w:tcPr>
            <w:tcW w:w="61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181717"/>
              </w:rPr>
              <w:t>11.2</w:t>
            </w:r>
            <w:r>
              <w:rPr>
                <w:rFonts w:ascii="Times New Roman" w:cs="Times New Roman" w:eastAsia="Times New Roman" w:hAnsi="Times New Roman"/>
                <w:sz w:val="24"/>
                <w:szCs w:val="24"/>
                <w:color w:val="181717"/>
                <w:vertAlign w:val="superscript"/>
              </w:rPr>
              <w:t>(5)</w:t>
            </w:r>
          </w:p>
        </w:tc>
        <w:tc>
          <w:tcPr>
            <w:tcW w:w="120" w:type="dxa"/>
            <w:vAlign w:val="bottom"/>
          </w:tcPr>
          <w:p>
            <w:pPr>
              <w:spacing w:after="0"/>
              <w:rPr>
                <w:sz w:val="24"/>
                <w:szCs w:val="24"/>
                <w:color w:val="auto"/>
              </w:rPr>
            </w:pPr>
          </w:p>
        </w:tc>
        <w:tc>
          <w:tcPr>
            <w:tcW w:w="10100" w:type="dxa"/>
            <w:vAlign w:val="bottom"/>
            <w:gridSpan w:val="20"/>
          </w:tcPr>
          <w:p>
            <w:pPr>
              <w:spacing w:after="0"/>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Statement of Policy Concerning Trading in Company Securities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181717"/>
              </w:rPr>
              <w:t>12.1*</w:t>
            </w:r>
          </w:p>
        </w:tc>
        <w:tc>
          <w:tcPr>
            <w:tcW w:w="120" w:type="dxa"/>
            <w:vAlign w:val="bottom"/>
          </w:tcPr>
          <w:p>
            <w:pPr>
              <w:spacing w:after="0"/>
              <w:rPr>
                <w:sz w:val="24"/>
                <w:szCs w:val="24"/>
                <w:color w:val="auto"/>
              </w:rPr>
            </w:pPr>
          </w:p>
        </w:tc>
        <w:tc>
          <w:tcPr>
            <w:tcW w:w="74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by Principal Executive Officer Pursuant to Section 302 of the Sarbanes-Oxley Act of 2002</w:t>
            </w:r>
          </w:p>
        </w:tc>
        <w:tc>
          <w:tcPr>
            <w:tcW w:w="26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181717"/>
              </w:rPr>
              <w:t>12.2*</w:t>
            </w:r>
          </w:p>
        </w:tc>
        <w:tc>
          <w:tcPr>
            <w:tcW w:w="120" w:type="dxa"/>
            <w:vAlign w:val="bottom"/>
          </w:tcPr>
          <w:p>
            <w:pPr>
              <w:spacing w:after="0"/>
              <w:rPr>
                <w:sz w:val="24"/>
                <w:szCs w:val="24"/>
                <w:color w:val="auto"/>
              </w:rPr>
            </w:pP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181717"/>
              </w:rPr>
              <w:t>13.1**</w:t>
            </w:r>
          </w:p>
        </w:tc>
        <w:tc>
          <w:tcPr>
            <w:tcW w:w="120" w:type="dxa"/>
            <w:vAlign w:val="bottom"/>
          </w:tcPr>
          <w:p>
            <w:pPr>
              <w:spacing w:after="0"/>
              <w:rPr>
                <w:sz w:val="24"/>
                <w:szCs w:val="24"/>
                <w:color w:val="auto"/>
              </w:rPr>
            </w:pPr>
          </w:p>
        </w:tc>
        <w:tc>
          <w:tcPr>
            <w:tcW w:w="74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by Principal Executive Officer Pursuant to Section 906 of the Sarbanes-Oxley Act of 2002</w:t>
            </w:r>
          </w:p>
        </w:tc>
        <w:tc>
          <w:tcPr>
            <w:tcW w:w="26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181717"/>
              </w:rPr>
              <w:t>13.2**</w:t>
            </w:r>
          </w:p>
        </w:tc>
        <w:tc>
          <w:tcPr>
            <w:tcW w:w="120" w:type="dxa"/>
            <w:vAlign w:val="bottom"/>
          </w:tcPr>
          <w:p>
            <w:pPr>
              <w:spacing w:after="0"/>
              <w:rPr>
                <w:sz w:val="24"/>
                <w:szCs w:val="24"/>
                <w:color w:val="auto"/>
              </w:rPr>
            </w:pP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Pursuant to Section 906 of the Sarbanes-Oxley Act of 2002</w:t>
            </w: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181717"/>
              </w:rPr>
              <w:t>15.1*</w:t>
            </w:r>
          </w:p>
        </w:tc>
        <w:tc>
          <w:tcPr>
            <w:tcW w:w="120" w:type="dxa"/>
            <w:vAlign w:val="bottom"/>
          </w:tcPr>
          <w:p>
            <w:pPr>
              <w:spacing w:after="0"/>
              <w:rPr>
                <w:sz w:val="24"/>
                <w:szCs w:val="24"/>
                <w:color w:val="auto"/>
              </w:rPr>
            </w:pPr>
          </w:p>
        </w:tc>
        <w:tc>
          <w:tcPr>
            <w:tcW w:w="23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Consent of Tian Yuan Law Firm</w:t>
            </w:r>
          </w:p>
        </w:tc>
        <w:tc>
          <w:tcPr>
            <w:tcW w:w="20" w:type="dxa"/>
            <w:vAlign w:val="bottom"/>
            <w:tcBorders>
              <w:top w:val="single" w:sz="8" w:color="0000FF"/>
              <w:bottom w:val="single" w:sz="8" w:color="0000EE"/>
            </w:tcBorders>
          </w:tcPr>
          <w:p>
            <w:pPr>
              <w:spacing w:after="0"/>
              <w:rPr>
                <w:sz w:val="24"/>
                <w:szCs w:val="24"/>
                <w:color w:val="auto"/>
              </w:rPr>
            </w:pPr>
          </w:p>
        </w:tc>
        <w:tc>
          <w:tcPr>
            <w:tcW w:w="5040" w:type="dxa"/>
            <w:vAlign w:val="bottom"/>
            <w:tcBorders>
              <w:top w:val="single" w:sz="8" w:color="0000FF"/>
            </w:tcBorders>
            <w:gridSpan w:val="13"/>
          </w:tcPr>
          <w:p>
            <w:pPr>
              <w:spacing w:after="0"/>
              <w:rPr>
                <w:sz w:val="24"/>
                <w:szCs w:val="24"/>
                <w:color w:val="auto"/>
              </w:rPr>
            </w:pPr>
          </w:p>
        </w:tc>
        <w:tc>
          <w:tcPr>
            <w:tcW w:w="26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181717"/>
              </w:rPr>
              <w:t>15.2*</w:t>
            </w:r>
          </w:p>
        </w:tc>
        <w:tc>
          <w:tcPr>
            <w:tcW w:w="120" w:type="dxa"/>
            <w:vAlign w:val="bottom"/>
          </w:tcPr>
          <w:p>
            <w:pPr>
              <w:spacing w:after="0"/>
              <w:rPr>
                <w:sz w:val="24"/>
                <w:szCs w:val="24"/>
                <w:color w:val="auto"/>
              </w:rPr>
            </w:pP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Consent of Maples and Calder (Hong Kong) LLP</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1080" w:type="dxa"/>
            <w:vAlign w:val="bottom"/>
            <w:tcBorders>
              <w:right w:val="single" w:sz="8" w:color="0000EE"/>
            </w:tcBorders>
            <w:gridSpan w:val="2"/>
            <w:shd w:val="clear" w:color="auto" w:fill="0000FF"/>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48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181717"/>
              </w:rPr>
              <w:t>15.3*</w:t>
            </w:r>
          </w:p>
        </w:tc>
        <w:tc>
          <w:tcPr>
            <w:tcW w:w="120" w:type="dxa"/>
            <w:vAlign w:val="bottom"/>
          </w:tcPr>
          <w:p>
            <w:pPr>
              <w:spacing w:after="0"/>
              <w:rPr>
                <w:sz w:val="24"/>
                <w:szCs w:val="24"/>
                <w:color w:val="auto"/>
              </w:rPr>
            </w:pPr>
          </w:p>
        </w:tc>
        <w:tc>
          <w:tcPr>
            <w:tcW w:w="5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Consent of Deloitte Touche Tohmatsu Certified Public Accountants LLP</w:t>
            </w:r>
          </w:p>
        </w:tc>
        <w:tc>
          <w:tcPr>
            <w:tcW w:w="48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181717"/>
              </w:rPr>
              <w:t>97.1</w:t>
            </w:r>
            <w:r>
              <w:rPr>
                <w:rFonts w:ascii="Times New Roman" w:cs="Times New Roman" w:eastAsia="Times New Roman" w:hAnsi="Times New Roman"/>
                <w:sz w:val="24"/>
                <w:szCs w:val="24"/>
                <w:color w:val="181717"/>
                <w:vertAlign w:val="superscript"/>
              </w:rPr>
              <w:t>(4)</w:t>
            </w:r>
          </w:p>
        </w:tc>
        <w:tc>
          <w:tcPr>
            <w:tcW w:w="120" w:type="dxa"/>
            <w:vAlign w:val="bottom"/>
          </w:tcPr>
          <w:p>
            <w:pPr>
              <w:spacing w:after="0"/>
              <w:rPr>
                <w:sz w:val="24"/>
                <w:szCs w:val="24"/>
                <w:color w:val="auto"/>
              </w:rPr>
            </w:pPr>
          </w:p>
        </w:tc>
        <w:tc>
          <w:tcPr>
            <w:tcW w:w="10100" w:type="dxa"/>
            <w:vAlign w:val="bottom"/>
            <w:gridSpan w:val="20"/>
          </w:tcPr>
          <w:p>
            <w:pPr>
              <w:spacing w:after="0"/>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Compensation Recoupment Policy</w:t>
              </w:r>
            </w:hyperlink>
          </w:p>
        </w:tc>
        <w:tc>
          <w:tcPr>
            <w:tcW w:w="0" w:type="dxa"/>
            <w:vAlign w:val="bottom"/>
          </w:tcPr>
          <w:p>
            <w:pPr>
              <w:spacing w:after="0"/>
              <w:rPr>
                <w:sz w:val="1"/>
                <w:szCs w:val="1"/>
                <w:color w:val="auto"/>
              </w:rPr>
            </w:pPr>
          </w:p>
        </w:tc>
      </w:tr>
      <w:tr>
        <w:trPr>
          <w:trHeight w:val="35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25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6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90309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69" w:lineRule="exact"/>
        <w:rPr>
          <w:sz w:val="20"/>
          <w:szCs w:val="20"/>
          <w:color w:val="auto"/>
        </w:rPr>
      </w:pPr>
    </w:p>
    <w:p>
      <w:pPr>
        <w:ind w:left="360" w:hanging="352"/>
        <w:spacing w:after="0"/>
        <w:tabs>
          <w:tab w:leader="none" w:pos="36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with the Registration Statement on Form F-1 (File No. 333-223190), as amended, initially filed on February 23, 2018 and incorporated herein by reference.</w:t>
      </w:r>
    </w:p>
    <w:p>
      <w:pPr>
        <w:spacing w:after="0" w:line="95"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on Form 20-F, dated April 24, 2020 and incorporated herein by reference.</w:t>
      </w:r>
    </w:p>
    <w:p>
      <w:pPr>
        <w:spacing w:after="0" w:line="82"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on Form 20-F, dated April 25, 2023 and incorporated herein by reference.</w:t>
      </w:r>
    </w:p>
    <w:p>
      <w:pPr>
        <w:spacing w:after="0" w:line="95"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on Form 20-F, dated April 25, 2024 and incorporated herein by reference.</w:t>
      </w:r>
    </w:p>
    <w:p>
      <w:pPr>
        <w:spacing w:after="0" w:line="95"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on Form 20-F. dated April 25, 2025 and incorporated herein by reference.</w:t>
      </w:r>
    </w:p>
    <w:p>
      <w:pPr>
        <w:spacing w:after="0" w:line="27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29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181717"/>
        </w:rPr>
        <w:t>Sunlands Technology Group</w:t>
      </w:r>
    </w:p>
    <w:p>
      <w:pPr>
        <w:spacing w:after="0" w:line="200" w:lineRule="exact"/>
        <w:rPr>
          <w:sz w:val="20"/>
          <w:szCs w:val="20"/>
          <w:color w:val="auto"/>
        </w:rPr>
      </w:pPr>
    </w:p>
    <w:p>
      <w:pPr>
        <w:spacing w:after="0" w:line="241" w:lineRule="exact"/>
        <w:rPr>
          <w:sz w:val="20"/>
          <w:szCs w:val="20"/>
          <w:color w:val="auto"/>
        </w:rPr>
      </w:pPr>
    </w:p>
    <w:p>
      <w:pPr>
        <w:ind w:left="5700"/>
        <w:spacing w:after="0"/>
        <w:tabs>
          <w:tab w:leader="none" w:pos="6140" w:val="left"/>
        </w:tabs>
        <w:rPr>
          <w:sz w:val="20"/>
          <w:szCs w:val="20"/>
          <w:color w:val="auto"/>
        </w:rPr>
      </w:pPr>
      <w:r>
        <w:rPr>
          <w:rFonts w:ascii="Times New Roman" w:cs="Times New Roman" w:eastAsia="Times New Roman" w:hAnsi="Times New Roman"/>
          <w:sz w:val="18"/>
          <w:szCs w:val="18"/>
          <w:color w:val="181717"/>
        </w:rPr>
        <w:t>By:</w:t>
        <w:tab/>
        <w:t>/s/ Tongbo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23151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2">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7" w:lineRule="exact"/>
        <w:rPr>
          <w:sz w:val="20"/>
          <w:szCs w:val="20"/>
          <w:color w:val="auto"/>
        </w:rPr>
      </w:pPr>
    </w:p>
    <w:p>
      <w:pPr>
        <w:ind w:left="6160"/>
        <w:spacing w:after="0"/>
        <w:tabs>
          <w:tab w:leader="none" w:pos="6860" w:val="left"/>
        </w:tabs>
        <w:rPr>
          <w:sz w:val="20"/>
          <w:szCs w:val="20"/>
          <w:color w:val="auto"/>
        </w:rPr>
      </w:pPr>
      <w:r>
        <w:rPr>
          <w:rFonts w:ascii="Times New Roman" w:cs="Times New Roman" w:eastAsia="Times New Roman" w:hAnsi="Times New Roman"/>
          <w:sz w:val="18"/>
          <w:szCs w:val="18"/>
          <w:color w:val="181717"/>
        </w:rPr>
        <w:t>Name:</w:t>
        <w:tab/>
        <w:t>Tongbo Liu</w:t>
      </w:r>
    </w:p>
    <w:p>
      <w:pPr>
        <w:spacing w:after="0" w:line="23" w:lineRule="exact"/>
        <w:rPr>
          <w:sz w:val="20"/>
          <w:szCs w:val="20"/>
          <w:color w:val="auto"/>
        </w:rPr>
      </w:pPr>
    </w:p>
    <w:p>
      <w:pPr>
        <w:ind w:left="6160"/>
        <w:spacing w:after="0"/>
        <w:tabs>
          <w:tab w:leader="none" w:pos="6800" w:val="left"/>
        </w:tabs>
        <w:rPr>
          <w:sz w:val="20"/>
          <w:szCs w:val="20"/>
          <w:color w:val="auto"/>
        </w:rPr>
      </w:pPr>
      <w:r>
        <w:rPr>
          <w:rFonts w:ascii="Times New Roman" w:cs="Times New Roman" w:eastAsia="Times New Roman" w:hAnsi="Times New Roman"/>
          <w:sz w:val="18"/>
          <w:szCs w:val="18"/>
          <w:color w:val="181717"/>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181717"/>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5" w:name="page126"/>
    <w:bookmarkEnd w:id="125"/>
    <w:p>
      <w:pPr>
        <w:ind w:left="3260"/>
        <w:spacing w:after="0"/>
        <w:rPr>
          <w:sz w:val="20"/>
          <w:szCs w:val="20"/>
          <w:color w:val="auto"/>
        </w:rPr>
      </w:pPr>
      <w:r>
        <w:rPr>
          <w:rFonts w:ascii="Times New Roman" w:cs="Times New Roman" w:eastAsia="Times New Roman" w:hAnsi="Times New Roman"/>
          <w:sz w:val="18"/>
          <w:szCs w:val="18"/>
          <w:b w:val="1"/>
          <w:bCs w:val="1"/>
          <w:color w:val="181717"/>
        </w:rPr>
        <w:t>INDEX TO CONSOLIDATED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181717"/>
        </w:rPr>
        <w:t>CONTENTS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(PCAOB ID No. 1113)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6880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4">
                      <a:extLst>
                        <a:ext uri="{28A0092B-C50C-407E-A947-70E740481C1C}"/>
                      </a:extLst>
                    </a:blip>
                    <a:srcRect/>
                    <a:stretch>
                      <a:fillRect/>
                    </a:stretch>
                  </pic:blipFill>
                  <pic:spPr bwMode="auto">
                    <a:xfrm>
                      <a:off x="0" y="0"/>
                      <a:ext cx="368808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DECEMBER 31,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85953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5">
                      <a:extLst>
                        <a:ext uri="{28A0092B-C50C-407E-A947-70E740481C1C}"/>
                      </a:extLst>
                    </a:blip>
                    <a:srcRect/>
                    <a:stretch>
                      <a:fillRect/>
                    </a:stretch>
                  </pic:blipFill>
                  <pic:spPr bwMode="auto">
                    <a:xfrm>
                      <a:off x="0" y="0"/>
                      <a:ext cx="385953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FOR THE YEARS ENDED DECEMBER 31,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78548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6">
                      <a:extLst>
                        <a:ext uri="{28A0092B-C50C-407E-A947-70E740481C1C}"/>
                      </a:extLst>
                    </a:blip>
                    <a:srcRect/>
                    <a:stretch>
                      <a:fillRect/>
                    </a:stretch>
                  </pic:blipFill>
                  <pic:spPr bwMode="auto">
                    <a:xfrm>
                      <a:off x="0" y="0"/>
                      <a:ext cx="5785485" cy="8255"/>
                    </a:xfrm>
                    <a:prstGeom prst="rect">
                      <a:avLst/>
                    </a:prstGeom>
                    <a:noFill/>
                  </pic:spPr>
                </pic:pic>
              </a:graphicData>
            </a:graphic>
          </wp:anchor>
        </w:drawing>
      </w:r>
    </w:p>
    <w:p>
      <w:pPr>
        <w:spacing w:after="0" w:line="259" w:lineRule="exact"/>
        <w:rPr>
          <w:sz w:val="20"/>
          <w:szCs w:val="20"/>
          <w:color w:val="auto"/>
        </w:rPr>
      </w:pPr>
    </w:p>
    <w:p>
      <w:pPr>
        <w:ind w:left="260" w:hanging="255"/>
        <w:spacing w:after="0" w:line="282" w:lineRule="auto"/>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FOR THE YEARS ENDED DECEMBER 31,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628396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7">
                      <a:extLst>
                        <a:ext uri="{28A0092B-C50C-407E-A947-70E740481C1C}"/>
                      </a:extLst>
                    </a:blip>
                    <a:srcRect/>
                    <a:stretch>
                      <a:fillRect/>
                    </a:stretch>
                  </pic:blipFill>
                  <pic:spPr bwMode="auto">
                    <a:xfrm>
                      <a:off x="0" y="0"/>
                      <a:ext cx="6283960" cy="889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-48260</wp:posOffset>
            </wp:positionV>
            <wp:extent cx="2286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8">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69" w:lineRule="exact"/>
        <w:rPr>
          <w:sz w:val="20"/>
          <w:szCs w:val="20"/>
          <w:color w:val="auto"/>
        </w:rPr>
      </w:pPr>
    </w:p>
    <w:p>
      <w:pPr>
        <w:ind w:left="260" w:right="700" w:hanging="255"/>
        <w:spacing w:after="0" w:line="282" w:lineRule="auto"/>
        <w:rPr>
          <w:sz w:val="20"/>
          <w:szCs w:val="20"/>
          <w:color w:val="auto"/>
        </w:rPr>
      </w:pPr>
      <w:r>
        <w:rPr>
          <w:rFonts w:ascii="Times New Roman" w:cs="Times New Roman" w:eastAsia="Times New Roman" w:hAnsi="Times New Roman"/>
          <w:sz w:val="18"/>
          <w:szCs w:val="18"/>
          <w:u w:val="single" w:color="auto"/>
          <w:color w:val="0000FF"/>
        </w:rPr>
        <w:t>CONSOLIDATED STATEMENTS OF CHANGES IN SHAREHOLDERS' (DEFICIT)/EQUITY FOR THE YEARS ENDED DECEMBER 31,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584390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9">
                      <a:extLst>
                        <a:ext uri="{28A0092B-C50C-407E-A947-70E740481C1C}"/>
                      </a:extLst>
                    </a:blip>
                    <a:srcRect/>
                    <a:stretch>
                      <a:fillRect/>
                    </a:stretch>
                  </pic:blipFill>
                  <pic:spPr bwMode="auto">
                    <a:xfrm>
                      <a:off x="0" y="0"/>
                      <a:ext cx="5843905" cy="825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-48260</wp:posOffset>
            </wp:positionV>
            <wp:extent cx="186944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0">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YEARS ENDED DECEMBER 31,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79564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1">
                      <a:extLst>
                        <a:ext uri="{28A0092B-C50C-407E-A947-70E740481C1C}"/>
                      </a:extLst>
                    </a:blip>
                    <a:srcRect/>
                    <a:stretch>
                      <a:fillRect/>
                    </a:stretch>
                  </pic:blipFill>
                  <pic:spPr bwMode="auto">
                    <a:xfrm>
                      <a:off x="0" y="0"/>
                      <a:ext cx="579564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752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2">
                      <a:extLst>
                        <a:ext uri="{28A0092B-C50C-407E-A947-70E740481C1C}"/>
                      </a:extLst>
                    </a:blip>
                    <a:srcRect/>
                    <a:stretch>
                      <a:fillRect/>
                    </a:stretch>
                  </pic:blipFill>
                  <pic:spPr bwMode="auto">
                    <a:xfrm>
                      <a:off x="0" y="0"/>
                      <a:ext cx="287528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ADDITIONAL INFORMATION - FINANCIAL STATEMENT 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64934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3">
                      <a:extLst>
                        <a:ext uri="{28A0092B-C50C-407E-A947-70E740481C1C}"/>
                      </a:extLst>
                    </a:blip>
                    <a:srcRect/>
                    <a:stretch>
                      <a:fillRect/>
                    </a:stretch>
                  </pic:blipFill>
                  <pic:spPr bwMode="auto">
                    <a:xfrm>
                      <a:off x="0" y="0"/>
                      <a:ext cx="364934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181717"/>
        </w:rPr>
        <w:t>PAGE(S)</w:t>
      </w: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181717"/>
        </w:rPr>
        <w:t>F-2</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181717"/>
        </w:rPr>
        <w:t>F-4</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181717"/>
        </w:rPr>
        <w:t>F-5</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181717"/>
        </w:rPr>
        <w:t>F-6</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181717"/>
        </w:rPr>
        <w:t>F-7</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181717"/>
        </w:rPr>
        <w:t>F-8</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181717"/>
        </w:rPr>
        <w:t>F-9</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181717"/>
        </w:rPr>
        <w:t>F-40</w:t>
      </w:r>
    </w:p>
    <w:p>
      <w:pPr>
        <w:sectPr>
          <w:pgSz w:w="11900" w:h="16838" w:orient="portrait"/>
          <w:cols w:equalWidth="0" w:num="2">
            <w:col w:w="9860" w:space="700"/>
            <w:col w:w="680"/>
          </w:cols>
          <w:pgMar w:left="320" w:top="108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181717"/>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To the Board of Directors and Shareholders of Sunlands Technology Group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81717"/>
        </w:rPr>
        <w:t>Opinion on the Financial Statements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181717"/>
        </w:rPr>
        <w:t>We have audited the accompanying consolidated balance sheets of Sunlands Technology Group and its subsidiaries (the "Company") as of December 31, 2024 and 2025, the related consolidated statements of operations, comprehensive income, changes in shareholders' (deficit)/equity and cash flows for each of the three years in the period ended December 31, 2</w:t>
      </w:r>
      <w:r>
        <w:rPr>
          <w:rFonts w:ascii="Times New Roman" w:cs="Times New Roman" w:eastAsia="Times New Roman" w:hAnsi="Times New Roman"/>
          <w:sz w:val="18"/>
          <w:szCs w:val="18"/>
          <w:color w:val="000000"/>
        </w:rPr>
        <w:t>025</w:t>
      </w:r>
      <w:r>
        <w:rPr>
          <w:rFonts w:ascii="Times New Roman" w:cs="Times New Roman" w:eastAsia="Times New Roman" w:hAnsi="Times New Roman"/>
          <w:sz w:val="18"/>
          <w:szCs w:val="18"/>
          <w:color w:val="181717"/>
        </w:rPr>
        <w:t>, and the related notes and Schedule I (collectively referred to as the "financial statements"). In our opinion, the financial statements present fairly, in all material respects, the financial position of the Company as of December 31, 2024 and 2025, and the results of its operations and its cash flows for each of the three years in the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81717"/>
        </w:rPr>
        <w:t>Convenience Translation</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181717"/>
        </w:rPr>
        <w:t>Our audits also comprehended the translation of Renminbi amounts into United States dollar amounts and, in our opinion, such translation has been made in conformity with the basis stated in Note 2 to the financial statements. Such United States dollar amounts are presented solely for the convenience of readers outside the People’s Republic of China.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81717"/>
        </w:rPr>
        <w:t>Basis for Opinion</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181717"/>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181717"/>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181717"/>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81717"/>
        </w:rPr>
        <w:t>Critical Audit Matter</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181717"/>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181717"/>
        </w:rPr>
        <w:t>Critical Audit Matter-continued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81717"/>
        </w:rPr>
        <w:t>Revenue recognition - Online education services - Refer to Note 2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81717"/>
        </w:rPr>
        <w:t>Critical Audit Matter Description</w:t>
      </w:r>
    </w:p>
    <w:p>
      <w:pPr>
        <w:spacing w:after="0" w:line="22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181717"/>
        </w:rPr>
        <w:t>The revenues of the Company are primarily derived from service fees that the Company charges participants in advance for its online education services, which accounted for 87.9% of the total net revenues for the year ended December 31, 2025. The Company recognizes the revenues for online education services on a straight-line basis over the service period.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181717"/>
        </w:rPr>
        <w:t>We identified the revenue recognition of online education services as a critical audit matter due to the inherent risk associated with the occurrence of revenue given the significant volume of individually-low-monetary-value revenue transactions generated from online education services. This required an increased extent of effort to determine the nature, timing and extent of audit evidence required to be obtained.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81717"/>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Our audit procedures related to address this critical audit matter included the following, among others:</w:t>
      </w:r>
    </w:p>
    <w:p>
      <w:pPr>
        <w:spacing w:after="0" w:line="333"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With the assistance of our IT professionals and data analytics specialists, we:</w:t>
      </w:r>
    </w:p>
    <w:p>
      <w:pPr>
        <w:spacing w:after="0" w:line="117" w:lineRule="exact"/>
        <w:rPr>
          <w:rFonts w:ascii="Times New Roman" w:cs="Times New Roman" w:eastAsia="Times New Roman" w:hAnsi="Times New Roman"/>
          <w:sz w:val="18"/>
          <w:szCs w:val="18"/>
          <w:color w:val="181717"/>
        </w:rPr>
      </w:pPr>
    </w:p>
    <w:p>
      <w:pPr>
        <w:ind w:left="1540" w:right="240" w:hanging="514"/>
        <w:spacing w:after="0" w:line="282" w:lineRule="auto"/>
        <w:tabs>
          <w:tab w:leader="none" w:pos="1540" w:val="left"/>
        </w:tabs>
        <w:numPr>
          <w:ilvl w:val="1"/>
          <w:numId w:val="61"/>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Identified the relevant systems used to process revenue transactions and tested the general IT controls over each of these systems, including testing of user access controls, change management controls, and IT operations controls.</w:t>
      </w:r>
    </w:p>
    <w:p>
      <w:pPr>
        <w:spacing w:after="0" w:line="53" w:lineRule="exact"/>
        <w:rPr>
          <w:rFonts w:ascii="Times New Roman" w:cs="Times New Roman" w:eastAsia="Times New Roman" w:hAnsi="Times New Roman"/>
          <w:sz w:val="18"/>
          <w:szCs w:val="18"/>
          <w:color w:val="181717"/>
        </w:rPr>
      </w:pPr>
    </w:p>
    <w:p>
      <w:pPr>
        <w:ind w:left="1540" w:hanging="514"/>
        <w:spacing w:after="0"/>
        <w:tabs>
          <w:tab w:leader="none" w:pos="1540" w:val="left"/>
        </w:tabs>
        <w:numPr>
          <w:ilvl w:val="1"/>
          <w:numId w:val="61"/>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Performed testing of automated controls over revenue recognition with respect to the online education services.</w:t>
      </w:r>
    </w:p>
    <w:p>
      <w:pPr>
        <w:spacing w:after="0" w:line="117" w:lineRule="exact"/>
        <w:rPr>
          <w:rFonts w:ascii="Times New Roman" w:cs="Times New Roman" w:eastAsia="Times New Roman" w:hAnsi="Times New Roman"/>
          <w:sz w:val="18"/>
          <w:szCs w:val="18"/>
          <w:color w:val="181717"/>
        </w:rPr>
      </w:pPr>
    </w:p>
    <w:p>
      <w:pPr>
        <w:ind w:left="1540" w:right="120" w:hanging="514"/>
        <w:spacing w:after="0" w:line="282" w:lineRule="auto"/>
        <w:tabs>
          <w:tab w:leader="none" w:pos="1540" w:val="left"/>
        </w:tabs>
        <w:numPr>
          <w:ilvl w:val="1"/>
          <w:numId w:val="61"/>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Performed procedures to reconcile the cash received and recorded in the payment system with the collection statements from major third-party online payment channels and bank statements.</w:t>
      </w:r>
    </w:p>
    <w:p>
      <w:pPr>
        <w:spacing w:after="0" w:line="53" w:lineRule="exact"/>
        <w:rPr>
          <w:rFonts w:ascii="Times New Roman" w:cs="Times New Roman" w:eastAsia="Times New Roman" w:hAnsi="Times New Roman"/>
          <w:sz w:val="18"/>
          <w:szCs w:val="18"/>
          <w:color w:val="181717"/>
        </w:rPr>
      </w:pPr>
    </w:p>
    <w:p>
      <w:pPr>
        <w:ind w:left="1540" w:right="20" w:hanging="514"/>
        <w:spacing w:after="0" w:line="282" w:lineRule="auto"/>
        <w:tabs>
          <w:tab w:leader="none" w:pos="1540" w:val="left"/>
        </w:tabs>
        <w:numPr>
          <w:ilvl w:val="1"/>
          <w:numId w:val="61"/>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For a sample of revenue transaction, recalculated the revenue amount of online education services recognized by utilizing computer-assisted audit techniques.</w:t>
      </w:r>
    </w:p>
    <w:p>
      <w:pPr>
        <w:spacing w:after="0" w:line="53" w:lineRule="exact"/>
        <w:rPr>
          <w:rFonts w:ascii="Times New Roman" w:cs="Times New Roman" w:eastAsia="Times New Roman" w:hAnsi="Times New Roman"/>
          <w:sz w:val="18"/>
          <w:szCs w:val="18"/>
          <w:color w:val="181717"/>
        </w:rPr>
      </w:pPr>
    </w:p>
    <w:p>
      <w:pPr>
        <w:ind w:left="1540" w:hanging="514"/>
        <w:spacing w:after="0"/>
        <w:tabs>
          <w:tab w:leader="none" w:pos="1540" w:val="left"/>
        </w:tabs>
        <w:numPr>
          <w:ilvl w:val="1"/>
          <w:numId w:val="61"/>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Performed data analytics on participants' online learning records and evaluated trends in the gross billings.</w:t>
      </w:r>
    </w:p>
    <w:p>
      <w:pPr>
        <w:spacing w:after="0" w:line="117" w:lineRule="exact"/>
        <w:rPr>
          <w:rFonts w:ascii="Times New Roman" w:cs="Times New Roman" w:eastAsia="Times New Roman" w:hAnsi="Times New Roman"/>
          <w:sz w:val="18"/>
          <w:szCs w:val="18"/>
          <w:color w:val="181717"/>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We tested relevant manual controls related to the online education services process.</w:t>
      </w:r>
    </w:p>
    <w:p>
      <w:pPr>
        <w:spacing w:after="0" w:line="117" w:lineRule="exact"/>
        <w:rPr>
          <w:rFonts w:ascii="Times New Roman" w:cs="Times New Roman" w:eastAsia="Times New Roman" w:hAnsi="Times New Roman"/>
          <w:sz w:val="18"/>
          <w:szCs w:val="18"/>
          <w:color w:val="181717"/>
        </w:rPr>
      </w:pPr>
    </w:p>
    <w:p>
      <w:pPr>
        <w:ind w:left="1020" w:right="140" w:hanging="503"/>
        <w:spacing w:after="0" w:line="282" w:lineRule="auto"/>
        <w:tabs>
          <w:tab w:leader="none" w:pos="1020" w:val="left"/>
        </w:tabs>
        <w:numPr>
          <w:ilvl w:val="0"/>
          <w:numId w:val="61"/>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For a sample of revenue transaction, we performed detail transaction testing by agreeing the amounts recognized to supporting documents including but not limited to the online education services contracts and cash collections.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/s/ Deloitte Touche Tohmatsu Certified Public Accountants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April 24,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We have served as the Company's auditor since 2017.</w:t>
      </w:r>
    </w:p>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5" w:right="479" w:bottom="1440" w:gutter="0" w:footer="0" w:header="0"/>
        </w:sectPr>
      </w:pPr>
    </w:p>
    <w:bookmarkStart w:id="128" w:name="page129"/>
    <w:bookmarkEnd w:id="128"/>
    <w:p>
      <w:pPr>
        <w:jc w:val="center"/>
        <w:ind w:right="-119"/>
        <w:spacing w:after="0"/>
        <w:rPr>
          <w:sz w:val="20"/>
          <w:szCs w:val="20"/>
          <w:color w:val="auto"/>
        </w:rPr>
      </w:pPr>
      <w:r>
        <w:rPr>
          <w:rFonts w:ascii="Times New Roman" w:cs="Times New Roman" w:eastAsia="Times New Roman" w:hAnsi="Times New Roman"/>
          <w:sz w:val="18"/>
          <w:szCs w:val="18"/>
          <w:color w:val="181717"/>
        </w:rPr>
        <w:t>CONSOLIDATED BALANCE SHEETS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181717"/>
        </w:rPr>
        <w:t>(Amounts in thousands, except for share and per share data, or otherwise noted)</w:t>
      </w:r>
    </w:p>
    <w:p>
      <w:pPr>
        <w:spacing w:after="0" w:line="21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2"/>
          <w:szCs w:val="12"/>
          <w:color w:val="auto"/>
        </w:rPr>
        <w:t>As of 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240" w:type="dxa"/>
            <w:vAlign w:val="bottom"/>
          </w:tcPr>
          <w:p>
            <w:pPr>
              <w:spacing w:after="0"/>
              <w:rPr>
                <w:sz w:val="11"/>
                <w:szCs w:val="11"/>
                <w:color w:val="auto"/>
              </w:rPr>
            </w:pPr>
          </w:p>
        </w:tc>
        <w:tc>
          <w:tcPr>
            <w:tcW w:w="1140" w:type="dxa"/>
            <w:vAlign w:val="bottom"/>
            <w:tcBorders>
              <w:top w:val="single" w:sz="8" w:color="auto"/>
              <w:bottom w:val="single" w:sz="8" w:color="auto"/>
            </w:tcBorders>
          </w:tcPr>
          <w:p>
            <w:pPr>
              <w:ind w:left="760"/>
              <w:spacing w:after="0" w:line="129" w:lineRule="exact"/>
              <w:rPr>
                <w:sz w:val="20"/>
                <w:szCs w:val="20"/>
                <w:color w:val="auto"/>
              </w:rPr>
            </w:pPr>
            <w:r>
              <w:rPr>
                <w:rFonts w:ascii="Times New Roman" w:cs="Times New Roman" w:eastAsia="Times New Roman" w:hAnsi="Times New Roman"/>
                <w:sz w:val="12"/>
                <w:szCs w:val="12"/>
                <w:color w:val="auto"/>
              </w:rPr>
              <w:t>2024</w:t>
            </w:r>
          </w:p>
        </w:tc>
        <w:tc>
          <w:tcPr>
            <w:tcW w:w="6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760" w:type="dxa"/>
            <w:vAlign w:val="bottom"/>
            <w:tcBorders>
              <w:top w:val="single" w:sz="8" w:color="auto"/>
              <w:bottom w:val="single" w:sz="8" w:color="auto"/>
            </w:tcBorders>
          </w:tcPr>
          <w:p>
            <w:pPr>
              <w:jc w:val="right"/>
              <w:ind w:right="702"/>
              <w:spacing w:after="0" w:line="129" w:lineRule="exact"/>
              <w:rPr>
                <w:sz w:val="20"/>
                <w:szCs w:val="20"/>
                <w:color w:val="auto"/>
              </w:rPr>
            </w:pPr>
            <w:r>
              <w:rPr>
                <w:rFonts w:ascii="Times New Roman" w:cs="Times New Roman" w:eastAsia="Times New Roman" w:hAnsi="Times New Roman"/>
                <w:sz w:val="12"/>
                <w:szCs w:val="12"/>
                <w:color w:val="auto"/>
              </w:rPr>
              <w:t>2025</w:t>
            </w:r>
          </w:p>
        </w:tc>
        <w:tc>
          <w:tcPr>
            <w:tcW w:w="220" w:type="dxa"/>
            <w:vAlign w:val="bottom"/>
            <w:tcBorders>
              <w:top w:val="single" w:sz="8" w:color="auto"/>
            </w:tcBorders>
          </w:tcPr>
          <w:p>
            <w:pPr>
              <w:spacing w:after="0"/>
              <w:rPr>
                <w:sz w:val="11"/>
                <w:szCs w:val="11"/>
                <w:color w:val="auto"/>
              </w:rPr>
            </w:pPr>
          </w:p>
        </w:tc>
        <w:tc>
          <w:tcPr>
            <w:tcW w:w="180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2025</w:t>
            </w:r>
          </w:p>
        </w:tc>
        <w:tc>
          <w:tcPr>
            <w:tcW w:w="100" w:type="dxa"/>
            <w:vAlign w:val="bottom"/>
          </w:tcPr>
          <w:p>
            <w:pPr>
              <w:spacing w:after="0"/>
              <w:rPr>
                <w:sz w:val="11"/>
                <w:szCs w:val="11"/>
                <w:color w:val="auto"/>
              </w:rPr>
            </w:pPr>
          </w:p>
        </w:tc>
      </w:tr>
      <w:tr>
        <w:trPr>
          <w:trHeight w:val="120"/>
        </w:trPr>
        <w:tc>
          <w:tcPr>
            <w:tcW w:w="5240" w:type="dxa"/>
            <w:vAlign w:val="bottom"/>
          </w:tcPr>
          <w:p>
            <w:pPr>
              <w:spacing w:after="0"/>
              <w:rPr>
                <w:sz w:val="10"/>
                <w:szCs w:val="10"/>
                <w:color w:val="auto"/>
              </w:rPr>
            </w:pPr>
          </w:p>
        </w:tc>
        <w:tc>
          <w:tcPr>
            <w:tcW w:w="1140" w:type="dxa"/>
            <w:vAlign w:val="bottom"/>
          </w:tcPr>
          <w:p>
            <w:pPr>
              <w:ind w:left="740"/>
              <w:spacing w:after="0" w:line="121" w:lineRule="exact"/>
              <w:rPr>
                <w:sz w:val="20"/>
                <w:szCs w:val="20"/>
                <w:color w:val="auto"/>
              </w:rPr>
            </w:pPr>
            <w:r>
              <w:rPr>
                <w:rFonts w:ascii="Times New Roman" w:cs="Times New Roman" w:eastAsia="Times New Roman" w:hAnsi="Times New Roman"/>
                <w:sz w:val="12"/>
                <w:szCs w:val="12"/>
                <w:color w:val="auto"/>
              </w:rPr>
              <w:t>RMB</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tcPr>
          <w:p>
            <w:pPr>
              <w:jc w:val="right"/>
              <w:ind w:right="702"/>
              <w:spacing w:after="0" w:line="121" w:lineRule="exact"/>
              <w:rPr>
                <w:sz w:val="20"/>
                <w:szCs w:val="20"/>
                <w:color w:val="auto"/>
              </w:rPr>
            </w:pPr>
            <w:r>
              <w:rPr>
                <w:rFonts w:ascii="Times New Roman" w:cs="Times New Roman" w:eastAsia="Times New Roman" w:hAnsi="Times New Roman"/>
                <w:sz w:val="12"/>
                <w:szCs w:val="12"/>
                <w:color w:val="auto"/>
              </w:rPr>
              <w:t>RMB</w:t>
            </w:r>
          </w:p>
        </w:tc>
        <w:tc>
          <w:tcPr>
            <w:tcW w:w="220" w:type="dxa"/>
            <w:vAlign w:val="bottom"/>
          </w:tcPr>
          <w:p>
            <w:pPr>
              <w:spacing w:after="0"/>
              <w:rPr>
                <w:sz w:val="10"/>
                <w:szCs w:val="10"/>
                <w:color w:val="auto"/>
              </w:rPr>
            </w:pPr>
          </w:p>
        </w:tc>
        <w:tc>
          <w:tcPr>
            <w:tcW w:w="18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rPr>
              <w:t>US$</w:t>
            </w:r>
          </w:p>
        </w:tc>
        <w:tc>
          <w:tcPr>
            <w:tcW w:w="100" w:type="dxa"/>
            <w:vAlign w:val="bottom"/>
          </w:tcPr>
          <w:p>
            <w:pPr>
              <w:spacing w:after="0"/>
              <w:rPr>
                <w:sz w:val="10"/>
                <w:szCs w:val="10"/>
                <w:color w:val="auto"/>
              </w:rPr>
            </w:pPr>
          </w:p>
        </w:tc>
      </w:tr>
      <w:tr>
        <w:trPr>
          <w:trHeight w:val="143"/>
        </w:trPr>
        <w:tc>
          <w:tcPr>
            <w:tcW w:w="5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4"/>
              </w:rPr>
              <w:t>(Note 2)</w:t>
            </w:r>
          </w:p>
        </w:tc>
      </w:tr>
      <w:tr>
        <w:trPr>
          <w:trHeight w:val="135"/>
        </w:trPr>
        <w:tc>
          <w:tcPr>
            <w:tcW w:w="63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ASSETS</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3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Current assets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380" w:type="dxa"/>
            <w:vAlign w:val="bottom"/>
            <w:gridSpan w:val="2"/>
            <w:shd w:val="clear" w:color="auto" w:fill="CFF0FC"/>
          </w:tcPr>
          <w:p>
            <w:pPr>
              <w:ind w:left="80"/>
              <w:spacing w:after="0" w:line="135" w:lineRule="exact"/>
              <w:rPr>
                <w:sz w:val="20"/>
                <w:szCs w:val="20"/>
                <w:color w:val="auto"/>
              </w:rPr>
            </w:pPr>
            <w:r>
              <w:rPr>
                <w:rFonts w:ascii="Times New Roman" w:cs="Times New Roman" w:eastAsia="Times New Roman" w:hAnsi="Times New Roman"/>
                <w:sz w:val="12"/>
                <w:szCs w:val="12"/>
                <w:color w:val="auto"/>
              </w:rPr>
              <w:t>Cash and cash equivalents</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507,229</w:t>
            </w: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575,740</w:t>
            </w: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82,330</w:t>
            </w:r>
          </w:p>
        </w:tc>
        <w:tc>
          <w:tcPr>
            <w:tcW w:w="100" w:type="dxa"/>
            <w:vAlign w:val="bottom"/>
            <w:shd w:val="clear" w:color="auto" w:fill="CFF0FC"/>
          </w:tcPr>
          <w:p>
            <w:pPr>
              <w:spacing w:after="0"/>
              <w:rPr>
                <w:sz w:val="11"/>
                <w:szCs w:val="11"/>
                <w:color w:val="auto"/>
              </w:rPr>
            </w:pPr>
          </w:p>
        </w:tc>
      </w:tr>
      <w:tr>
        <w:trPr>
          <w:trHeight w:val="135"/>
        </w:trPr>
        <w:tc>
          <w:tcPr>
            <w:tcW w:w="63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auto"/>
              </w:rPr>
              <w:t>Restricted cash</w:t>
            </w:r>
          </w:p>
        </w:tc>
        <w:tc>
          <w:tcPr>
            <w:tcW w:w="8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1,023</w:t>
            </w:r>
          </w:p>
        </w:tc>
        <w:tc>
          <w:tcPr>
            <w:tcW w:w="220" w:type="dxa"/>
            <w:vAlign w:val="bottom"/>
          </w:tcPr>
          <w:p>
            <w:pPr>
              <w:spacing w:after="0"/>
              <w:rPr>
                <w:sz w:val="11"/>
                <w:szCs w:val="11"/>
                <w:color w:val="auto"/>
              </w:rPr>
            </w:pPr>
          </w:p>
        </w:tc>
        <w:tc>
          <w:tcPr>
            <w:tcW w:w="1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146</w:t>
            </w:r>
          </w:p>
        </w:tc>
        <w:tc>
          <w:tcPr>
            <w:tcW w:w="100" w:type="dxa"/>
            <w:vAlign w:val="bottom"/>
          </w:tcPr>
          <w:p>
            <w:pPr>
              <w:spacing w:after="0"/>
              <w:rPr>
                <w:sz w:val="11"/>
                <w:szCs w:val="11"/>
                <w:color w:val="auto"/>
              </w:rPr>
            </w:pPr>
          </w:p>
        </w:tc>
      </w:tr>
      <w:tr>
        <w:trPr>
          <w:trHeight w:val="135"/>
        </w:trPr>
        <w:tc>
          <w:tcPr>
            <w:tcW w:w="6380" w:type="dxa"/>
            <w:vAlign w:val="bottom"/>
            <w:gridSpan w:val="2"/>
            <w:shd w:val="clear" w:color="auto" w:fill="CFF0FC"/>
          </w:tcPr>
          <w:p>
            <w:pPr>
              <w:ind w:left="80"/>
              <w:spacing w:after="0" w:line="135" w:lineRule="exact"/>
              <w:rPr>
                <w:sz w:val="20"/>
                <w:szCs w:val="20"/>
                <w:color w:val="auto"/>
              </w:rPr>
            </w:pPr>
            <w:r>
              <w:rPr>
                <w:rFonts w:ascii="Times New Roman" w:cs="Times New Roman" w:eastAsia="Times New Roman" w:hAnsi="Times New Roman"/>
                <w:sz w:val="12"/>
                <w:szCs w:val="12"/>
                <w:color w:val="auto"/>
              </w:rPr>
              <w:t>Short-term investments</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276,029</w:t>
            </w: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235,937</w:t>
            </w: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33,739</w:t>
            </w:r>
          </w:p>
        </w:tc>
        <w:tc>
          <w:tcPr>
            <w:tcW w:w="100" w:type="dxa"/>
            <w:vAlign w:val="bottom"/>
            <w:shd w:val="clear" w:color="auto" w:fill="CFF0FC"/>
          </w:tcPr>
          <w:p>
            <w:pPr>
              <w:spacing w:after="0"/>
              <w:rPr>
                <w:sz w:val="11"/>
                <w:szCs w:val="11"/>
                <w:color w:val="auto"/>
              </w:rPr>
            </w:pPr>
          </w:p>
        </w:tc>
      </w:tr>
      <w:tr>
        <w:trPr>
          <w:trHeight w:val="135"/>
        </w:trPr>
        <w:tc>
          <w:tcPr>
            <w:tcW w:w="63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96,916</w:t>
            </w:r>
          </w:p>
        </w:tc>
        <w:tc>
          <w:tcPr>
            <w:tcW w:w="220" w:type="dxa"/>
            <w:vAlign w:val="bottom"/>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82,566</w:t>
            </w:r>
          </w:p>
        </w:tc>
        <w:tc>
          <w:tcPr>
            <w:tcW w:w="220" w:type="dxa"/>
            <w:vAlign w:val="bottom"/>
          </w:tcPr>
          <w:p>
            <w:pPr>
              <w:spacing w:after="0"/>
              <w:rPr>
                <w:sz w:val="11"/>
                <w:szCs w:val="11"/>
                <w:color w:val="auto"/>
              </w:rPr>
            </w:pPr>
          </w:p>
        </w:tc>
        <w:tc>
          <w:tcPr>
            <w:tcW w:w="1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11,807</w:t>
            </w:r>
          </w:p>
        </w:tc>
        <w:tc>
          <w:tcPr>
            <w:tcW w:w="100" w:type="dxa"/>
            <w:vAlign w:val="bottom"/>
          </w:tcPr>
          <w:p>
            <w:pPr>
              <w:spacing w:after="0"/>
              <w:rPr>
                <w:sz w:val="11"/>
                <w:szCs w:val="11"/>
                <w:color w:val="auto"/>
              </w:rPr>
            </w:pPr>
          </w:p>
        </w:tc>
      </w:tr>
      <w:tr>
        <w:trPr>
          <w:trHeight w:val="135"/>
        </w:trPr>
        <w:tc>
          <w:tcPr>
            <w:tcW w:w="5240" w:type="dxa"/>
            <w:vAlign w:val="bottom"/>
            <w:tcBorders>
              <w:bottom w:val="single" w:sz="8" w:color="CFF0FC"/>
            </w:tcBorders>
            <w:shd w:val="clear" w:color="auto" w:fill="CFF0FC"/>
          </w:tcPr>
          <w:p>
            <w:pPr>
              <w:ind w:left="80"/>
              <w:spacing w:after="0" w:line="135" w:lineRule="exact"/>
              <w:rPr>
                <w:sz w:val="20"/>
                <w:szCs w:val="20"/>
                <w:color w:val="auto"/>
              </w:rPr>
            </w:pPr>
            <w:r>
              <w:rPr>
                <w:rFonts w:ascii="Times New Roman" w:cs="Times New Roman" w:eastAsia="Times New Roman" w:hAnsi="Times New Roman"/>
                <w:sz w:val="12"/>
                <w:szCs w:val="12"/>
                <w:color w:val="auto"/>
              </w:rPr>
              <w:t>Deferred costs, current</w:t>
            </w:r>
          </w:p>
        </w:tc>
        <w:tc>
          <w:tcPr>
            <w:tcW w:w="114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4,139</w:t>
            </w:r>
          </w:p>
        </w:tc>
        <w:tc>
          <w:tcPr>
            <w:tcW w:w="220" w:type="dxa"/>
            <w:vAlign w:val="bottom"/>
            <w:tcBorders>
              <w:bottom w:val="single" w:sz="8" w:color="CFF0FC"/>
            </w:tcBorders>
            <w:shd w:val="clear" w:color="auto" w:fill="CFF0FC"/>
          </w:tcPr>
          <w:p>
            <w:pPr>
              <w:spacing w:after="0"/>
              <w:rPr>
                <w:sz w:val="11"/>
                <w:szCs w:val="11"/>
                <w:color w:val="auto"/>
              </w:rPr>
            </w:pPr>
          </w:p>
        </w:tc>
        <w:tc>
          <w:tcPr>
            <w:tcW w:w="17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22,125</w:t>
            </w:r>
          </w:p>
        </w:tc>
        <w:tc>
          <w:tcPr>
            <w:tcW w:w="220" w:type="dxa"/>
            <w:vAlign w:val="bottom"/>
            <w:tcBorders>
              <w:bottom w:val="single" w:sz="8" w:color="CFF0FC"/>
            </w:tcBorders>
            <w:shd w:val="clear" w:color="auto" w:fill="CFF0FC"/>
          </w:tcPr>
          <w:p>
            <w:pPr>
              <w:spacing w:after="0"/>
              <w:rPr>
                <w:sz w:val="11"/>
                <w:szCs w:val="11"/>
                <w:color w:val="auto"/>
              </w:rPr>
            </w:pPr>
          </w:p>
        </w:tc>
        <w:tc>
          <w:tcPr>
            <w:tcW w:w="18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3,164</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524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Total current assets</w:t>
            </w:r>
          </w:p>
        </w:tc>
        <w:tc>
          <w:tcPr>
            <w:tcW w:w="1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884,313</w:t>
            </w:r>
          </w:p>
        </w:tc>
        <w:tc>
          <w:tcPr>
            <w:tcW w:w="220" w:type="dxa"/>
            <w:vAlign w:val="bottom"/>
          </w:tcPr>
          <w:p>
            <w:pPr>
              <w:spacing w:after="0"/>
              <w:rPr>
                <w:sz w:val="11"/>
                <w:szCs w:val="11"/>
                <w:color w:val="auto"/>
              </w:rPr>
            </w:pPr>
          </w:p>
        </w:tc>
        <w:tc>
          <w:tcPr>
            <w:tcW w:w="1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917,391</w:t>
            </w:r>
          </w:p>
        </w:tc>
        <w:tc>
          <w:tcPr>
            <w:tcW w:w="220" w:type="dxa"/>
            <w:vAlign w:val="bottom"/>
          </w:tcPr>
          <w:p>
            <w:pPr>
              <w:spacing w:after="0"/>
              <w:rPr>
                <w:sz w:val="11"/>
                <w:szCs w:val="11"/>
                <w:color w:val="auto"/>
              </w:rPr>
            </w:pPr>
          </w:p>
        </w:tc>
        <w:tc>
          <w:tcPr>
            <w:tcW w:w="1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131,186</w:t>
            </w:r>
          </w:p>
        </w:tc>
        <w:tc>
          <w:tcPr>
            <w:tcW w:w="100" w:type="dxa"/>
            <w:vAlign w:val="bottom"/>
          </w:tcPr>
          <w:p>
            <w:pPr>
              <w:spacing w:after="0"/>
              <w:rPr>
                <w:sz w:val="11"/>
                <w:szCs w:val="11"/>
                <w:color w:val="auto"/>
              </w:rPr>
            </w:pPr>
          </w:p>
        </w:tc>
      </w:tr>
      <w:tr>
        <w:trPr>
          <w:trHeight w:val="129"/>
        </w:trPr>
        <w:tc>
          <w:tcPr>
            <w:tcW w:w="638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Non-current assets</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3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auto"/>
              </w:rPr>
              <w:t>Property and equipment, net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758,215</w:t>
            </w:r>
          </w:p>
        </w:tc>
        <w:tc>
          <w:tcPr>
            <w:tcW w:w="220" w:type="dxa"/>
            <w:vAlign w:val="bottom"/>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662,178</w:t>
            </w:r>
          </w:p>
        </w:tc>
        <w:tc>
          <w:tcPr>
            <w:tcW w:w="220" w:type="dxa"/>
            <w:vAlign w:val="bottom"/>
          </w:tcPr>
          <w:p>
            <w:pPr>
              <w:spacing w:after="0"/>
              <w:rPr>
                <w:sz w:val="11"/>
                <w:szCs w:val="11"/>
                <w:color w:val="auto"/>
              </w:rPr>
            </w:pPr>
          </w:p>
        </w:tc>
        <w:tc>
          <w:tcPr>
            <w:tcW w:w="1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94,690</w:t>
            </w:r>
          </w:p>
        </w:tc>
        <w:tc>
          <w:tcPr>
            <w:tcW w:w="100" w:type="dxa"/>
            <w:vAlign w:val="bottom"/>
          </w:tcPr>
          <w:p>
            <w:pPr>
              <w:spacing w:after="0"/>
              <w:rPr>
                <w:sz w:val="11"/>
                <w:szCs w:val="11"/>
                <w:color w:val="auto"/>
              </w:rPr>
            </w:pPr>
          </w:p>
        </w:tc>
      </w:tr>
      <w:tr>
        <w:trPr>
          <w:trHeight w:val="135"/>
        </w:trPr>
        <w:tc>
          <w:tcPr>
            <w:tcW w:w="6380" w:type="dxa"/>
            <w:vAlign w:val="bottom"/>
            <w:gridSpan w:val="2"/>
            <w:shd w:val="clear" w:color="auto" w:fill="CFF0FC"/>
          </w:tcPr>
          <w:p>
            <w:pPr>
              <w:ind w:left="80"/>
              <w:spacing w:after="0" w:line="135" w:lineRule="exact"/>
              <w:rPr>
                <w:sz w:val="20"/>
                <w:szCs w:val="20"/>
                <w:color w:val="auto"/>
              </w:rPr>
            </w:pPr>
            <w:r>
              <w:rPr>
                <w:rFonts w:ascii="Times New Roman" w:cs="Times New Roman" w:eastAsia="Times New Roman" w:hAnsi="Times New Roman"/>
                <w:sz w:val="12"/>
                <w:szCs w:val="12"/>
                <w:color w:val="auto"/>
              </w:rPr>
              <w:t>Intangible assets, net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723</w:t>
            </w: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250</w:t>
            </w: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36</w:t>
            </w:r>
          </w:p>
        </w:tc>
        <w:tc>
          <w:tcPr>
            <w:tcW w:w="100" w:type="dxa"/>
            <w:vAlign w:val="bottom"/>
            <w:shd w:val="clear" w:color="auto" w:fill="CFF0FC"/>
          </w:tcPr>
          <w:p>
            <w:pPr>
              <w:spacing w:after="0"/>
              <w:rPr>
                <w:sz w:val="11"/>
                <w:szCs w:val="11"/>
                <w:color w:val="auto"/>
              </w:rPr>
            </w:pPr>
          </w:p>
        </w:tc>
      </w:tr>
      <w:tr>
        <w:trPr>
          <w:trHeight w:val="135"/>
        </w:trPr>
        <w:tc>
          <w:tcPr>
            <w:tcW w:w="63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auto"/>
              </w:rPr>
              <w:t>Right-of-use assets</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110,154</w:t>
            </w:r>
          </w:p>
        </w:tc>
        <w:tc>
          <w:tcPr>
            <w:tcW w:w="220" w:type="dxa"/>
            <w:vAlign w:val="bottom"/>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99,111</w:t>
            </w:r>
          </w:p>
        </w:tc>
        <w:tc>
          <w:tcPr>
            <w:tcW w:w="220" w:type="dxa"/>
            <w:vAlign w:val="bottom"/>
          </w:tcPr>
          <w:p>
            <w:pPr>
              <w:spacing w:after="0"/>
              <w:rPr>
                <w:sz w:val="11"/>
                <w:szCs w:val="11"/>
                <w:color w:val="auto"/>
              </w:rPr>
            </w:pPr>
          </w:p>
        </w:tc>
        <w:tc>
          <w:tcPr>
            <w:tcW w:w="1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14,173</w:t>
            </w:r>
          </w:p>
        </w:tc>
        <w:tc>
          <w:tcPr>
            <w:tcW w:w="100" w:type="dxa"/>
            <w:vAlign w:val="bottom"/>
          </w:tcPr>
          <w:p>
            <w:pPr>
              <w:spacing w:after="0"/>
              <w:rPr>
                <w:sz w:val="11"/>
                <w:szCs w:val="11"/>
                <w:color w:val="auto"/>
              </w:rPr>
            </w:pPr>
          </w:p>
        </w:tc>
      </w:tr>
      <w:tr>
        <w:trPr>
          <w:trHeight w:val="135"/>
        </w:trPr>
        <w:tc>
          <w:tcPr>
            <w:tcW w:w="6380" w:type="dxa"/>
            <w:vAlign w:val="bottom"/>
            <w:gridSpan w:val="2"/>
            <w:shd w:val="clear" w:color="auto" w:fill="CFF0FC"/>
          </w:tcPr>
          <w:p>
            <w:pPr>
              <w:ind w:left="80"/>
              <w:spacing w:after="0" w:line="135" w:lineRule="exact"/>
              <w:rPr>
                <w:sz w:val="20"/>
                <w:szCs w:val="20"/>
                <w:color w:val="auto"/>
              </w:rPr>
            </w:pPr>
            <w:r>
              <w:rPr>
                <w:rFonts w:ascii="Times New Roman" w:cs="Times New Roman" w:eastAsia="Times New Roman" w:hAnsi="Times New Roman"/>
                <w:sz w:val="12"/>
                <w:szCs w:val="12"/>
                <w:color w:val="auto"/>
              </w:rPr>
              <w:t>Deferred costs, non-current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56,657</w:t>
            </w: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10,643</w:t>
            </w: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1,522</w:t>
            </w:r>
          </w:p>
        </w:tc>
        <w:tc>
          <w:tcPr>
            <w:tcW w:w="100" w:type="dxa"/>
            <w:vAlign w:val="bottom"/>
            <w:shd w:val="clear" w:color="auto" w:fill="CFF0FC"/>
          </w:tcPr>
          <w:p>
            <w:pPr>
              <w:spacing w:after="0"/>
              <w:rPr>
                <w:sz w:val="11"/>
                <w:szCs w:val="11"/>
                <w:color w:val="auto"/>
              </w:rPr>
            </w:pPr>
          </w:p>
        </w:tc>
      </w:tr>
      <w:tr>
        <w:trPr>
          <w:trHeight w:val="127"/>
        </w:trPr>
        <w:tc>
          <w:tcPr>
            <w:tcW w:w="638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Long-term investments (including available-for-sale investments of</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RMB189,422 and RMB193,148 as of December 31, 2024 and 2025, respectively)</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260,083</w:t>
            </w:r>
          </w:p>
        </w:tc>
        <w:tc>
          <w:tcPr>
            <w:tcW w:w="22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318,791</w:t>
            </w:r>
          </w:p>
        </w:tc>
        <w:tc>
          <w:tcPr>
            <w:tcW w:w="22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45,587</w:t>
            </w:r>
          </w:p>
        </w:tc>
        <w:tc>
          <w:tcPr>
            <w:tcW w:w="100" w:type="dxa"/>
            <w:vAlign w:val="bottom"/>
          </w:tcPr>
          <w:p>
            <w:pPr>
              <w:spacing w:after="0"/>
              <w:rPr>
                <w:sz w:val="12"/>
                <w:szCs w:val="12"/>
                <w:color w:val="auto"/>
              </w:rPr>
            </w:pPr>
          </w:p>
        </w:tc>
      </w:tr>
      <w:tr>
        <w:trPr>
          <w:trHeight w:val="135"/>
        </w:trPr>
        <w:tc>
          <w:tcPr>
            <w:tcW w:w="6380" w:type="dxa"/>
            <w:vAlign w:val="bottom"/>
            <w:gridSpan w:val="2"/>
            <w:shd w:val="clear" w:color="auto" w:fill="CFF0FC"/>
          </w:tcPr>
          <w:p>
            <w:pPr>
              <w:ind w:left="80"/>
              <w:spacing w:after="0" w:line="135" w:lineRule="exact"/>
              <w:rPr>
                <w:sz w:val="20"/>
                <w:szCs w:val="20"/>
                <w:color w:val="auto"/>
              </w:rPr>
            </w:pPr>
            <w:r>
              <w:rPr>
                <w:rFonts w:ascii="Times New Roman" w:cs="Times New Roman" w:eastAsia="Times New Roman" w:hAnsi="Times New Roman"/>
                <w:sz w:val="12"/>
                <w:szCs w:val="12"/>
                <w:color w:val="auto"/>
              </w:rPr>
              <w:t>Deferred tax assets</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24,699</w:t>
            </w: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19,104</w:t>
            </w: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2,732</w:t>
            </w:r>
          </w:p>
        </w:tc>
        <w:tc>
          <w:tcPr>
            <w:tcW w:w="100" w:type="dxa"/>
            <w:vAlign w:val="bottom"/>
            <w:shd w:val="clear" w:color="auto" w:fill="CFF0FC"/>
          </w:tcPr>
          <w:p>
            <w:pPr>
              <w:spacing w:after="0"/>
              <w:rPr>
                <w:sz w:val="11"/>
                <w:szCs w:val="11"/>
                <w:color w:val="auto"/>
              </w:rPr>
            </w:pPr>
          </w:p>
        </w:tc>
      </w:tr>
      <w:tr>
        <w:trPr>
          <w:trHeight w:val="135"/>
        </w:trPr>
        <w:tc>
          <w:tcPr>
            <w:tcW w:w="52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Other non-current assets</w:t>
            </w:r>
          </w:p>
        </w:tc>
        <w:tc>
          <w:tcPr>
            <w:tcW w:w="1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26,319</w:t>
            </w:r>
          </w:p>
        </w:tc>
        <w:tc>
          <w:tcPr>
            <w:tcW w:w="220" w:type="dxa"/>
            <w:vAlign w:val="bottom"/>
          </w:tcPr>
          <w:p>
            <w:pPr>
              <w:spacing w:after="0"/>
              <w:rPr>
                <w:sz w:val="11"/>
                <w:szCs w:val="11"/>
                <w:color w:val="auto"/>
              </w:rPr>
            </w:pPr>
          </w:p>
        </w:tc>
        <w:tc>
          <w:tcPr>
            <w:tcW w:w="1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19,750</w:t>
            </w:r>
          </w:p>
        </w:tc>
        <w:tc>
          <w:tcPr>
            <w:tcW w:w="220" w:type="dxa"/>
            <w:vAlign w:val="bottom"/>
          </w:tcPr>
          <w:p>
            <w:pPr>
              <w:spacing w:after="0"/>
              <w:rPr>
                <w:sz w:val="11"/>
                <w:szCs w:val="11"/>
                <w:color w:val="auto"/>
              </w:rPr>
            </w:pPr>
          </w:p>
        </w:tc>
        <w:tc>
          <w:tcPr>
            <w:tcW w:w="1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2,824</w:t>
            </w:r>
          </w:p>
        </w:tc>
        <w:tc>
          <w:tcPr>
            <w:tcW w:w="100" w:type="dxa"/>
            <w:vAlign w:val="bottom"/>
          </w:tcPr>
          <w:p>
            <w:pPr>
              <w:spacing w:after="0"/>
              <w:rPr>
                <w:sz w:val="11"/>
                <w:szCs w:val="11"/>
                <w:color w:val="auto"/>
              </w:rPr>
            </w:pPr>
          </w:p>
        </w:tc>
      </w:tr>
      <w:tr>
        <w:trPr>
          <w:trHeight w:val="128"/>
        </w:trPr>
        <w:tc>
          <w:tcPr>
            <w:tcW w:w="52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Total non-current assets</w:t>
            </w:r>
          </w:p>
        </w:tc>
        <w:tc>
          <w:tcPr>
            <w:tcW w:w="114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1,236,850</w:t>
            </w:r>
          </w:p>
        </w:tc>
        <w:tc>
          <w:tcPr>
            <w:tcW w:w="220" w:type="dxa"/>
            <w:vAlign w:val="bottom"/>
            <w:tcBorders>
              <w:bottom w:val="single" w:sz="8" w:color="CFF0FC"/>
            </w:tcBorders>
            <w:shd w:val="clear" w:color="auto" w:fill="CFF0FC"/>
          </w:tcPr>
          <w:p>
            <w:pPr>
              <w:spacing w:after="0"/>
              <w:rPr>
                <w:sz w:val="11"/>
                <w:szCs w:val="11"/>
                <w:color w:val="auto"/>
              </w:rPr>
            </w:pPr>
          </w:p>
        </w:tc>
        <w:tc>
          <w:tcPr>
            <w:tcW w:w="17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1,129,827</w:t>
            </w:r>
          </w:p>
        </w:tc>
        <w:tc>
          <w:tcPr>
            <w:tcW w:w="220" w:type="dxa"/>
            <w:vAlign w:val="bottom"/>
            <w:tcBorders>
              <w:bottom w:val="single" w:sz="8" w:color="CFF0FC"/>
            </w:tcBorders>
            <w:shd w:val="clear" w:color="auto" w:fill="CFF0FC"/>
          </w:tcPr>
          <w:p>
            <w:pPr>
              <w:spacing w:after="0"/>
              <w:rPr>
                <w:sz w:val="11"/>
                <w:szCs w:val="11"/>
                <w:color w:val="auto"/>
              </w:rPr>
            </w:pPr>
          </w:p>
        </w:tc>
        <w:tc>
          <w:tcPr>
            <w:tcW w:w="18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161,564</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524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TOTAL ASSETS</w:t>
            </w:r>
          </w:p>
        </w:tc>
        <w:tc>
          <w:tcPr>
            <w:tcW w:w="1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2,121,163</w:t>
            </w:r>
          </w:p>
        </w:tc>
        <w:tc>
          <w:tcPr>
            <w:tcW w:w="220" w:type="dxa"/>
            <w:vAlign w:val="bottom"/>
          </w:tcPr>
          <w:p>
            <w:pPr>
              <w:spacing w:after="0"/>
              <w:rPr>
                <w:sz w:val="11"/>
                <w:szCs w:val="11"/>
                <w:color w:val="auto"/>
              </w:rPr>
            </w:pPr>
          </w:p>
        </w:tc>
        <w:tc>
          <w:tcPr>
            <w:tcW w:w="1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2,047,218</w:t>
            </w:r>
          </w:p>
        </w:tc>
        <w:tc>
          <w:tcPr>
            <w:tcW w:w="220" w:type="dxa"/>
            <w:vAlign w:val="bottom"/>
          </w:tcPr>
          <w:p>
            <w:pPr>
              <w:spacing w:after="0"/>
              <w:rPr>
                <w:sz w:val="11"/>
                <w:szCs w:val="11"/>
                <w:color w:val="auto"/>
              </w:rPr>
            </w:pPr>
          </w:p>
        </w:tc>
        <w:tc>
          <w:tcPr>
            <w:tcW w:w="1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292,750</w:t>
            </w:r>
          </w:p>
        </w:tc>
        <w:tc>
          <w:tcPr>
            <w:tcW w:w="100" w:type="dxa"/>
            <w:vAlign w:val="bottom"/>
          </w:tcPr>
          <w:p>
            <w:pPr>
              <w:spacing w:after="0"/>
              <w:rPr>
                <w:sz w:val="11"/>
                <w:szCs w:val="11"/>
                <w:color w:val="auto"/>
              </w:rPr>
            </w:pPr>
          </w:p>
        </w:tc>
      </w:tr>
      <w:tr>
        <w:trPr>
          <w:trHeight w:val="128"/>
        </w:trPr>
        <w:tc>
          <w:tcPr>
            <w:tcW w:w="638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LIABILITIES AND SHAREHOLDERS’ EQUITY</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3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LIABILITIES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3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Current liabilities</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638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Accrued expenses and other current liabilities (including accrued expenses and</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3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2"/>
                <w:szCs w:val="12"/>
                <w:color w:val="auto"/>
              </w:rPr>
              <w:t>other current liabilities of the consolidated VIEs without recourse to Sunlands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3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2"/>
                <w:szCs w:val="12"/>
                <w:color w:val="auto"/>
              </w:rPr>
              <w:t>Technology Group of RMB228,825 and RMB102,424 as of December 31,</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2024 and 2025, respectively)</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404,865</w:t>
            </w:r>
          </w:p>
        </w:tc>
        <w:tc>
          <w:tcPr>
            <w:tcW w:w="22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366,011</w:t>
            </w:r>
          </w:p>
        </w:tc>
        <w:tc>
          <w:tcPr>
            <w:tcW w:w="22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52,342</w:t>
            </w:r>
          </w:p>
        </w:tc>
        <w:tc>
          <w:tcPr>
            <w:tcW w:w="100" w:type="dxa"/>
            <w:vAlign w:val="bottom"/>
          </w:tcPr>
          <w:p>
            <w:pPr>
              <w:spacing w:after="0"/>
              <w:rPr>
                <w:sz w:val="12"/>
                <w:szCs w:val="12"/>
                <w:color w:val="auto"/>
              </w:rPr>
            </w:pPr>
          </w:p>
        </w:tc>
      </w:tr>
      <w:tr>
        <w:trPr>
          <w:trHeight w:val="127"/>
        </w:trPr>
        <w:tc>
          <w:tcPr>
            <w:tcW w:w="6380" w:type="dxa"/>
            <w:vAlign w:val="bottom"/>
            <w:gridSpan w:val="2"/>
            <w:shd w:val="clear" w:color="auto" w:fill="CFF0FC"/>
          </w:tcPr>
          <w:p>
            <w:pPr>
              <w:ind w:left="80"/>
              <w:spacing w:after="0" w:line="127" w:lineRule="exact"/>
              <w:rPr>
                <w:sz w:val="20"/>
                <w:szCs w:val="20"/>
                <w:color w:val="auto"/>
              </w:rPr>
            </w:pPr>
            <w:r>
              <w:rPr>
                <w:rFonts w:ascii="Times New Roman" w:cs="Times New Roman" w:eastAsia="Times New Roman" w:hAnsi="Times New Roman"/>
                <w:sz w:val="12"/>
                <w:szCs w:val="12"/>
                <w:color w:val="auto"/>
              </w:rPr>
              <w:t>Deferred revenue, current (including deferred revenue, current of the consolidated</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380" w:type="dxa"/>
            <w:vAlign w:val="bottom"/>
            <w:gridSpan w:val="2"/>
            <w:shd w:val="clear" w:color="auto" w:fill="CFF0FC"/>
          </w:tcPr>
          <w:p>
            <w:pPr>
              <w:ind w:left="180"/>
              <w:spacing w:after="0" w:line="135" w:lineRule="exact"/>
              <w:rPr>
                <w:sz w:val="20"/>
                <w:szCs w:val="20"/>
                <w:color w:val="auto"/>
              </w:rPr>
            </w:pPr>
            <w:r>
              <w:rPr>
                <w:rFonts w:ascii="Times New Roman" w:cs="Times New Roman" w:eastAsia="Times New Roman" w:hAnsi="Times New Roman"/>
                <w:sz w:val="12"/>
                <w:szCs w:val="12"/>
                <w:color w:val="auto"/>
              </w:rPr>
              <w:t>VIEs without recourse to Sunlands Technology Group of RMB281,776 and</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3"/>
        </w:trPr>
        <w:tc>
          <w:tcPr>
            <w:tcW w:w="6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RMB92,472 as of December 31, 2024 and 2025, respectively)</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382,047</w:t>
            </w:r>
          </w:p>
        </w:tc>
        <w:tc>
          <w:tcPr>
            <w:tcW w:w="22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384,334</w:t>
            </w: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54,959</w:t>
            </w:r>
          </w:p>
        </w:tc>
        <w:tc>
          <w:tcPr>
            <w:tcW w:w="100" w:type="dxa"/>
            <w:vAlign w:val="bottom"/>
            <w:shd w:val="clear" w:color="auto" w:fill="CFF0FC"/>
          </w:tcPr>
          <w:p>
            <w:pPr>
              <w:spacing w:after="0"/>
              <w:rPr>
                <w:sz w:val="12"/>
                <w:szCs w:val="12"/>
                <w:color w:val="auto"/>
              </w:rPr>
            </w:pPr>
          </w:p>
        </w:tc>
      </w:tr>
      <w:tr>
        <w:trPr>
          <w:trHeight w:val="127"/>
        </w:trPr>
        <w:tc>
          <w:tcPr>
            <w:tcW w:w="638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Lease liabilities, current (including lease liabilities, current of the consolidated</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3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2"/>
                <w:szCs w:val="12"/>
                <w:color w:val="auto"/>
              </w:rPr>
              <w:t>VIEs without recourse to Sunlands Technology Group of RMB7,780 and</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RMB354 as of December 31, 2024 and 2025, respectively)</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8,317</w:t>
            </w:r>
          </w:p>
        </w:tc>
        <w:tc>
          <w:tcPr>
            <w:tcW w:w="22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9,104</w:t>
            </w:r>
          </w:p>
        </w:tc>
        <w:tc>
          <w:tcPr>
            <w:tcW w:w="22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1,302</w:t>
            </w:r>
          </w:p>
        </w:tc>
        <w:tc>
          <w:tcPr>
            <w:tcW w:w="100" w:type="dxa"/>
            <w:vAlign w:val="bottom"/>
          </w:tcPr>
          <w:p>
            <w:pPr>
              <w:spacing w:after="0"/>
              <w:rPr>
                <w:sz w:val="12"/>
                <w:szCs w:val="12"/>
                <w:color w:val="auto"/>
              </w:rPr>
            </w:pPr>
          </w:p>
        </w:tc>
      </w:tr>
      <w:tr>
        <w:trPr>
          <w:trHeight w:val="135"/>
        </w:trPr>
        <w:tc>
          <w:tcPr>
            <w:tcW w:w="5240" w:type="dxa"/>
            <w:vAlign w:val="bottom"/>
            <w:tcBorders>
              <w:bottom w:val="single" w:sz="8" w:color="CFF0FC"/>
            </w:tcBorders>
            <w:shd w:val="clear" w:color="auto" w:fill="CFF0FC"/>
          </w:tcPr>
          <w:p>
            <w:pPr>
              <w:ind w:left="80"/>
              <w:spacing w:after="0" w:line="135" w:lineRule="exact"/>
              <w:rPr>
                <w:sz w:val="20"/>
                <w:szCs w:val="20"/>
                <w:color w:val="auto"/>
              </w:rPr>
            </w:pPr>
            <w:r>
              <w:rPr>
                <w:rFonts w:ascii="Times New Roman" w:cs="Times New Roman" w:eastAsia="Times New Roman" w:hAnsi="Times New Roman"/>
                <w:sz w:val="12"/>
                <w:szCs w:val="12"/>
                <w:color w:val="auto"/>
              </w:rPr>
              <w:t>Long-term debt, current portion</w:t>
            </w:r>
          </w:p>
        </w:tc>
        <w:tc>
          <w:tcPr>
            <w:tcW w:w="114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6,154</w:t>
            </w:r>
          </w:p>
        </w:tc>
        <w:tc>
          <w:tcPr>
            <w:tcW w:w="220" w:type="dxa"/>
            <w:vAlign w:val="bottom"/>
            <w:tcBorders>
              <w:bottom w:val="single" w:sz="8" w:color="CFF0FC"/>
            </w:tcBorders>
            <w:shd w:val="clear" w:color="auto" w:fill="CFF0FC"/>
          </w:tcPr>
          <w:p>
            <w:pPr>
              <w:spacing w:after="0"/>
              <w:rPr>
                <w:sz w:val="11"/>
                <w:szCs w:val="11"/>
                <w:color w:val="auto"/>
              </w:rPr>
            </w:pPr>
          </w:p>
        </w:tc>
        <w:tc>
          <w:tcPr>
            <w:tcW w:w="17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8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524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Total current liabilities</w:t>
            </w:r>
          </w:p>
        </w:tc>
        <w:tc>
          <w:tcPr>
            <w:tcW w:w="1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801,383</w:t>
            </w:r>
          </w:p>
        </w:tc>
        <w:tc>
          <w:tcPr>
            <w:tcW w:w="220" w:type="dxa"/>
            <w:vAlign w:val="bottom"/>
          </w:tcPr>
          <w:p>
            <w:pPr>
              <w:spacing w:after="0"/>
              <w:rPr>
                <w:sz w:val="11"/>
                <w:szCs w:val="11"/>
                <w:color w:val="auto"/>
              </w:rPr>
            </w:pPr>
          </w:p>
        </w:tc>
        <w:tc>
          <w:tcPr>
            <w:tcW w:w="1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759,449</w:t>
            </w:r>
          </w:p>
        </w:tc>
        <w:tc>
          <w:tcPr>
            <w:tcW w:w="220" w:type="dxa"/>
            <w:vAlign w:val="bottom"/>
          </w:tcPr>
          <w:p>
            <w:pPr>
              <w:spacing w:after="0"/>
              <w:rPr>
                <w:sz w:val="11"/>
                <w:szCs w:val="11"/>
                <w:color w:val="auto"/>
              </w:rPr>
            </w:pPr>
          </w:p>
        </w:tc>
        <w:tc>
          <w:tcPr>
            <w:tcW w:w="1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108,603</w:t>
            </w:r>
          </w:p>
        </w:tc>
        <w:tc>
          <w:tcPr>
            <w:tcW w:w="100" w:type="dxa"/>
            <w:vAlign w:val="bottom"/>
          </w:tcPr>
          <w:p>
            <w:pPr>
              <w:spacing w:after="0"/>
              <w:rPr>
                <w:sz w:val="11"/>
                <w:szCs w:val="11"/>
                <w:color w:val="auto"/>
              </w:rPr>
            </w:pPr>
          </w:p>
        </w:tc>
      </w:tr>
      <w:tr>
        <w:trPr>
          <w:trHeight w:val="129"/>
        </w:trPr>
        <w:tc>
          <w:tcPr>
            <w:tcW w:w="638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Non-current liabilities</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27"/>
        </w:trPr>
        <w:tc>
          <w:tcPr>
            <w:tcW w:w="638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Deferred revenue, non-current (including deferred revenue, non-current of the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3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2"/>
                <w:szCs w:val="12"/>
                <w:color w:val="auto"/>
              </w:rPr>
              <w:t>consolidated VIEs without recourse to Sunlands Technology Group of</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RMB107,441 and RMB8,917 as of December 31, 2024 and 2025, respectively)</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534,463</w:t>
            </w:r>
          </w:p>
        </w:tc>
        <w:tc>
          <w:tcPr>
            <w:tcW w:w="22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200,960</w:t>
            </w:r>
          </w:p>
        </w:tc>
        <w:tc>
          <w:tcPr>
            <w:tcW w:w="22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28,737</w:t>
            </w:r>
          </w:p>
        </w:tc>
        <w:tc>
          <w:tcPr>
            <w:tcW w:w="100" w:type="dxa"/>
            <w:vAlign w:val="bottom"/>
          </w:tcPr>
          <w:p>
            <w:pPr>
              <w:spacing w:after="0"/>
              <w:rPr>
                <w:sz w:val="12"/>
                <w:szCs w:val="12"/>
                <w:color w:val="auto"/>
              </w:rPr>
            </w:pPr>
          </w:p>
        </w:tc>
      </w:tr>
      <w:tr>
        <w:trPr>
          <w:trHeight w:val="127"/>
        </w:trPr>
        <w:tc>
          <w:tcPr>
            <w:tcW w:w="6380" w:type="dxa"/>
            <w:vAlign w:val="bottom"/>
            <w:gridSpan w:val="2"/>
            <w:shd w:val="clear" w:color="auto" w:fill="CFF0FC"/>
          </w:tcPr>
          <w:p>
            <w:pPr>
              <w:ind w:left="80"/>
              <w:spacing w:after="0" w:line="127" w:lineRule="exact"/>
              <w:rPr>
                <w:sz w:val="20"/>
                <w:szCs w:val="20"/>
                <w:color w:val="auto"/>
              </w:rPr>
            </w:pPr>
            <w:r>
              <w:rPr>
                <w:rFonts w:ascii="Times New Roman" w:cs="Times New Roman" w:eastAsia="Times New Roman" w:hAnsi="Times New Roman"/>
                <w:sz w:val="12"/>
                <w:szCs w:val="12"/>
                <w:color w:val="auto"/>
              </w:rPr>
              <w:t>Lease liabilities, non-current (including lease liabilities, non-current of the</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380" w:type="dxa"/>
            <w:vAlign w:val="bottom"/>
            <w:gridSpan w:val="2"/>
            <w:shd w:val="clear" w:color="auto" w:fill="CFF0FC"/>
          </w:tcPr>
          <w:p>
            <w:pPr>
              <w:ind w:left="180"/>
              <w:spacing w:after="0" w:line="135" w:lineRule="exact"/>
              <w:rPr>
                <w:sz w:val="20"/>
                <w:szCs w:val="20"/>
                <w:color w:val="auto"/>
              </w:rPr>
            </w:pPr>
            <w:r>
              <w:rPr>
                <w:rFonts w:ascii="Times New Roman" w:cs="Times New Roman" w:eastAsia="Times New Roman" w:hAnsi="Times New Roman"/>
                <w:sz w:val="12"/>
                <w:szCs w:val="12"/>
                <w:color w:val="auto"/>
              </w:rPr>
              <w:t>consolidated VIEs without recourse to Sunlands Technology Group of</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3"/>
        </w:trPr>
        <w:tc>
          <w:tcPr>
            <w:tcW w:w="6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RMB133,994 and RMB1,085 as of December 31, 2024 and 2025, respectively)</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137,040</w:t>
            </w:r>
          </w:p>
        </w:tc>
        <w:tc>
          <w:tcPr>
            <w:tcW w:w="22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129,564</w:t>
            </w: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18,527</w:t>
            </w:r>
          </w:p>
        </w:tc>
        <w:tc>
          <w:tcPr>
            <w:tcW w:w="100" w:type="dxa"/>
            <w:vAlign w:val="bottom"/>
            <w:shd w:val="clear" w:color="auto" w:fill="CFF0FC"/>
          </w:tcPr>
          <w:p>
            <w:pPr>
              <w:spacing w:after="0"/>
              <w:rPr>
                <w:sz w:val="12"/>
                <w:szCs w:val="12"/>
                <w:color w:val="auto"/>
              </w:rPr>
            </w:pPr>
          </w:p>
        </w:tc>
      </w:tr>
      <w:tr>
        <w:trPr>
          <w:trHeight w:val="135"/>
        </w:trPr>
        <w:tc>
          <w:tcPr>
            <w:tcW w:w="63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auto"/>
              </w:rPr>
              <w:t>Deferred tax liabilities</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5,724</w:t>
            </w:r>
          </w:p>
        </w:tc>
        <w:tc>
          <w:tcPr>
            <w:tcW w:w="220" w:type="dxa"/>
            <w:vAlign w:val="bottom"/>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5,786</w:t>
            </w:r>
          </w:p>
        </w:tc>
        <w:tc>
          <w:tcPr>
            <w:tcW w:w="220" w:type="dxa"/>
            <w:vAlign w:val="bottom"/>
          </w:tcPr>
          <w:p>
            <w:pPr>
              <w:spacing w:after="0"/>
              <w:rPr>
                <w:sz w:val="11"/>
                <w:szCs w:val="11"/>
                <w:color w:val="auto"/>
              </w:rPr>
            </w:pPr>
          </w:p>
        </w:tc>
        <w:tc>
          <w:tcPr>
            <w:tcW w:w="1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827</w:t>
            </w:r>
          </w:p>
        </w:tc>
        <w:tc>
          <w:tcPr>
            <w:tcW w:w="100" w:type="dxa"/>
            <w:vAlign w:val="bottom"/>
          </w:tcPr>
          <w:p>
            <w:pPr>
              <w:spacing w:after="0"/>
              <w:rPr>
                <w:sz w:val="11"/>
                <w:szCs w:val="11"/>
                <w:color w:val="auto"/>
              </w:rPr>
            </w:pPr>
          </w:p>
        </w:tc>
      </w:tr>
      <w:tr>
        <w:trPr>
          <w:trHeight w:val="127"/>
        </w:trPr>
        <w:tc>
          <w:tcPr>
            <w:tcW w:w="6380" w:type="dxa"/>
            <w:vAlign w:val="bottom"/>
            <w:gridSpan w:val="2"/>
            <w:shd w:val="clear" w:color="auto" w:fill="CFF0FC"/>
          </w:tcPr>
          <w:p>
            <w:pPr>
              <w:ind w:left="80"/>
              <w:spacing w:after="0" w:line="127" w:lineRule="exact"/>
              <w:rPr>
                <w:sz w:val="20"/>
                <w:szCs w:val="20"/>
                <w:color w:val="auto"/>
              </w:rPr>
            </w:pPr>
            <w:r>
              <w:rPr>
                <w:rFonts w:ascii="Times New Roman" w:cs="Times New Roman" w:eastAsia="Times New Roman" w:hAnsi="Times New Roman"/>
                <w:sz w:val="12"/>
                <w:szCs w:val="12"/>
                <w:color w:val="auto"/>
              </w:rPr>
              <w:t>Other non-current liabilities (including other non-current liabilities of the consolidated</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380" w:type="dxa"/>
            <w:vAlign w:val="bottom"/>
            <w:gridSpan w:val="2"/>
            <w:shd w:val="clear" w:color="auto" w:fill="CFF0FC"/>
          </w:tcPr>
          <w:p>
            <w:pPr>
              <w:ind w:left="180"/>
              <w:spacing w:after="0" w:line="135" w:lineRule="exact"/>
              <w:rPr>
                <w:sz w:val="20"/>
                <w:szCs w:val="20"/>
                <w:color w:val="auto"/>
              </w:rPr>
            </w:pPr>
            <w:r>
              <w:rPr>
                <w:rFonts w:ascii="Times New Roman" w:cs="Times New Roman" w:eastAsia="Times New Roman" w:hAnsi="Times New Roman"/>
                <w:sz w:val="12"/>
                <w:szCs w:val="12"/>
                <w:color w:val="auto"/>
              </w:rPr>
              <w:t>VIEs without recourse to Sunlands Technology Group of RMB1,415 and RMB100</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3"/>
        </w:trPr>
        <w:tc>
          <w:tcPr>
            <w:tcW w:w="6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as of December 31, 2024 and 2025, respectively)</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7,309</w:t>
            </w:r>
          </w:p>
        </w:tc>
        <w:tc>
          <w:tcPr>
            <w:tcW w:w="22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7,392</w:t>
            </w:r>
          </w:p>
        </w:tc>
        <w:tc>
          <w:tcPr>
            <w:tcW w:w="22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1,057</w:t>
            </w:r>
          </w:p>
        </w:tc>
        <w:tc>
          <w:tcPr>
            <w:tcW w:w="100" w:type="dxa"/>
            <w:vAlign w:val="bottom"/>
            <w:shd w:val="clear" w:color="auto" w:fill="CFF0FC"/>
          </w:tcPr>
          <w:p>
            <w:pPr>
              <w:spacing w:after="0"/>
              <w:rPr>
                <w:sz w:val="12"/>
                <w:szCs w:val="12"/>
                <w:color w:val="auto"/>
              </w:rPr>
            </w:pPr>
          </w:p>
        </w:tc>
      </w:tr>
      <w:tr>
        <w:trPr>
          <w:trHeight w:val="135"/>
        </w:trPr>
        <w:tc>
          <w:tcPr>
            <w:tcW w:w="52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Long-term debt, non-current portion</w:t>
            </w:r>
          </w:p>
        </w:tc>
        <w:tc>
          <w:tcPr>
            <w:tcW w:w="1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35,386</w:t>
            </w:r>
          </w:p>
        </w:tc>
        <w:tc>
          <w:tcPr>
            <w:tcW w:w="220" w:type="dxa"/>
            <w:vAlign w:val="bottom"/>
          </w:tcPr>
          <w:p>
            <w:pPr>
              <w:spacing w:after="0"/>
              <w:rPr>
                <w:sz w:val="11"/>
                <w:szCs w:val="11"/>
                <w:color w:val="auto"/>
              </w:rPr>
            </w:pPr>
          </w:p>
        </w:tc>
        <w:tc>
          <w:tcPr>
            <w:tcW w:w="1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r>
      <w:tr>
        <w:trPr>
          <w:trHeight w:val="129"/>
        </w:trPr>
        <w:tc>
          <w:tcPr>
            <w:tcW w:w="52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Total non-current liabilities</w:t>
            </w:r>
          </w:p>
        </w:tc>
        <w:tc>
          <w:tcPr>
            <w:tcW w:w="114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719,922</w:t>
            </w:r>
          </w:p>
        </w:tc>
        <w:tc>
          <w:tcPr>
            <w:tcW w:w="220" w:type="dxa"/>
            <w:vAlign w:val="bottom"/>
            <w:tcBorders>
              <w:bottom w:val="single" w:sz="8" w:color="CFF0FC"/>
            </w:tcBorders>
            <w:shd w:val="clear" w:color="auto" w:fill="CFF0FC"/>
          </w:tcPr>
          <w:p>
            <w:pPr>
              <w:spacing w:after="0"/>
              <w:rPr>
                <w:sz w:val="11"/>
                <w:szCs w:val="11"/>
                <w:color w:val="auto"/>
              </w:rPr>
            </w:pPr>
          </w:p>
        </w:tc>
        <w:tc>
          <w:tcPr>
            <w:tcW w:w="17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343,702</w:t>
            </w:r>
          </w:p>
        </w:tc>
        <w:tc>
          <w:tcPr>
            <w:tcW w:w="220" w:type="dxa"/>
            <w:vAlign w:val="bottom"/>
            <w:tcBorders>
              <w:bottom w:val="single" w:sz="8" w:color="CFF0FC"/>
            </w:tcBorders>
            <w:shd w:val="clear" w:color="auto" w:fill="CFF0FC"/>
          </w:tcPr>
          <w:p>
            <w:pPr>
              <w:spacing w:after="0"/>
              <w:rPr>
                <w:sz w:val="11"/>
                <w:szCs w:val="11"/>
                <w:color w:val="auto"/>
              </w:rPr>
            </w:pPr>
          </w:p>
        </w:tc>
        <w:tc>
          <w:tcPr>
            <w:tcW w:w="18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49,148</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638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TOTAL LIABILITIES</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1,521,305</w:t>
            </w:r>
          </w:p>
        </w:tc>
        <w:tc>
          <w:tcPr>
            <w:tcW w:w="220" w:type="dxa"/>
            <w:vAlign w:val="bottom"/>
          </w:tcPr>
          <w:p>
            <w:pPr>
              <w:spacing w:after="0"/>
              <w:rPr>
                <w:sz w:val="11"/>
                <w:szCs w:val="11"/>
                <w:color w:val="auto"/>
              </w:rPr>
            </w:pPr>
          </w:p>
        </w:tc>
        <w:tc>
          <w:tcPr>
            <w:tcW w:w="17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1,103,151</w:t>
            </w:r>
          </w:p>
        </w:tc>
        <w:tc>
          <w:tcPr>
            <w:tcW w:w="220" w:type="dxa"/>
            <w:vAlign w:val="bottom"/>
          </w:tcPr>
          <w:p>
            <w:pPr>
              <w:spacing w:after="0"/>
              <w:rPr>
                <w:sz w:val="11"/>
                <w:szCs w:val="11"/>
                <w:color w:val="auto"/>
              </w:rPr>
            </w:pPr>
          </w:p>
        </w:tc>
        <w:tc>
          <w:tcPr>
            <w:tcW w:w="18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157,751</w:t>
            </w:r>
          </w:p>
        </w:tc>
        <w:tc>
          <w:tcPr>
            <w:tcW w:w="100" w:type="dxa"/>
            <w:vAlign w:val="bottom"/>
          </w:tcPr>
          <w:p>
            <w:pPr>
              <w:spacing w:after="0"/>
              <w:rPr>
                <w:sz w:val="11"/>
                <w:szCs w:val="11"/>
                <w:color w:val="auto"/>
              </w:rPr>
            </w:pPr>
          </w:p>
        </w:tc>
      </w:tr>
      <w:tr>
        <w:trPr>
          <w:trHeight w:val="129"/>
        </w:trPr>
        <w:tc>
          <w:tcPr>
            <w:tcW w:w="5240" w:type="dxa"/>
            <w:vAlign w:val="bottom"/>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3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COMMITMENTS AND CONTINGENCIES (Note 20)</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52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3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SHAREHOLDERS’ EQUITY</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7"/>
        </w:trPr>
        <w:tc>
          <w:tcPr>
            <w:tcW w:w="6380" w:type="dxa"/>
            <w:vAlign w:val="bottom"/>
            <w:gridSpan w:val="2"/>
            <w:shd w:val="clear" w:color="auto" w:fill="CFF0FC"/>
          </w:tcPr>
          <w:p>
            <w:pPr>
              <w:ind w:left="80"/>
              <w:spacing w:after="0" w:line="127" w:lineRule="exact"/>
              <w:rPr>
                <w:sz w:val="20"/>
                <w:szCs w:val="20"/>
                <w:color w:val="auto"/>
              </w:rPr>
            </w:pPr>
            <w:r>
              <w:rPr>
                <w:rFonts w:ascii="Times New Roman" w:cs="Times New Roman" w:eastAsia="Times New Roman" w:hAnsi="Times New Roman"/>
                <w:sz w:val="12"/>
                <w:szCs w:val="12"/>
                <w:color w:val="auto"/>
              </w:rPr>
              <w:t>Class A ordinary shares (par value of US$0.00005, 796,062,195 shares authorized;</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380" w:type="dxa"/>
            <w:vAlign w:val="bottom"/>
            <w:gridSpan w:val="2"/>
            <w:shd w:val="clear" w:color="auto" w:fill="CFF0FC"/>
          </w:tcPr>
          <w:p>
            <w:pPr>
              <w:ind w:left="180"/>
              <w:spacing w:after="0" w:line="135" w:lineRule="exact"/>
              <w:rPr>
                <w:sz w:val="20"/>
                <w:szCs w:val="20"/>
                <w:color w:val="auto"/>
              </w:rPr>
            </w:pPr>
            <w:r>
              <w:rPr>
                <w:rFonts w:ascii="Times New Roman" w:cs="Times New Roman" w:eastAsia="Times New Roman" w:hAnsi="Times New Roman"/>
                <w:sz w:val="12"/>
                <w:szCs w:val="12"/>
                <w:color w:val="auto"/>
              </w:rPr>
              <w:t>3,131,807 and 3,131,807 shares issued as of December 31, 2024 and 2025,</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380" w:type="dxa"/>
            <w:vAlign w:val="bottom"/>
            <w:gridSpan w:val="2"/>
            <w:shd w:val="clear" w:color="auto" w:fill="CFF0FC"/>
          </w:tcPr>
          <w:p>
            <w:pPr>
              <w:ind w:left="180"/>
              <w:spacing w:after="0" w:line="135" w:lineRule="exact"/>
              <w:rPr>
                <w:sz w:val="20"/>
                <w:szCs w:val="20"/>
                <w:color w:val="auto"/>
              </w:rPr>
            </w:pPr>
            <w:r>
              <w:rPr>
                <w:rFonts w:ascii="Times New Roman" w:cs="Times New Roman" w:eastAsia="Times New Roman" w:hAnsi="Times New Roman"/>
                <w:sz w:val="12"/>
                <w:szCs w:val="12"/>
                <w:color w:val="auto"/>
              </w:rPr>
              <w:t>respectively; 2,600,779 and 2,538,047 shares outstanding as of December 31,</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3"/>
        </w:trPr>
        <w:tc>
          <w:tcPr>
            <w:tcW w:w="6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2024 and 2025, respectively)</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27"/>
        </w:trPr>
        <w:tc>
          <w:tcPr>
            <w:tcW w:w="638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Class B ordinary shares (par value of US$0.00005, 826,389 shares authorized;</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3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2"/>
                <w:szCs w:val="12"/>
                <w:color w:val="auto"/>
              </w:rPr>
              <w:t>826,389 and 826,389 shares issued and outstanding as of December 31, 2024</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and 2025, respectively)</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27"/>
        </w:trPr>
        <w:tc>
          <w:tcPr>
            <w:tcW w:w="6380" w:type="dxa"/>
            <w:vAlign w:val="bottom"/>
            <w:gridSpan w:val="2"/>
            <w:shd w:val="clear" w:color="auto" w:fill="CFF0FC"/>
          </w:tcPr>
          <w:p>
            <w:pPr>
              <w:ind w:left="80"/>
              <w:spacing w:after="0" w:line="127" w:lineRule="exact"/>
              <w:rPr>
                <w:sz w:val="20"/>
                <w:szCs w:val="20"/>
                <w:color w:val="auto"/>
              </w:rPr>
            </w:pPr>
            <w:r>
              <w:rPr>
                <w:rFonts w:ascii="Times New Roman" w:cs="Times New Roman" w:eastAsia="Times New Roman" w:hAnsi="Times New Roman"/>
                <w:sz w:val="12"/>
                <w:szCs w:val="12"/>
                <w:color w:val="auto"/>
              </w:rPr>
              <w:t>Class C ordinary shares (par value of US$0.00005, 203,111,416 shares authorized;</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6380" w:type="dxa"/>
            <w:vAlign w:val="bottom"/>
            <w:gridSpan w:val="2"/>
            <w:shd w:val="clear" w:color="auto" w:fill="CFF0FC"/>
          </w:tcPr>
          <w:p>
            <w:pPr>
              <w:ind w:left="180"/>
              <w:spacing w:after="0" w:line="135" w:lineRule="exact"/>
              <w:rPr>
                <w:sz w:val="20"/>
                <w:szCs w:val="20"/>
                <w:color w:val="auto"/>
              </w:rPr>
            </w:pPr>
            <w:r>
              <w:rPr>
                <w:rFonts w:ascii="Times New Roman" w:cs="Times New Roman" w:eastAsia="Times New Roman" w:hAnsi="Times New Roman"/>
                <w:sz w:val="12"/>
                <w:szCs w:val="12"/>
                <w:color w:val="auto"/>
              </w:rPr>
              <w:t>3,332,062 and 3,332,062 shares issued and outstanding as of December 31,</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3"/>
        </w:trPr>
        <w:tc>
          <w:tcPr>
            <w:tcW w:w="6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2024 and 2025, respectively)</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5"/>
        </w:trPr>
        <w:tc>
          <w:tcPr>
            <w:tcW w:w="63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auto"/>
              </w:rPr>
              <w:t>Treasury stock</w:t>
            </w:r>
          </w:p>
        </w:tc>
        <w:tc>
          <w:tcPr>
            <w:tcW w:w="8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9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9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r>
      <w:tr>
        <w:trPr>
          <w:trHeight w:val="135"/>
        </w:trPr>
        <w:tc>
          <w:tcPr>
            <w:tcW w:w="6380" w:type="dxa"/>
            <w:vAlign w:val="bottom"/>
            <w:gridSpan w:val="2"/>
            <w:shd w:val="clear" w:color="auto" w:fill="CFF0FC"/>
          </w:tcPr>
          <w:p>
            <w:pPr>
              <w:ind w:left="80"/>
              <w:spacing w:after="0" w:line="135" w:lineRule="exact"/>
              <w:rPr>
                <w:sz w:val="20"/>
                <w:szCs w:val="20"/>
                <w:color w:val="auto"/>
              </w:rPr>
            </w:pPr>
            <w:r>
              <w:rPr>
                <w:rFonts w:ascii="Times New Roman" w:cs="Times New Roman" w:eastAsia="Times New Roman" w:hAnsi="Times New Roman"/>
                <w:sz w:val="12"/>
                <w:szCs w:val="12"/>
                <w:color w:val="auto"/>
              </w:rPr>
              <w:t>Additional paid-in capital</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2,294,381</w:t>
            </w: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2,287,553</w:t>
            </w: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327,116</w:t>
            </w:r>
          </w:p>
        </w:tc>
        <w:tc>
          <w:tcPr>
            <w:tcW w:w="100" w:type="dxa"/>
            <w:vAlign w:val="bottom"/>
            <w:shd w:val="clear" w:color="auto" w:fill="CFF0FC"/>
          </w:tcPr>
          <w:p>
            <w:pPr>
              <w:spacing w:after="0"/>
              <w:rPr>
                <w:sz w:val="11"/>
                <w:szCs w:val="11"/>
                <w:color w:val="auto"/>
              </w:rPr>
            </w:pPr>
          </w:p>
        </w:tc>
      </w:tr>
      <w:tr>
        <w:trPr>
          <w:trHeight w:val="135"/>
        </w:trPr>
        <w:tc>
          <w:tcPr>
            <w:tcW w:w="63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auto"/>
              </w:rPr>
              <w:t>Accumulated other comprehensive income</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136,164</w:t>
            </w:r>
          </w:p>
        </w:tc>
        <w:tc>
          <w:tcPr>
            <w:tcW w:w="220" w:type="dxa"/>
            <w:vAlign w:val="bottom"/>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121,570</w:t>
            </w:r>
          </w:p>
        </w:tc>
        <w:tc>
          <w:tcPr>
            <w:tcW w:w="220" w:type="dxa"/>
            <w:vAlign w:val="bottom"/>
          </w:tcPr>
          <w:p>
            <w:pPr>
              <w:spacing w:after="0"/>
              <w:rPr>
                <w:sz w:val="11"/>
                <w:szCs w:val="11"/>
                <w:color w:val="auto"/>
              </w:rPr>
            </w:pPr>
          </w:p>
        </w:tc>
        <w:tc>
          <w:tcPr>
            <w:tcW w:w="18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17,384</w:t>
            </w:r>
          </w:p>
        </w:tc>
        <w:tc>
          <w:tcPr>
            <w:tcW w:w="100" w:type="dxa"/>
            <w:vAlign w:val="bottom"/>
          </w:tcPr>
          <w:p>
            <w:pPr>
              <w:spacing w:after="0"/>
              <w:rPr>
                <w:sz w:val="11"/>
                <w:szCs w:val="11"/>
                <w:color w:val="auto"/>
              </w:rPr>
            </w:pPr>
          </w:p>
        </w:tc>
      </w:tr>
      <w:tr>
        <w:trPr>
          <w:trHeight w:val="135"/>
        </w:trPr>
        <w:tc>
          <w:tcPr>
            <w:tcW w:w="6380" w:type="dxa"/>
            <w:vAlign w:val="bottom"/>
            <w:gridSpan w:val="2"/>
            <w:shd w:val="clear" w:color="auto" w:fill="CFF0FC"/>
          </w:tcPr>
          <w:p>
            <w:pPr>
              <w:ind w:left="80"/>
              <w:spacing w:after="0" w:line="135" w:lineRule="exact"/>
              <w:rPr>
                <w:sz w:val="20"/>
                <w:szCs w:val="20"/>
                <w:color w:val="auto"/>
              </w:rPr>
            </w:pPr>
            <w:r>
              <w:rPr>
                <w:rFonts w:ascii="Times New Roman" w:cs="Times New Roman" w:eastAsia="Times New Roman" w:hAnsi="Times New Roman"/>
                <w:sz w:val="12"/>
                <w:szCs w:val="12"/>
                <w:color w:val="auto"/>
              </w:rPr>
              <w:t>Statutory reserves</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11,083</w:t>
            </w:r>
          </w:p>
        </w:tc>
        <w:tc>
          <w:tcPr>
            <w:tcW w:w="220" w:type="dxa"/>
            <w:vAlign w:val="bottom"/>
            <w:shd w:val="clear" w:color="auto" w:fill="CFF0FC"/>
          </w:tcPr>
          <w:p>
            <w:pPr>
              <w:spacing w:after="0"/>
              <w:rPr>
                <w:sz w:val="11"/>
                <w:szCs w:val="11"/>
                <w:color w:val="auto"/>
              </w:rPr>
            </w:pPr>
          </w:p>
        </w:tc>
        <w:tc>
          <w:tcPr>
            <w:tcW w:w="1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22,440</w:t>
            </w:r>
          </w:p>
        </w:tc>
        <w:tc>
          <w:tcPr>
            <w:tcW w:w="220" w:type="dxa"/>
            <w:vAlign w:val="bottom"/>
            <w:shd w:val="clear" w:color="auto" w:fill="CFF0FC"/>
          </w:tcPr>
          <w:p>
            <w:pPr>
              <w:spacing w:after="0"/>
              <w:rPr>
                <w:sz w:val="11"/>
                <w:szCs w:val="11"/>
                <w:color w:val="auto"/>
              </w:rPr>
            </w:pPr>
          </w:p>
        </w:tc>
        <w:tc>
          <w:tcPr>
            <w:tcW w:w="1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3,209</w:t>
            </w:r>
          </w:p>
        </w:tc>
        <w:tc>
          <w:tcPr>
            <w:tcW w:w="100" w:type="dxa"/>
            <w:vAlign w:val="bottom"/>
            <w:shd w:val="clear" w:color="auto" w:fill="CFF0FC"/>
          </w:tcPr>
          <w:p>
            <w:pPr>
              <w:spacing w:after="0"/>
              <w:rPr>
                <w:sz w:val="11"/>
                <w:szCs w:val="11"/>
                <w:color w:val="auto"/>
              </w:rPr>
            </w:pPr>
          </w:p>
        </w:tc>
      </w:tr>
      <w:tr>
        <w:trPr>
          <w:trHeight w:val="135"/>
        </w:trPr>
        <w:tc>
          <w:tcPr>
            <w:tcW w:w="524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color w:val="auto"/>
              </w:rPr>
              <w:t>Accumulated deficit</w:t>
            </w:r>
          </w:p>
        </w:tc>
        <w:tc>
          <w:tcPr>
            <w:tcW w:w="1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(1,840,285)</w:t>
            </w:r>
          </w:p>
        </w:tc>
        <w:tc>
          <w:tcPr>
            <w:tcW w:w="1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(1,486,011)</w:t>
            </w:r>
          </w:p>
        </w:tc>
        <w:tc>
          <w:tcPr>
            <w:tcW w:w="19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(212,497)</w:t>
            </w:r>
          </w:p>
        </w:tc>
      </w:tr>
      <w:tr>
        <w:trPr>
          <w:trHeight w:val="128"/>
        </w:trPr>
        <w:tc>
          <w:tcPr>
            <w:tcW w:w="52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Total Sunlands Technology Group shareholders’ equity</w:t>
            </w:r>
          </w:p>
        </w:tc>
        <w:tc>
          <w:tcPr>
            <w:tcW w:w="114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601,345</w:t>
            </w:r>
          </w:p>
        </w:tc>
        <w:tc>
          <w:tcPr>
            <w:tcW w:w="220" w:type="dxa"/>
            <w:vAlign w:val="bottom"/>
            <w:tcBorders>
              <w:bottom w:val="single" w:sz="8" w:color="CFF0FC"/>
            </w:tcBorders>
            <w:shd w:val="clear" w:color="auto" w:fill="CFF0FC"/>
          </w:tcPr>
          <w:p>
            <w:pPr>
              <w:spacing w:after="0"/>
              <w:rPr>
                <w:sz w:val="11"/>
                <w:szCs w:val="11"/>
                <w:color w:val="auto"/>
              </w:rPr>
            </w:pPr>
          </w:p>
        </w:tc>
        <w:tc>
          <w:tcPr>
            <w:tcW w:w="17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945,554</w:t>
            </w:r>
          </w:p>
        </w:tc>
        <w:tc>
          <w:tcPr>
            <w:tcW w:w="220" w:type="dxa"/>
            <w:vAlign w:val="bottom"/>
            <w:tcBorders>
              <w:bottom w:val="single" w:sz="8" w:color="CFF0FC"/>
            </w:tcBorders>
            <w:shd w:val="clear" w:color="auto" w:fill="CFF0FC"/>
          </w:tcPr>
          <w:p>
            <w:pPr>
              <w:spacing w:after="0"/>
              <w:rPr>
                <w:sz w:val="11"/>
                <w:szCs w:val="11"/>
                <w:color w:val="auto"/>
              </w:rPr>
            </w:pPr>
          </w:p>
        </w:tc>
        <w:tc>
          <w:tcPr>
            <w:tcW w:w="18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135,212</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9"/>
        </w:trPr>
        <w:tc>
          <w:tcPr>
            <w:tcW w:w="638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2"/>
                <w:szCs w:val="12"/>
                <w:color w:val="auto"/>
              </w:rPr>
              <w:t>Non-controlling interest</w:t>
            </w:r>
          </w:p>
        </w:tc>
        <w:tc>
          <w:tcPr>
            <w:tcW w:w="8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(1,487)</w:t>
            </w:r>
          </w:p>
        </w:tc>
        <w:tc>
          <w:tcPr>
            <w:tcW w:w="198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(1,487)</w:t>
            </w:r>
          </w:p>
        </w:tc>
        <w:tc>
          <w:tcPr>
            <w:tcW w:w="19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(213)</w:t>
            </w:r>
          </w:p>
        </w:tc>
      </w:tr>
      <w:tr>
        <w:trPr>
          <w:trHeight w:val="135"/>
        </w:trPr>
        <w:tc>
          <w:tcPr>
            <w:tcW w:w="524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TOTAL SHAREHOLDERS’ EQUITY</w:t>
            </w:r>
          </w:p>
        </w:tc>
        <w:tc>
          <w:tcPr>
            <w:tcW w:w="114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599,858</w:t>
            </w:r>
          </w:p>
        </w:tc>
        <w:tc>
          <w:tcPr>
            <w:tcW w:w="220" w:type="dxa"/>
            <w:vAlign w:val="bottom"/>
            <w:tcBorders>
              <w:bottom w:val="single" w:sz="8" w:color="CFF0FC"/>
            </w:tcBorders>
            <w:shd w:val="clear" w:color="auto" w:fill="CFF0FC"/>
          </w:tcPr>
          <w:p>
            <w:pPr>
              <w:spacing w:after="0"/>
              <w:rPr>
                <w:sz w:val="11"/>
                <w:szCs w:val="11"/>
                <w:color w:val="auto"/>
              </w:rPr>
            </w:pPr>
          </w:p>
        </w:tc>
        <w:tc>
          <w:tcPr>
            <w:tcW w:w="17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944,067</w:t>
            </w:r>
          </w:p>
        </w:tc>
        <w:tc>
          <w:tcPr>
            <w:tcW w:w="220" w:type="dxa"/>
            <w:vAlign w:val="bottom"/>
            <w:tcBorders>
              <w:bottom w:val="single" w:sz="8" w:color="CFF0FC"/>
            </w:tcBorders>
            <w:shd w:val="clear" w:color="auto" w:fill="CFF0FC"/>
          </w:tcPr>
          <w:p>
            <w:pPr>
              <w:spacing w:after="0"/>
              <w:rPr>
                <w:sz w:val="11"/>
                <w:szCs w:val="11"/>
                <w:color w:val="auto"/>
              </w:rPr>
            </w:pPr>
          </w:p>
        </w:tc>
        <w:tc>
          <w:tcPr>
            <w:tcW w:w="18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134,999</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524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TOTAL LIABILITIES AND SHAREHOLDERS’ EQUITY</w:t>
            </w:r>
          </w:p>
        </w:tc>
        <w:tc>
          <w:tcPr>
            <w:tcW w:w="1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2,121,163</w:t>
            </w:r>
          </w:p>
        </w:tc>
        <w:tc>
          <w:tcPr>
            <w:tcW w:w="220" w:type="dxa"/>
            <w:vAlign w:val="bottom"/>
          </w:tcPr>
          <w:p>
            <w:pPr>
              <w:spacing w:after="0"/>
              <w:rPr>
                <w:sz w:val="11"/>
                <w:szCs w:val="11"/>
                <w:color w:val="auto"/>
              </w:rPr>
            </w:pPr>
          </w:p>
        </w:tc>
        <w:tc>
          <w:tcPr>
            <w:tcW w:w="1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2,047,218</w:t>
            </w:r>
          </w:p>
        </w:tc>
        <w:tc>
          <w:tcPr>
            <w:tcW w:w="220" w:type="dxa"/>
            <w:vAlign w:val="bottom"/>
          </w:tcPr>
          <w:p>
            <w:pPr>
              <w:spacing w:after="0"/>
              <w:rPr>
                <w:sz w:val="11"/>
                <w:szCs w:val="11"/>
                <w:color w:val="auto"/>
              </w:rPr>
            </w:pPr>
          </w:p>
        </w:tc>
        <w:tc>
          <w:tcPr>
            <w:tcW w:w="1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292,750</w:t>
            </w: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-5605780</wp:posOffset>
            </wp:positionV>
            <wp:extent cx="774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-5605780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-5605780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-4636770</wp:posOffset>
            </wp:positionV>
            <wp:extent cx="774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-4636770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-4636770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-3333750</wp:posOffset>
            </wp:positionV>
            <wp:extent cx="774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-3333750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-3333750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-2108200</wp:posOffset>
            </wp:positionV>
            <wp:extent cx="7747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-2108200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-2108200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-282575</wp:posOffset>
            </wp:positionV>
            <wp:extent cx="7747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-282575</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-282575</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-102235</wp:posOffset>
            </wp:positionV>
            <wp:extent cx="7747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-102235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-102235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color w:val="181717"/>
        </w:rPr>
        <w:t>CONSOLIDATED STATEMENTS OF OPERATIONS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181717"/>
        </w:rPr>
        <w:t>(Amounts in thousands, except for share and per share data, or otherwise noted)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5"/>
          </w:tcPr>
          <w:p>
            <w:pPr>
              <w:jc w:val="right"/>
              <w:ind w:right="1120"/>
              <w:spacing w:after="0"/>
              <w:rPr>
                <w:sz w:val="20"/>
                <w:szCs w:val="20"/>
                <w:color w:val="auto"/>
              </w:rPr>
            </w:pPr>
            <w:r>
              <w:rPr>
                <w:rFonts w:ascii="Times New Roman" w:cs="Times New Roman" w:eastAsia="Times New Roman" w:hAnsi="Times New Roman"/>
                <w:sz w:val="18"/>
                <w:szCs w:val="18"/>
                <w:color w:val="auto"/>
              </w:rPr>
              <w:t>Years ended December 31,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19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520" w:type="dxa"/>
            <w:vAlign w:val="bottom"/>
          </w:tcPr>
          <w:p>
            <w:pPr>
              <w:jc w:val="right"/>
              <w:ind w:right="470"/>
              <w:spacing w:after="0" w:line="191" w:lineRule="exact"/>
              <w:rPr>
                <w:sz w:val="20"/>
                <w:szCs w:val="20"/>
                <w:color w:val="auto"/>
              </w:rPr>
            </w:pPr>
            <w:r>
              <w:rPr>
                <w:rFonts w:ascii="Times New Roman" w:cs="Times New Roman" w:eastAsia="Times New Roman" w:hAnsi="Times New Roman"/>
                <w:sz w:val="18"/>
                <w:szCs w:val="18"/>
                <w:color w:val="auto"/>
              </w:rPr>
              <w:t>RMB</w:t>
            </w:r>
          </w:p>
        </w:tc>
        <w:tc>
          <w:tcPr>
            <w:tcW w:w="240" w:type="dxa"/>
            <w:vAlign w:val="bottom"/>
          </w:tcPr>
          <w:p>
            <w:pPr>
              <w:spacing w:after="0"/>
              <w:rPr>
                <w:sz w:val="16"/>
                <w:szCs w:val="16"/>
                <w:color w:val="auto"/>
              </w:rPr>
            </w:pPr>
          </w:p>
        </w:tc>
        <w:tc>
          <w:tcPr>
            <w:tcW w:w="1500" w:type="dxa"/>
            <w:vAlign w:val="bottom"/>
          </w:tcPr>
          <w:p>
            <w:pPr>
              <w:jc w:val="right"/>
              <w:ind w:right="470"/>
              <w:spacing w:after="0" w:line="191" w:lineRule="exact"/>
              <w:rPr>
                <w:sz w:val="20"/>
                <w:szCs w:val="20"/>
                <w:color w:val="auto"/>
              </w:rPr>
            </w:pPr>
            <w:r>
              <w:rPr>
                <w:rFonts w:ascii="Times New Roman" w:cs="Times New Roman" w:eastAsia="Times New Roman" w:hAnsi="Times New Roman"/>
                <w:sz w:val="18"/>
                <w:szCs w:val="18"/>
                <w:color w:val="auto"/>
              </w:rPr>
              <w:t>RMB</w:t>
            </w:r>
          </w:p>
        </w:tc>
        <w:tc>
          <w:tcPr>
            <w:tcW w:w="220" w:type="dxa"/>
            <w:vAlign w:val="bottom"/>
          </w:tcPr>
          <w:p>
            <w:pPr>
              <w:spacing w:after="0"/>
              <w:rPr>
                <w:sz w:val="16"/>
                <w:szCs w:val="16"/>
                <w:color w:val="auto"/>
              </w:rPr>
            </w:pPr>
          </w:p>
        </w:tc>
        <w:tc>
          <w:tcPr>
            <w:tcW w:w="1980" w:type="dxa"/>
            <w:vAlign w:val="bottom"/>
            <w:gridSpan w:val="3"/>
          </w:tcPr>
          <w:p>
            <w:pPr>
              <w:jc w:val="right"/>
              <w:ind w:right="1040"/>
              <w:spacing w:after="0" w:line="191" w:lineRule="exact"/>
              <w:rPr>
                <w:sz w:val="20"/>
                <w:szCs w:val="20"/>
                <w:color w:val="auto"/>
              </w:rPr>
            </w:pPr>
            <w:r>
              <w:rPr>
                <w:rFonts w:ascii="Times New Roman" w:cs="Times New Roman" w:eastAsia="Times New Roman" w:hAnsi="Times New Roman"/>
                <w:sz w:val="18"/>
                <w:szCs w:val="18"/>
                <w:color w:val="auto"/>
              </w:rPr>
              <w:t>RMB</w:t>
            </w:r>
          </w:p>
        </w:tc>
        <w:tc>
          <w:tcPr>
            <w:tcW w:w="1280" w:type="dxa"/>
            <w:vAlign w:val="bottom"/>
          </w:tcPr>
          <w:p>
            <w:pPr>
              <w:jc w:val="right"/>
              <w:ind w:right="53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(Note 2)</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2,159,584</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1,990,204</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2,019,881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(265,528)</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(317,570)</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(264,424)</w:t>
            </w:r>
          </w:p>
        </w:tc>
        <w:tc>
          <w:tcPr>
            <w:tcW w:w="2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(37,812)</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1,894,056</w:t>
            </w:r>
          </w:p>
        </w:tc>
        <w:tc>
          <w:tcPr>
            <w:tcW w:w="2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1,672,634</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1,755,457</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(1,142,154)</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(1,216,912)</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(1,137,631)</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(162,679)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expenses</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(33,723)</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(25,008)</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(29,553)</w:t>
            </w:r>
          </w:p>
        </w:tc>
        <w:tc>
          <w:tcPr>
            <w:tcW w:w="2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(143,286)</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(132,809)</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(143,796)</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(20,563)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long-lived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(67,931)</w:t>
            </w:r>
          </w:p>
        </w:tc>
        <w:tc>
          <w:tcPr>
            <w:tcW w:w="2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(9,714)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(1,319,163)</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(1,374,729)</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(1,378,911)</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(197,182)</w:t>
            </w:r>
          </w:p>
        </w:tc>
        <w:tc>
          <w:tcPr>
            <w:tcW w:w="0" w:type="dxa"/>
            <w:vAlign w:val="bottom"/>
          </w:tcPr>
          <w:p>
            <w:pPr>
              <w:spacing w:after="0"/>
              <w:rPr>
                <w:sz w:val="1"/>
                <w:szCs w:val="1"/>
                <w:color w:val="auto"/>
              </w:rPr>
            </w:pPr>
          </w:p>
        </w:tc>
      </w:tr>
      <w:tr>
        <w:trPr>
          <w:trHeight w:val="209"/>
        </w:trPr>
        <w:tc>
          <w:tcPr>
            <w:tcW w:w="4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574,893</w:t>
            </w:r>
          </w:p>
        </w:tc>
        <w:tc>
          <w:tcPr>
            <w:tcW w:w="240" w:type="dxa"/>
            <w:vAlign w:val="bottom"/>
            <w:tcBorders>
              <w:top w:val="single" w:sz="8" w:color="CFF0FC"/>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297,905</w:t>
            </w:r>
          </w:p>
        </w:tc>
        <w:tc>
          <w:tcPr>
            <w:tcW w:w="220" w:type="dxa"/>
            <w:vAlign w:val="bottom"/>
            <w:tcBorders>
              <w:top w:val="single" w:sz="8" w:color="CFF0FC"/>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376,546</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31,094</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38,824</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(7,657)</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(5,293)</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2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34,097</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26,296</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long-term investments</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Gain/(loss) on disposal of subsidiaries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43,715</w:t>
            </w:r>
          </w:p>
        </w:tc>
        <w:tc>
          <w:tcPr>
            <w:tcW w:w="2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(838)</w:t>
            </w:r>
          </w:p>
        </w:tc>
        <w:tc>
          <w:tcPr>
            <w:tcW w:w="198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440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Income before income tax expenses and loss from equity</w:t>
            </w:r>
          </w:p>
        </w:tc>
        <w:tc>
          <w:tcPr>
            <w:tcW w:w="1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676,081</w:t>
            </w:r>
          </w:p>
        </w:tc>
        <w:tc>
          <w:tcPr>
            <w:tcW w:w="240" w:type="dxa"/>
            <w:vAlign w:val="bottom"/>
            <w:tcBorders>
              <w:top w:val="single" w:sz="8" w:color="CFF0FC"/>
            </w:tcBorders>
          </w:tcPr>
          <w:p>
            <w:pPr>
              <w:spacing w:after="0"/>
              <w:rPr>
                <w:sz w:val="16"/>
                <w:szCs w:val="16"/>
                <w:color w:val="auto"/>
              </w:rPr>
            </w:pPr>
          </w:p>
        </w:tc>
        <w:tc>
          <w:tcPr>
            <w:tcW w:w="1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356,894</w:t>
            </w:r>
          </w:p>
        </w:tc>
        <w:tc>
          <w:tcPr>
            <w:tcW w:w="220" w:type="dxa"/>
            <w:vAlign w:val="bottom"/>
            <w:tcBorders>
              <w:top w:val="single" w:sz="8" w:color="CFF0FC"/>
            </w:tcBorders>
          </w:tcPr>
          <w:p>
            <w:pPr>
              <w:spacing w:after="0"/>
              <w:rPr>
                <w:sz w:val="16"/>
                <w:szCs w:val="16"/>
                <w:color w:val="auto"/>
              </w:rPr>
            </w:pPr>
          </w:p>
        </w:tc>
        <w:tc>
          <w:tcPr>
            <w:tcW w:w="1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429,458</w:t>
            </w:r>
          </w:p>
        </w:tc>
        <w:tc>
          <w:tcPr>
            <w:tcW w:w="22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61,411</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method investments</w:t>
            </w:r>
          </w:p>
        </w:tc>
        <w:tc>
          <w:tcPr>
            <w:tcW w:w="15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(25,166)</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(1,300)</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(59,297)</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(8,479)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(10,084)</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(13,512)</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(4,530)</w:t>
            </w:r>
          </w:p>
        </w:tc>
        <w:tc>
          <w:tcPr>
            <w:tcW w:w="2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640,831</w:t>
            </w:r>
          </w:p>
        </w:tc>
        <w:tc>
          <w:tcPr>
            <w:tcW w:w="2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342,082</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365,631</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Sunlands Technology Group</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640,830</w:t>
            </w:r>
          </w:p>
        </w:tc>
        <w:tc>
          <w:tcPr>
            <w:tcW w:w="2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342,082</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365,631</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 per share attributable to ordinary shareholders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of Sunlands Technology Group:</w:t>
            </w: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in calculating net income</w:t>
            </w: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per ordinary share:</w:t>
            </w: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6,899,456</w:t>
            </w:r>
          </w:p>
        </w:tc>
        <w:tc>
          <w:tcPr>
            <w:tcW w:w="2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6,824,824</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6,736,373</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6,736,373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-3514090</wp:posOffset>
            </wp:positionV>
            <wp:extent cx="7747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-3514090</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-3514090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-2673985</wp:posOffset>
            </wp:positionV>
            <wp:extent cx="774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-2673985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-2673985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-1833880</wp:posOffset>
            </wp:positionV>
            <wp:extent cx="774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-1833880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-1833880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-1130935</wp:posOffset>
            </wp:positionV>
            <wp:extent cx="7747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-1130935</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-1130935</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-839470</wp:posOffset>
            </wp:positionV>
            <wp:extent cx="774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-839470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-839470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7747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color w:val="181717"/>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81717"/>
        </w:rPr>
        <w:t>(Amounts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6"/>
                <w:szCs w:val="16"/>
                <w:color w:val="auto"/>
              </w:rPr>
              <w:t>Years ended December 31,</w:t>
            </w: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tcPr>
          <w:p>
            <w:pPr>
              <w:spacing w:after="0"/>
              <w:rPr>
                <w:sz w:val="17"/>
                <w:szCs w:val="17"/>
                <w:color w:val="auto"/>
              </w:rPr>
            </w:pPr>
          </w:p>
        </w:tc>
        <w:tc>
          <w:tcPr>
            <w:tcW w:w="9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2023</w:t>
            </w:r>
          </w:p>
        </w:tc>
        <w:tc>
          <w:tcPr>
            <w:tcW w:w="1740" w:type="dxa"/>
            <w:vAlign w:val="bottom"/>
            <w:gridSpan w:val="3"/>
          </w:tcPr>
          <w:p>
            <w:pPr>
              <w:ind w:left="1380"/>
              <w:spacing w:after="0"/>
              <w:rPr>
                <w:sz w:val="20"/>
                <w:szCs w:val="20"/>
                <w:color w:val="auto"/>
              </w:rPr>
            </w:pPr>
            <w:r>
              <w:rPr>
                <w:rFonts w:ascii="Times New Roman" w:cs="Times New Roman" w:eastAsia="Times New Roman" w:hAnsi="Times New Roman"/>
                <w:sz w:val="16"/>
                <w:szCs w:val="16"/>
                <w:color w:val="auto"/>
              </w:rPr>
              <w:t>2024</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2025</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980" w:type="dxa"/>
            <w:vAlign w:val="bottom"/>
            <w:tcBorders>
              <w:top w:val="single" w:sz="8" w:color="auto"/>
            </w:tcBorders>
          </w:tcPr>
          <w:p>
            <w:pPr>
              <w:ind w:left="580"/>
              <w:spacing w:after="0" w:line="182" w:lineRule="exact"/>
              <w:rPr>
                <w:sz w:val="20"/>
                <w:szCs w:val="20"/>
                <w:color w:val="auto"/>
              </w:rPr>
            </w:pPr>
            <w:r>
              <w:rPr>
                <w:rFonts w:ascii="Times New Roman" w:cs="Times New Roman" w:eastAsia="Times New Roman" w:hAnsi="Times New Roman"/>
                <w:sz w:val="16"/>
                <w:szCs w:val="16"/>
                <w:color w:val="auto"/>
              </w:rPr>
              <w:t>RMB</w:t>
            </w:r>
          </w:p>
        </w:tc>
        <w:tc>
          <w:tcPr>
            <w:tcW w:w="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top w:val="single" w:sz="8" w:color="auto"/>
            </w:tcBorders>
          </w:tcPr>
          <w:p>
            <w:pPr>
              <w:ind w:left="580"/>
              <w:spacing w:after="0" w:line="182" w:lineRule="exact"/>
              <w:rPr>
                <w:sz w:val="20"/>
                <w:szCs w:val="20"/>
                <w:color w:val="auto"/>
              </w:rPr>
            </w:pPr>
            <w:r>
              <w:rPr>
                <w:rFonts w:ascii="Times New Roman" w:cs="Times New Roman" w:eastAsia="Times New Roman" w:hAnsi="Times New Roman"/>
                <w:sz w:val="16"/>
                <w:szCs w:val="16"/>
                <w:color w:val="auto"/>
              </w:rPr>
              <w:t>RMB</w:t>
            </w:r>
          </w:p>
        </w:tc>
        <w:tc>
          <w:tcPr>
            <w:tcW w:w="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top w:val="single" w:sz="8" w:color="auto"/>
            </w:tcBorders>
          </w:tcPr>
          <w:p>
            <w:pPr>
              <w:ind w:left="580"/>
              <w:spacing w:after="0" w:line="182" w:lineRule="exact"/>
              <w:rPr>
                <w:sz w:val="20"/>
                <w:szCs w:val="20"/>
                <w:color w:val="auto"/>
              </w:rPr>
            </w:pPr>
            <w:r>
              <w:rPr>
                <w:rFonts w:ascii="Times New Roman" w:cs="Times New Roman" w:eastAsia="Times New Roman" w:hAnsi="Times New Roman"/>
                <w:sz w:val="16"/>
                <w:szCs w:val="16"/>
                <w:color w:val="auto"/>
              </w:rPr>
              <w:t>RMB</w:t>
            </w: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39"/>
              <w:spacing w:after="0" w:line="182" w:lineRule="exact"/>
              <w:rPr>
                <w:sz w:val="20"/>
                <w:szCs w:val="20"/>
                <w:color w:val="auto"/>
              </w:rPr>
            </w:pPr>
            <w:r>
              <w:rPr>
                <w:rFonts w:ascii="Times New Roman" w:cs="Times New Roman" w:eastAsia="Times New Roman" w:hAnsi="Times New Roman"/>
                <w:sz w:val="16"/>
                <w:szCs w:val="16"/>
                <w:color w:val="auto"/>
              </w:rPr>
              <w:t>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(Note 2)</w:t>
            </w:r>
          </w:p>
        </w:tc>
        <w:tc>
          <w:tcPr>
            <w:tcW w:w="0" w:type="dxa"/>
            <w:vAlign w:val="bottom"/>
          </w:tcPr>
          <w:p>
            <w:pPr>
              <w:spacing w:after="0"/>
              <w:rPr>
                <w:sz w:val="1"/>
                <w:szCs w:val="1"/>
                <w:color w:val="auto"/>
              </w:rPr>
            </w:pPr>
          </w:p>
        </w:tc>
      </w:tr>
      <w:tr>
        <w:trPr>
          <w:trHeight w:val="206"/>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640,831</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342,082</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365,631</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income/(loss), net of tax effect of nil:</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cumulative foreign currency translation adjustments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15,391</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16,971</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(26,279)</w:t>
            </w:r>
          </w:p>
        </w:tc>
        <w:tc>
          <w:tcPr>
            <w:tcW w:w="2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(3,758)</w:t>
            </w:r>
          </w:p>
        </w:tc>
        <w:tc>
          <w:tcPr>
            <w:tcW w:w="0" w:type="dxa"/>
            <w:vAlign w:val="bottom"/>
          </w:tcPr>
          <w:p>
            <w:pPr>
              <w:spacing w:after="0"/>
              <w:rPr>
                <w:sz w:val="1"/>
                <w:szCs w:val="1"/>
                <w:color w:val="auto"/>
              </w:rPr>
            </w:pPr>
          </w:p>
        </w:tc>
      </w:tr>
      <w:tr>
        <w:trPr>
          <w:trHeight w:val="189"/>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Unrealized (loss)/gain on available-for-sale investments,</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spacing w:after="0"/>
              <w:rPr>
                <w:sz w:val="16"/>
                <w:szCs w:val="16"/>
                <w:color w:val="auto"/>
              </w:rPr>
            </w:pPr>
          </w:p>
        </w:tc>
        <w:tc>
          <w:tcPr>
            <w:tcW w:w="960" w:type="dxa"/>
            <w:vAlign w:val="bottom"/>
            <w:vMerge w:val="restart"/>
          </w:tcPr>
          <w:p>
            <w:pPr>
              <w:spacing w:after="0"/>
              <w:rPr>
                <w:sz w:val="16"/>
                <w:szCs w:val="16"/>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(24,083)</w:t>
            </w:r>
          </w:p>
        </w:tc>
        <w:tc>
          <w:tcPr>
            <w:tcW w:w="96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11,685</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tax effect of nil</w:t>
            </w:r>
          </w:p>
        </w:tc>
        <w:tc>
          <w:tcPr>
            <w:tcW w:w="9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9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656,222</w:t>
            </w:r>
          </w:p>
        </w:tc>
        <w:tc>
          <w:tcPr>
            <w:tcW w:w="22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334,970</w:t>
            </w:r>
          </w:p>
        </w:tc>
        <w:tc>
          <w:tcPr>
            <w:tcW w:w="22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351,037</w:t>
            </w:r>
          </w:p>
        </w:tc>
        <w:tc>
          <w:tcPr>
            <w:tcW w:w="2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comprehensive income attributable to</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gridSpan w:val="3"/>
          </w:tcPr>
          <w:p>
            <w:pPr>
              <w:jc w:val="right"/>
              <w:ind w:right="10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income attributable to</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656,221</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334,970</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351,037</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50,197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Sunlands Technology Group</w:t>
            </w:r>
          </w:p>
        </w:tc>
        <w:tc>
          <w:tcPr>
            <w:tcW w:w="9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-8255</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color w:val="181717"/>
        </w:rPr>
        <w:t>CONSOLIDATED STATEMENTS OF CHANGES IN SHAREHOLDERS’ (DEFICIT)/EQUITY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81717"/>
        </w:rPr>
        <w:t>(Amounts in thousands, except for share and per share data)</w:t>
      </w:r>
    </w:p>
    <w:tbl>
      <w:tblPr>
        <w:tblLayout w:type="fixed"/>
        <w:tblInd w:w="0" w:type="dxa"/>
        <w:tblCellMar>
          <w:top w:w="0" w:type="dxa"/>
          <w:left w:w="0" w:type="dxa"/>
          <w:bottom w:w="0" w:type="dxa"/>
          <w:right w:w="0" w:type="dxa"/>
        </w:tblCellMar>
      </w:tblPr>
      <w:tr>
        <w:trPr>
          <w:trHeight w:val="117"/>
        </w:trPr>
        <w:tc>
          <w:tcPr>
            <w:tcW w:w="2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color w:val="auto"/>
                <w:w w:val="97"/>
              </w:rPr>
              <w:t>Accumulate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71"/>
              </w:rPr>
              <w:t>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6"/>
              </w:rPr>
              <w:t>Total Sunlands</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9"/>
              </w:rPr>
              <w:t>Additiona</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7"/>
              </w:rPr>
              <w:t>other</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8"/>
              </w:rPr>
              <w:t>Technology</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Class A</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color w:val="auto"/>
              </w:rPr>
              <w:t>Class B</w:t>
            </w:r>
          </w:p>
        </w:tc>
        <w:tc>
          <w:tcPr>
            <w:tcW w:w="120" w:type="dxa"/>
            <w:vAlign w:val="bottom"/>
          </w:tcPr>
          <w:p>
            <w:pPr>
              <w:spacing w:after="0"/>
              <w:rPr>
                <w:sz w:val="10"/>
                <w:szCs w:val="10"/>
                <w:color w:val="auto"/>
              </w:rPr>
            </w:pPr>
          </w:p>
        </w:tc>
        <w:tc>
          <w:tcPr>
            <w:tcW w:w="960" w:type="dxa"/>
            <w:vAlign w:val="bottom"/>
            <w:gridSpan w:val="3"/>
          </w:tcPr>
          <w:p>
            <w:pPr>
              <w:jc w:val="right"/>
              <w:ind w:right="266"/>
              <w:spacing w:after="0" w:line="122" w:lineRule="exact"/>
              <w:rPr>
                <w:sz w:val="20"/>
                <w:szCs w:val="20"/>
                <w:color w:val="auto"/>
              </w:rPr>
            </w:pPr>
            <w:r>
              <w:rPr>
                <w:rFonts w:ascii="Times New Roman" w:cs="Times New Roman" w:eastAsia="Times New Roman" w:hAnsi="Times New Roman"/>
                <w:sz w:val="11"/>
                <w:szCs w:val="11"/>
                <w:color w:val="auto"/>
              </w:rPr>
              <w:t>Class C</w:t>
            </w:r>
          </w:p>
        </w:tc>
        <w:tc>
          <w:tcPr>
            <w:tcW w:w="120" w:type="dxa"/>
            <w:vAlign w:val="bottom"/>
          </w:tcPr>
          <w:p>
            <w:pPr>
              <w:spacing w:after="0"/>
              <w:rPr>
                <w:sz w:val="10"/>
                <w:szCs w:val="10"/>
                <w:color w:val="auto"/>
              </w:rPr>
            </w:pPr>
          </w:p>
        </w:tc>
        <w:tc>
          <w:tcPr>
            <w:tcW w:w="5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rPr>
              <w:t>l</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comprehensi</w:t>
            </w: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Accumulat</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2"/>
              </w:rPr>
              <w:t>Group</w:t>
            </w:r>
          </w:p>
        </w:tc>
        <w:tc>
          <w:tcPr>
            <w:tcW w:w="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rPr>
              <w:t>Non-</w:t>
            </w: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4"/>
              </w:rPr>
              <w:t>Total</w:t>
            </w:r>
          </w:p>
        </w:tc>
        <w:tc>
          <w:tcPr>
            <w:tcW w:w="0" w:type="dxa"/>
            <w:vAlign w:val="bottom"/>
          </w:tcPr>
          <w:p>
            <w:pPr>
              <w:spacing w:after="0"/>
              <w:rPr>
                <w:sz w:val="1"/>
                <w:szCs w:val="1"/>
                <w:color w:val="auto"/>
              </w:rPr>
            </w:pPr>
          </w:p>
        </w:tc>
      </w:tr>
      <w:tr>
        <w:trPr>
          <w:trHeight w:val="121"/>
        </w:trPr>
        <w:tc>
          <w:tcPr>
            <w:tcW w:w="2220" w:type="dxa"/>
            <w:vAlign w:val="bottom"/>
          </w:tcPr>
          <w:p>
            <w:pPr>
              <w:spacing w:after="0"/>
              <w:rPr>
                <w:sz w:val="10"/>
                <w:szCs w:val="10"/>
                <w:color w:val="auto"/>
              </w:rPr>
            </w:pPr>
          </w:p>
        </w:tc>
        <w:tc>
          <w:tcPr>
            <w:tcW w:w="1000" w:type="dxa"/>
            <w:vAlign w:val="bottom"/>
            <w:gridSpan w:val="3"/>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Ordinary shares</w:t>
            </w:r>
          </w:p>
        </w:tc>
        <w:tc>
          <w:tcPr>
            <w:tcW w:w="120" w:type="dxa"/>
            <w:vAlign w:val="bottom"/>
          </w:tcPr>
          <w:p>
            <w:pPr>
              <w:spacing w:after="0"/>
              <w:rPr>
                <w:sz w:val="10"/>
                <w:szCs w:val="10"/>
                <w:color w:val="auto"/>
              </w:rPr>
            </w:pPr>
          </w:p>
        </w:tc>
        <w:tc>
          <w:tcPr>
            <w:tcW w:w="900" w:type="dxa"/>
            <w:vAlign w:val="bottom"/>
            <w:gridSpan w:val="3"/>
          </w:tcPr>
          <w:p>
            <w:pPr>
              <w:jc w:val="center"/>
              <w:spacing w:after="0" w:line="122" w:lineRule="exact"/>
              <w:rPr>
                <w:sz w:val="20"/>
                <w:szCs w:val="20"/>
                <w:color w:val="auto"/>
              </w:rPr>
            </w:pPr>
            <w:r>
              <w:rPr>
                <w:rFonts w:ascii="Times New Roman" w:cs="Times New Roman" w:eastAsia="Times New Roman" w:hAnsi="Times New Roman"/>
                <w:sz w:val="11"/>
                <w:szCs w:val="11"/>
                <w:color w:val="auto"/>
              </w:rPr>
              <w:t>Ordinary shares</w:t>
            </w:r>
          </w:p>
        </w:tc>
        <w:tc>
          <w:tcPr>
            <w:tcW w:w="120" w:type="dxa"/>
            <w:vAlign w:val="bottom"/>
          </w:tcPr>
          <w:p>
            <w:pPr>
              <w:spacing w:after="0"/>
              <w:rPr>
                <w:sz w:val="10"/>
                <w:szCs w:val="10"/>
                <w:color w:val="auto"/>
              </w:rPr>
            </w:pPr>
          </w:p>
        </w:tc>
        <w:tc>
          <w:tcPr>
            <w:tcW w:w="960" w:type="dxa"/>
            <w:vAlign w:val="bottom"/>
            <w:gridSpan w:val="3"/>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Ordinary shares</w:t>
            </w:r>
          </w:p>
        </w:tc>
        <w:tc>
          <w:tcPr>
            <w:tcW w:w="12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6"/>
              </w:rPr>
              <w:t>paid-in</w:t>
            </w:r>
          </w:p>
        </w:tc>
        <w:tc>
          <w:tcPr>
            <w:tcW w:w="840" w:type="dxa"/>
            <w:vAlign w:val="bottom"/>
            <w:gridSpan w:val="3"/>
          </w:tcPr>
          <w:p>
            <w:pPr>
              <w:ind w:left="80"/>
              <w:spacing w:after="0" w:line="122" w:lineRule="exact"/>
              <w:rPr>
                <w:sz w:val="20"/>
                <w:szCs w:val="20"/>
                <w:color w:val="auto"/>
              </w:rPr>
            </w:pPr>
            <w:r>
              <w:rPr>
                <w:rFonts w:ascii="Times New Roman" w:cs="Times New Roman" w:eastAsia="Times New Roman" w:hAnsi="Times New Roman"/>
                <w:sz w:val="11"/>
                <w:szCs w:val="11"/>
                <w:color w:val="auto"/>
              </w:rPr>
              <w:t>Treasury stock</w:t>
            </w:r>
          </w:p>
        </w:tc>
        <w:tc>
          <w:tcPr>
            <w:tcW w:w="100" w:type="dxa"/>
            <w:vAlign w:val="bottom"/>
          </w:tcPr>
          <w:p>
            <w:pPr>
              <w:spacing w:after="0"/>
              <w:rPr>
                <w:sz w:val="10"/>
                <w:szCs w:val="10"/>
                <w:color w:val="auto"/>
              </w:rPr>
            </w:pPr>
          </w:p>
        </w:tc>
        <w:tc>
          <w:tcPr>
            <w:tcW w:w="6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color w:val="auto"/>
                <w:w w:val="95"/>
              </w:rPr>
              <w:t>ve</w:t>
            </w: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5"/>
              </w:rPr>
              <w:t>ed</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Statutory</w:t>
            </w:r>
          </w:p>
        </w:tc>
        <w:tc>
          <w:tcPr>
            <w:tcW w:w="10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color w:val="auto"/>
                <w:w w:val="97"/>
              </w:rPr>
              <w:t>shareholders’</w:t>
            </w:r>
          </w:p>
        </w:tc>
        <w:tc>
          <w:tcPr>
            <w:tcW w:w="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9"/>
              </w:rPr>
              <w:t>controlling</w:t>
            </w: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color w:val="auto"/>
                <w:w w:val="97"/>
              </w:rPr>
              <w:t>shareholders’</w:t>
            </w: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Amoun</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Amoun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Amoun</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Amou</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Shares</w:t>
            </w: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ts</w:t>
            </w:r>
          </w:p>
        </w:tc>
        <w:tc>
          <w:tcPr>
            <w:tcW w:w="120" w:type="dxa"/>
            <w:vAlign w:val="bottom"/>
          </w:tcPr>
          <w:p>
            <w:pPr>
              <w:spacing w:after="0"/>
              <w:rPr>
                <w:sz w:val="11"/>
                <w:szCs w:val="11"/>
                <w:color w:val="auto"/>
              </w:rPr>
            </w:pPr>
          </w:p>
        </w:tc>
        <w:tc>
          <w:tcPr>
            <w:tcW w:w="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Shares</w:t>
            </w:r>
          </w:p>
        </w:tc>
        <w:tc>
          <w:tcPr>
            <w:tcW w:w="120" w:type="dxa"/>
            <w:vAlign w:val="bottom"/>
          </w:tcPr>
          <w:p>
            <w:pPr>
              <w:spacing w:after="0"/>
              <w:rPr>
                <w:sz w:val="11"/>
                <w:szCs w:val="1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ts</w:t>
            </w:r>
          </w:p>
        </w:tc>
        <w:tc>
          <w:tcPr>
            <w:tcW w:w="12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Shares</w:t>
            </w: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81"/>
              </w:rPr>
              <w:t>ts</w:t>
            </w:r>
          </w:p>
        </w:tc>
        <w:tc>
          <w:tcPr>
            <w:tcW w:w="120" w:type="dxa"/>
            <w:vAlign w:val="bottom"/>
          </w:tcPr>
          <w:p>
            <w:pPr>
              <w:spacing w:after="0"/>
              <w:rPr>
                <w:sz w:val="11"/>
                <w:szCs w:val="11"/>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5"/>
              </w:rPr>
              <w:t>capital</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Shares</w:t>
            </w:r>
          </w:p>
        </w:tc>
        <w:tc>
          <w:tcPr>
            <w:tcW w:w="100" w:type="dxa"/>
            <w:vAlign w:val="bottom"/>
          </w:tcPr>
          <w:p>
            <w:pPr>
              <w:spacing w:after="0"/>
              <w:rPr>
                <w:sz w:val="11"/>
                <w:szCs w:val="1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nts</w:t>
            </w:r>
          </w:p>
        </w:tc>
        <w:tc>
          <w:tcPr>
            <w:tcW w:w="100" w:type="dxa"/>
            <w:vAlign w:val="bottom"/>
          </w:tcPr>
          <w:p>
            <w:pPr>
              <w:spacing w:after="0"/>
              <w:rPr>
                <w:sz w:val="11"/>
                <w:szCs w:val="11"/>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income</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9"/>
              </w:rPr>
              <w:t>deficit</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reserves</w:t>
            </w:r>
          </w:p>
        </w:tc>
        <w:tc>
          <w:tcPr>
            <w:tcW w:w="100" w:type="dxa"/>
            <w:vAlign w:val="bottom"/>
          </w:tcPr>
          <w:p>
            <w:pPr>
              <w:spacing w:after="0"/>
              <w:rPr>
                <w:sz w:val="11"/>
                <w:szCs w:val="11"/>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(deficit)/equity</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interest</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(deficit)/equity</w:t>
            </w:r>
          </w:p>
        </w:tc>
        <w:tc>
          <w:tcPr>
            <w:tcW w:w="0" w:type="dxa"/>
            <w:vAlign w:val="bottom"/>
          </w:tcPr>
          <w:p>
            <w:pPr>
              <w:spacing w:after="0"/>
              <w:rPr>
                <w:sz w:val="1"/>
                <w:szCs w:val="1"/>
                <w:color w:val="auto"/>
              </w:rPr>
            </w:pPr>
          </w:p>
        </w:tc>
      </w:tr>
      <w:tr>
        <w:trPr>
          <w:trHeight w:val="115"/>
        </w:trPr>
        <w:tc>
          <w:tcPr>
            <w:tcW w:w="22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RMB</w:t>
            </w:r>
          </w:p>
        </w:tc>
        <w:tc>
          <w:tcPr>
            <w:tcW w:w="1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RMB</w:t>
            </w:r>
          </w:p>
        </w:tc>
        <w:tc>
          <w:tcPr>
            <w:tcW w:w="1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RMB</w:t>
            </w:r>
          </w:p>
        </w:tc>
        <w:tc>
          <w:tcPr>
            <w:tcW w:w="120" w:type="dxa"/>
            <w:vAlign w:val="bottom"/>
          </w:tcPr>
          <w:p>
            <w:pPr>
              <w:spacing w:after="0"/>
              <w:rPr>
                <w:sz w:val="10"/>
                <w:szCs w:val="10"/>
                <w:color w:val="auto"/>
              </w:rPr>
            </w:pPr>
          </w:p>
        </w:tc>
        <w:tc>
          <w:tcPr>
            <w:tcW w:w="4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RMB</w:t>
            </w:r>
          </w:p>
        </w:tc>
        <w:tc>
          <w:tcPr>
            <w:tcW w:w="1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RMB</w:t>
            </w:r>
          </w:p>
        </w:tc>
        <w:tc>
          <w:tcPr>
            <w:tcW w:w="100" w:type="dxa"/>
            <w:vAlign w:val="bottom"/>
          </w:tcPr>
          <w:p>
            <w:pPr>
              <w:spacing w:after="0"/>
              <w:rPr>
                <w:sz w:val="10"/>
                <w:szCs w:val="10"/>
                <w:color w:val="auto"/>
              </w:rPr>
            </w:pPr>
          </w:p>
        </w:tc>
        <w:tc>
          <w:tcPr>
            <w:tcW w:w="5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RMB</w:t>
            </w:r>
          </w:p>
        </w:tc>
        <w:tc>
          <w:tcPr>
            <w:tcW w:w="120" w:type="dxa"/>
            <w:vAlign w:val="bottom"/>
          </w:tcPr>
          <w:p>
            <w:pPr>
              <w:spacing w:after="0"/>
              <w:rPr>
                <w:sz w:val="10"/>
                <w:szCs w:val="10"/>
                <w:color w:val="auto"/>
              </w:rPr>
            </w:pPr>
          </w:p>
        </w:tc>
        <w:tc>
          <w:tcPr>
            <w:tcW w:w="5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RMB</w:t>
            </w:r>
          </w:p>
        </w:tc>
        <w:tc>
          <w:tcPr>
            <w:tcW w:w="100" w:type="dxa"/>
            <w:vAlign w:val="bottom"/>
          </w:tcPr>
          <w:p>
            <w:pPr>
              <w:spacing w:after="0"/>
              <w:rPr>
                <w:sz w:val="10"/>
                <w:szCs w:val="10"/>
                <w:color w:val="auto"/>
              </w:rPr>
            </w:pPr>
          </w:p>
        </w:tc>
        <w:tc>
          <w:tcPr>
            <w:tcW w:w="5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RMB</w:t>
            </w:r>
          </w:p>
        </w:tc>
        <w:tc>
          <w:tcPr>
            <w:tcW w:w="100" w:type="dxa"/>
            <w:vAlign w:val="bottom"/>
          </w:tcPr>
          <w:p>
            <w:pPr>
              <w:spacing w:after="0"/>
              <w:rPr>
                <w:sz w:val="10"/>
                <w:szCs w:val="10"/>
                <w:color w:val="auto"/>
              </w:rPr>
            </w:pPr>
          </w:p>
        </w:tc>
        <w:tc>
          <w:tcPr>
            <w:tcW w:w="7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RMB</w:t>
            </w:r>
          </w:p>
        </w:tc>
        <w:tc>
          <w:tcPr>
            <w:tcW w:w="100" w:type="dxa"/>
            <w:vAlign w:val="bottom"/>
          </w:tcPr>
          <w:p>
            <w:pPr>
              <w:spacing w:after="0"/>
              <w:rPr>
                <w:sz w:val="10"/>
                <w:szCs w:val="10"/>
                <w:color w:val="auto"/>
              </w:rPr>
            </w:pPr>
          </w:p>
        </w:tc>
        <w:tc>
          <w:tcPr>
            <w:tcW w:w="5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RMB</w:t>
            </w:r>
          </w:p>
        </w:tc>
        <w:tc>
          <w:tcPr>
            <w:tcW w:w="120" w:type="dxa"/>
            <w:vAlign w:val="bottom"/>
          </w:tcPr>
          <w:p>
            <w:pPr>
              <w:spacing w:after="0"/>
              <w:rPr>
                <w:sz w:val="10"/>
                <w:szCs w:val="10"/>
                <w:color w:val="auto"/>
              </w:rPr>
            </w:pPr>
          </w:p>
        </w:tc>
        <w:tc>
          <w:tcPr>
            <w:tcW w:w="6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RMB</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Balance as of December 31, 2022</w:t>
            </w:r>
          </w:p>
        </w:tc>
        <w:tc>
          <w:tcPr>
            <w:tcW w:w="5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2,618,69</w:t>
            </w:r>
          </w:p>
        </w:tc>
        <w:tc>
          <w:tcPr>
            <w:tcW w:w="140" w:type="dxa"/>
            <w:vAlign w:val="bottom"/>
            <w:tcBorders>
              <w:right w:val="single" w:sz="8" w:color="CFF0FC"/>
            </w:tcBorders>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56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826,38</w:t>
            </w: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6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3,481,3</w:t>
            </w: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5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2,309,7</w:t>
            </w: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358,6</w:t>
            </w: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(2,812,1</w:t>
            </w: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in RMB</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40" w:type="dxa"/>
            <w:vAlign w:val="bottom"/>
            <w:tcBorders>
              <w:right w:val="single" w:sz="8" w:color="CFF0FC"/>
            </w:tcBorders>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127,885</w:t>
            </w: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14)</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(374,487)</w:t>
            </w: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(5,364)</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(379,851)</w:t>
            </w:r>
          </w:p>
        </w:tc>
        <w:tc>
          <w:tcPr>
            <w:tcW w:w="0" w:type="dxa"/>
            <w:vAlign w:val="bottom"/>
          </w:tcPr>
          <w:p>
            <w:pPr>
              <w:spacing w:after="0"/>
              <w:rPr>
                <w:sz w:val="1"/>
                <w:szCs w:val="1"/>
                <w:color w:val="auto"/>
              </w:rPr>
            </w:pPr>
          </w:p>
        </w:tc>
      </w:tr>
      <w:tr>
        <w:trPr>
          <w:trHeight w:val="115"/>
        </w:trPr>
        <w:tc>
          <w:tcPr>
            <w:tcW w:w="22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1"/>
                <w:szCs w:val="11"/>
                <w:color w:val="auto"/>
              </w:rPr>
              <w:t>Net income for the year</w:t>
            </w: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top w:val="single" w:sz="8" w:color="CFF0FC"/>
            </w:tcBorders>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4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640,830</w:t>
            </w:r>
          </w:p>
        </w:tc>
        <w:tc>
          <w:tcPr>
            <w:tcW w:w="10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0"/>
                <w:szCs w:val="10"/>
                <w:color w:val="auto"/>
              </w:rPr>
            </w:pPr>
          </w:p>
        </w:tc>
        <w:tc>
          <w:tcPr>
            <w:tcW w:w="7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640,830</w:t>
            </w:r>
          </w:p>
        </w:tc>
        <w:tc>
          <w:tcPr>
            <w:tcW w:w="10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top w:val="single" w:sz="8" w:color="CFF0FC"/>
            </w:tcBorders>
          </w:tcPr>
          <w:p>
            <w:pPr>
              <w:spacing w:after="0"/>
              <w:rPr>
                <w:sz w:val="10"/>
                <w:szCs w:val="10"/>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640,831</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Conversion Class C Ordinary shares to</w:t>
            </w:r>
          </w:p>
        </w:tc>
        <w:tc>
          <w:tcPr>
            <w:tcW w:w="5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62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(149,29</w:t>
            </w: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Class A Ordinary shares (Note 13)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149,291</w:t>
            </w:r>
          </w:p>
        </w:tc>
        <w:tc>
          <w:tcPr>
            <w:tcW w:w="140" w:type="dxa"/>
            <w:vAlign w:val="bottom"/>
            <w:tcBorders>
              <w:right w:val="single" w:sz="8" w:color="CFF0FC"/>
            </w:tcBorders>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2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Share repurchase (Note 13)</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65,46</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(65,466)</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(4,698)</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1"/>
                <w:szCs w:val="11"/>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(4,698)</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(4,698)</w:t>
            </w: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5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adjustments</w:t>
            </w:r>
          </w:p>
        </w:tc>
        <w:tc>
          <w:tcPr>
            <w:tcW w:w="6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15,391</w:t>
            </w: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15,391</w:t>
            </w: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15,391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Disposal of subsidiaries</w:t>
            </w:r>
          </w:p>
        </w:tc>
        <w:tc>
          <w:tcPr>
            <w:tcW w:w="5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3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Borders>
              <w:bottom w:val="single" w:sz="8" w:color="auto"/>
            </w:tcBorders>
          </w:tcPr>
          <w:p>
            <w:pPr>
              <w:ind w:lef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40" w:type="dxa"/>
            <w:vAlign w:val="bottom"/>
            <w:tcBorders>
              <w:bottom w:val="single" w:sz="8" w:color="auto"/>
            </w:tcBorders>
          </w:tcPr>
          <w:p>
            <w:pPr>
              <w:ind w:lef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3,876</w:t>
            </w:r>
          </w:p>
        </w:tc>
        <w:tc>
          <w:tcPr>
            <w:tcW w:w="12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3,876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22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Balance as of December 31, 2023</w:t>
            </w:r>
          </w:p>
        </w:tc>
        <w:tc>
          <w:tcPr>
            <w:tcW w:w="5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2,702,52</w:t>
            </w:r>
          </w:p>
        </w:tc>
        <w:tc>
          <w:tcPr>
            <w:tcW w:w="140" w:type="dxa"/>
            <w:vAlign w:val="bottom"/>
            <w:tcBorders>
              <w:right w:val="single" w:sz="8" w:color="CFF0FC"/>
            </w:tcBorders>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826,38</w:t>
            </w: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62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3,332,0</w:t>
            </w: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58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2,305,0</w:t>
            </w: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424,0</w:t>
            </w:r>
          </w:p>
        </w:tc>
        <w:tc>
          <w:tcPr>
            <w:tcW w:w="1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(2,171,2</w:t>
            </w: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in RMB</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tcBorders>
              <w:right w:val="single" w:sz="8" w:color="CFF0FC"/>
            </w:tcBorders>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143,276</w:t>
            </w: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84)</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277,036</w:t>
            </w: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(1,487)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275,549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1"/>
                <w:szCs w:val="11"/>
                <w:color w:val="auto"/>
              </w:rPr>
              <w:t>Net income for the year</w:t>
            </w: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top w:val="single" w:sz="8" w:color="CFF0FC"/>
            </w:tcBorders>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4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342,082</w:t>
            </w:r>
          </w:p>
        </w:tc>
        <w:tc>
          <w:tcPr>
            <w:tcW w:w="10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0"/>
                <w:szCs w:val="10"/>
                <w:color w:val="auto"/>
              </w:rPr>
            </w:pPr>
          </w:p>
        </w:tc>
        <w:tc>
          <w:tcPr>
            <w:tcW w:w="7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342,082</w:t>
            </w:r>
          </w:p>
        </w:tc>
        <w:tc>
          <w:tcPr>
            <w:tcW w:w="10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342,082</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Share repurchase (Note 13)</w:t>
            </w:r>
          </w:p>
        </w:tc>
        <w:tc>
          <w:tcPr>
            <w:tcW w:w="5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101,7</w:t>
            </w: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(101,744)</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(10,661)</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(10,661)</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(10,661)</w:t>
            </w:r>
          </w:p>
        </w:tc>
        <w:tc>
          <w:tcPr>
            <w:tcW w:w="0" w:type="dxa"/>
            <w:vAlign w:val="bottom"/>
          </w:tcPr>
          <w:p>
            <w:pPr>
              <w:spacing w:after="0"/>
              <w:rPr>
                <w:sz w:val="1"/>
                <w:szCs w:val="1"/>
                <w:color w:val="auto"/>
              </w:rPr>
            </w:pPr>
          </w:p>
        </w:tc>
      </w:tr>
      <w:tr>
        <w:trPr>
          <w:trHeight w:val="108"/>
        </w:trPr>
        <w:tc>
          <w:tcPr>
            <w:tcW w:w="22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Unrealized (loss) on available-for-sale</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investments,</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of tax effect of nil</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(24,083)</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(24,083)</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(24,083)</w:t>
            </w:r>
          </w:p>
        </w:tc>
        <w:tc>
          <w:tcPr>
            <w:tcW w:w="0" w:type="dxa"/>
            <w:vAlign w:val="bottom"/>
          </w:tcPr>
          <w:p>
            <w:pPr>
              <w:spacing w:after="0"/>
              <w:rPr>
                <w:sz w:val="1"/>
                <w:szCs w:val="1"/>
                <w:color w:val="auto"/>
              </w:rPr>
            </w:pPr>
          </w:p>
        </w:tc>
      </w:tr>
      <w:tr>
        <w:trPr>
          <w:trHeight w:val="122"/>
        </w:trPr>
        <w:tc>
          <w:tcPr>
            <w:tcW w:w="2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Provision for statutory reserves</w:t>
            </w:r>
          </w:p>
        </w:tc>
        <w:tc>
          <w:tcPr>
            <w:tcW w:w="660" w:type="dxa"/>
            <w:vAlign w:val="bottom"/>
            <w:tcBorders>
              <w:right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ind w:lef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ind w:lef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(11,083)</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11,083</w:t>
            </w: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2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vMerge w:val="restart"/>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16,971</w:t>
            </w:r>
          </w:p>
        </w:tc>
        <w:tc>
          <w:tcPr>
            <w:tcW w:w="12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16,971</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16,971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2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adjustments</w:t>
            </w:r>
          </w:p>
        </w:tc>
        <w:tc>
          <w:tcPr>
            <w:tcW w:w="52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34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34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22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Balance as of December 31, 2024</w:t>
            </w:r>
          </w:p>
        </w:tc>
        <w:tc>
          <w:tcPr>
            <w:tcW w:w="5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2,600,77</w:t>
            </w:r>
          </w:p>
        </w:tc>
        <w:tc>
          <w:tcPr>
            <w:tcW w:w="140" w:type="dxa"/>
            <w:vAlign w:val="bottom"/>
            <w:tcBorders>
              <w:right w:val="single" w:sz="8" w:color="CFF0FC"/>
            </w:tcBorders>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826,38</w:t>
            </w: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62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3,332,0</w:t>
            </w: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58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2,294,3</w:t>
            </w:r>
          </w:p>
        </w:tc>
        <w:tc>
          <w:tcPr>
            <w:tcW w:w="120" w:type="dxa"/>
            <w:vAlign w:val="bottom"/>
            <w:shd w:val="clear" w:color="auto" w:fill="CFF0FC"/>
          </w:tcPr>
          <w:p>
            <w:pPr>
              <w:spacing w:after="0"/>
              <w:rPr>
                <w:sz w:val="8"/>
                <w:szCs w:val="8"/>
                <w:color w:val="auto"/>
              </w:rPr>
            </w:pPr>
          </w:p>
        </w:tc>
        <w:tc>
          <w:tcPr>
            <w:tcW w:w="4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525,8</w:t>
            </w:r>
          </w:p>
        </w:tc>
        <w:tc>
          <w:tcPr>
            <w:tcW w:w="1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(1,840,2</w:t>
            </w: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in RMB</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40" w:type="dxa"/>
            <w:vAlign w:val="bottom"/>
            <w:tcBorders>
              <w:right w:val="single" w:sz="8" w:color="CFF0FC"/>
            </w:tcBorders>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136,164</w:t>
            </w: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85)</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11,083</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601,345</w:t>
            </w: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(1,487)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599,858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1"/>
                <w:szCs w:val="11"/>
                <w:color w:val="auto"/>
              </w:rPr>
              <w:t>Net income for the year</w:t>
            </w: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top w:val="single" w:sz="8" w:color="CFF0FC"/>
            </w:tcBorders>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4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365,631</w:t>
            </w:r>
          </w:p>
        </w:tc>
        <w:tc>
          <w:tcPr>
            <w:tcW w:w="10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0"/>
                <w:szCs w:val="10"/>
                <w:color w:val="auto"/>
              </w:rPr>
            </w:pPr>
          </w:p>
        </w:tc>
        <w:tc>
          <w:tcPr>
            <w:tcW w:w="7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365,631</w:t>
            </w:r>
          </w:p>
        </w:tc>
        <w:tc>
          <w:tcPr>
            <w:tcW w:w="10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FF0FC"/>
            </w:tcBorders>
          </w:tcPr>
          <w:p>
            <w:pPr>
              <w:spacing w:after="0"/>
              <w:rPr>
                <w:sz w:val="10"/>
                <w:szCs w:val="10"/>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365,631</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Share repurchase (Note 13)</w:t>
            </w:r>
          </w:p>
        </w:tc>
        <w:tc>
          <w:tcPr>
            <w:tcW w:w="520" w:type="dxa"/>
            <w:vAlign w:val="bottom"/>
            <w:shd w:val="clear" w:color="auto" w:fill="CFF0FC"/>
          </w:tcPr>
          <w:p>
            <w:pPr>
              <w:spacing w:after="0"/>
              <w:rPr>
                <w:sz w:val="9"/>
                <w:szCs w:val="9"/>
                <w:color w:val="auto"/>
              </w:rPr>
            </w:pPr>
          </w:p>
        </w:tc>
        <w:tc>
          <w:tcPr>
            <w:tcW w:w="140" w:type="dxa"/>
            <w:vAlign w:val="bottom"/>
            <w:tcBorders>
              <w:right w:val="single" w:sz="8" w:color="CFF0FC"/>
            </w:tcBorders>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62,73</w:t>
            </w: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(62,732)</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(6,828)</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(6,828)</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(6,828)</w:t>
            </w:r>
          </w:p>
        </w:tc>
        <w:tc>
          <w:tcPr>
            <w:tcW w:w="0" w:type="dxa"/>
            <w:vAlign w:val="bottom"/>
          </w:tcPr>
          <w:p>
            <w:pPr>
              <w:spacing w:after="0"/>
              <w:rPr>
                <w:sz w:val="1"/>
                <w:szCs w:val="1"/>
                <w:color w:val="auto"/>
              </w:rPr>
            </w:pPr>
          </w:p>
        </w:tc>
      </w:tr>
      <w:tr>
        <w:trPr>
          <w:trHeight w:val="108"/>
        </w:trPr>
        <w:tc>
          <w:tcPr>
            <w:tcW w:w="22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w w:val="99"/>
              </w:rPr>
              <w:t>Unrealized gain on available-for-sale investments,</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of tax effect of nil</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11,685</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11,685</w:t>
            </w:r>
          </w:p>
        </w:tc>
        <w:tc>
          <w:tcPr>
            <w:tcW w:w="10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Provision for statutory reserves</w:t>
            </w:r>
          </w:p>
        </w:tc>
        <w:tc>
          <w:tcPr>
            <w:tcW w:w="660" w:type="dxa"/>
            <w:vAlign w:val="bottom"/>
            <w:tcBorders>
              <w:right w:val="single" w:sz="8" w:color="CFF0FC"/>
            </w:tcBorders>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ind w:lef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ind w:left="2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(11,357)</w:t>
            </w: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11,357</w:t>
            </w: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2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vMerge w:val="restart"/>
          </w:tcPr>
          <w:p>
            <w:pPr>
              <w:spacing w:after="0"/>
              <w:rPr>
                <w:sz w:val="9"/>
                <w:szCs w:val="9"/>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(26,279)</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(26,279)</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(26,279)</w:t>
            </w:r>
          </w:p>
        </w:tc>
        <w:tc>
          <w:tcPr>
            <w:tcW w:w="0" w:type="dxa"/>
            <w:vAlign w:val="bottom"/>
          </w:tcPr>
          <w:p>
            <w:pPr>
              <w:spacing w:after="0"/>
              <w:rPr>
                <w:sz w:val="1"/>
                <w:szCs w:val="1"/>
                <w:color w:val="auto"/>
              </w:rPr>
            </w:pPr>
          </w:p>
        </w:tc>
      </w:tr>
      <w:tr>
        <w:trPr>
          <w:trHeight w:val="122"/>
        </w:trPr>
        <w:tc>
          <w:tcPr>
            <w:tcW w:w="22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adjustments</w:t>
            </w:r>
          </w:p>
        </w:tc>
        <w:tc>
          <w:tcPr>
            <w:tcW w:w="5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22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Balance as of December 31, 2025</w:t>
            </w:r>
          </w:p>
        </w:tc>
        <w:tc>
          <w:tcPr>
            <w:tcW w:w="52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2,538,04</w:t>
            </w:r>
          </w:p>
        </w:tc>
        <w:tc>
          <w:tcPr>
            <w:tcW w:w="140" w:type="dxa"/>
            <w:vAlign w:val="bottom"/>
            <w:tcBorders>
              <w:right w:val="single" w:sz="8" w:color="CFF0FC"/>
            </w:tcBorders>
            <w:shd w:val="clear" w:color="auto" w:fill="CFF0FC"/>
          </w:tcPr>
          <w:p>
            <w:pPr>
              <w:spacing w:after="0"/>
              <w:rPr>
                <w:sz w:val="8"/>
                <w:szCs w:val="8"/>
                <w:color w:val="auto"/>
              </w:rPr>
            </w:pPr>
          </w:p>
        </w:tc>
        <w:tc>
          <w:tcPr>
            <w:tcW w:w="3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826,38</w:t>
            </w:r>
          </w:p>
        </w:tc>
        <w:tc>
          <w:tcPr>
            <w:tcW w:w="120" w:type="dxa"/>
            <w:vAlign w:val="bottom"/>
            <w:shd w:val="clear" w:color="auto" w:fill="CFF0FC"/>
          </w:tcPr>
          <w:p>
            <w:pPr>
              <w:spacing w:after="0"/>
              <w:rPr>
                <w:sz w:val="8"/>
                <w:szCs w:val="8"/>
                <w:color w:val="auto"/>
              </w:rPr>
            </w:pPr>
          </w:p>
        </w:tc>
        <w:tc>
          <w:tcPr>
            <w:tcW w:w="3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3,332,0</w:t>
            </w:r>
          </w:p>
        </w:tc>
        <w:tc>
          <w:tcPr>
            <w:tcW w:w="120" w:type="dxa"/>
            <w:vAlign w:val="bottom"/>
            <w:shd w:val="clear" w:color="auto" w:fill="CFF0FC"/>
          </w:tcPr>
          <w:p>
            <w:pPr>
              <w:spacing w:after="0"/>
              <w:rPr>
                <w:sz w:val="8"/>
                <w:szCs w:val="8"/>
                <w:color w:val="auto"/>
              </w:rPr>
            </w:pPr>
          </w:p>
        </w:tc>
        <w:tc>
          <w:tcPr>
            <w:tcW w:w="3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2,287,5</w:t>
            </w:r>
          </w:p>
        </w:tc>
        <w:tc>
          <w:tcPr>
            <w:tcW w:w="120" w:type="dxa"/>
            <w:vAlign w:val="bottom"/>
            <w:shd w:val="clear" w:color="auto" w:fill="CFF0FC"/>
          </w:tcPr>
          <w:p>
            <w:pPr>
              <w:spacing w:after="0"/>
              <w:rPr>
                <w:sz w:val="8"/>
                <w:szCs w:val="8"/>
                <w:color w:val="auto"/>
              </w:rPr>
            </w:pPr>
          </w:p>
        </w:tc>
        <w:tc>
          <w:tcPr>
            <w:tcW w:w="40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588,5</w:t>
            </w:r>
          </w:p>
        </w:tc>
        <w:tc>
          <w:tcPr>
            <w:tcW w:w="100" w:type="dxa"/>
            <w:vAlign w:val="bottom"/>
            <w:shd w:val="clear" w:color="auto" w:fill="CFF0FC"/>
          </w:tcPr>
          <w:p>
            <w:pPr>
              <w:spacing w:after="0"/>
              <w:rPr>
                <w:sz w:val="8"/>
                <w:szCs w:val="8"/>
                <w:color w:val="auto"/>
              </w:rPr>
            </w:pPr>
          </w:p>
        </w:tc>
        <w:tc>
          <w:tcPr>
            <w:tcW w:w="3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(1,486,0</w:t>
            </w:r>
          </w:p>
        </w:tc>
        <w:tc>
          <w:tcPr>
            <w:tcW w:w="10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in RMB</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40" w:type="dxa"/>
            <w:vAlign w:val="bottom"/>
            <w:tcBorders>
              <w:right w:val="single" w:sz="8" w:color="CFF0FC"/>
            </w:tcBorders>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2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121,570</w:t>
            </w: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11)</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22,440</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945,554</w:t>
            </w: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(1,487)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944,067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220" w:type="dxa"/>
            <w:vAlign w:val="bottom"/>
            <w:tcBorders>
              <w:top w:val="single" w:sz="8" w:color="CFF0FC"/>
            </w:tcBorders>
          </w:tcPr>
          <w:p>
            <w:pPr>
              <w:spacing w:after="0" w:line="102" w:lineRule="exact"/>
              <w:rPr>
                <w:sz w:val="20"/>
                <w:szCs w:val="20"/>
                <w:color w:val="auto"/>
              </w:rPr>
            </w:pPr>
            <w:r>
              <w:rPr>
                <w:rFonts w:ascii="Times New Roman" w:cs="Times New Roman" w:eastAsia="Times New Roman" w:hAnsi="Times New Roman"/>
                <w:sz w:val="11"/>
                <w:szCs w:val="11"/>
                <w:color w:val="auto"/>
              </w:rPr>
              <w:t>Balance as of December 31, 2025</w:t>
            </w:r>
          </w:p>
        </w:tc>
        <w:tc>
          <w:tcPr>
            <w:tcW w:w="5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2,538,04</w:t>
            </w:r>
          </w:p>
        </w:tc>
        <w:tc>
          <w:tcPr>
            <w:tcW w:w="140" w:type="dxa"/>
            <w:vAlign w:val="bottom"/>
            <w:tcBorders>
              <w:top w:val="single" w:sz="8" w:color="CFF0FC"/>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826,38</w:t>
            </w:r>
          </w:p>
        </w:tc>
        <w:tc>
          <w:tcPr>
            <w:tcW w:w="120" w:type="dxa"/>
            <w:vAlign w:val="bottom"/>
            <w:tcBorders>
              <w:top w:val="single" w:sz="8" w:color="CFF0FC"/>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3,332,0</w:t>
            </w:r>
          </w:p>
        </w:tc>
        <w:tc>
          <w:tcPr>
            <w:tcW w:w="120" w:type="dxa"/>
            <w:vAlign w:val="bottom"/>
            <w:tcBorders>
              <w:top w:val="single" w:sz="8" w:color="CFF0FC"/>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4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588,5</w:t>
            </w:r>
          </w:p>
        </w:tc>
        <w:tc>
          <w:tcPr>
            <w:tcW w:w="100" w:type="dxa"/>
            <w:vAlign w:val="bottom"/>
            <w:tcBorders>
              <w:top w:val="single" w:sz="8" w:color="CFF0FC"/>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 USD (Note 2)</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Pr>
          <w:p>
            <w:pPr>
              <w:spacing w:after="0"/>
              <w:rPr>
                <w:sz w:val="11"/>
                <w:szCs w:val="11"/>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327,116</w:t>
            </w: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1"/>
                <w:szCs w:val="11"/>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17,384</w:t>
            </w:r>
          </w:p>
        </w:tc>
        <w:tc>
          <w:tcPr>
            <w:tcW w:w="12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(212,497)</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135,212</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(213)</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134,999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-2596515</wp:posOffset>
            </wp:positionV>
            <wp:extent cx="768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-2596515</wp:posOffset>
            </wp:positionV>
            <wp:extent cx="768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-2596515</wp:posOffset>
            </wp:positionV>
            <wp:extent cx="768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-2596515</wp:posOffset>
            </wp:positionV>
            <wp:extent cx="768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-2596515</wp:posOffset>
            </wp:positionV>
            <wp:extent cx="7747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-2596515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-2596515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-2596515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-2596515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-2596515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-2596515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-2596515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-2596515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-2596515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-1808480</wp:posOffset>
            </wp:positionV>
            <wp:extent cx="7683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-1808480</wp:posOffset>
            </wp:positionV>
            <wp:extent cx="7683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-1808480</wp:posOffset>
            </wp:positionV>
            <wp:extent cx="7683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-1808480</wp:posOffset>
            </wp:positionV>
            <wp:extent cx="7683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-1808480</wp:posOffset>
            </wp:positionV>
            <wp:extent cx="7747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-1808480</wp:posOffset>
            </wp:positionV>
            <wp:extent cx="685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-1808480</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-1808480</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-1808480</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-1808480</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-1808480</wp:posOffset>
            </wp:positionV>
            <wp:extent cx="685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-1808480</wp:posOffset>
            </wp:positionV>
            <wp:extent cx="685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-1808480</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-1808480</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-1808480</wp:posOffset>
            </wp:positionV>
            <wp:extent cx="685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-951230</wp:posOffset>
            </wp:positionV>
            <wp:extent cx="768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-951230</wp:posOffset>
            </wp:positionV>
            <wp:extent cx="7683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-951230</wp:posOffset>
            </wp:positionV>
            <wp:extent cx="7683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-951230</wp:posOffset>
            </wp:positionV>
            <wp:extent cx="768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-951230</wp:posOffset>
            </wp:positionV>
            <wp:extent cx="774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-951230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-951230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-951230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-951230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-951230</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-951230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-951230</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-951230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-951230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-170815</wp:posOffset>
            </wp:positionV>
            <wp:extent cx="7683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-170815</wp:posOffset>
            </wp:positionV>
            <wp:extent cx="7683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-170815</wp:posOffset>
            </wp:positionV>
            <wp:extent cx="7683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-170815</wp:posOffset>
            </wp:positionV>
            <wp:extent cx="7683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-170815</wp:posOffset>
            </wp:positionV>
            <wp:extent cx="7747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-170815</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-170815</wp:posOffset>
            </wp:positionV>
            <wp:extent cx="685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-170815</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-170815</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685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685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-170815</wp:posOffset>
            </wp:positionV>
            <wp:extent cx="685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181717"/>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color w:val="181717"/>
        </w:rPr>
        <w:t>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181717"/>
        </w:rPr>
        <w:t>(Amounts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color w:val="auto"/>
              </w:rPr>
              <w:t>Years ended 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110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20" w:type="dxa"/>
            <w:vAlign w:val="bottom"/>
          </w:tcPr>
          <w:p>
            <w:pPr>
              <w:spacing w:after="0"/>
              <w:rPr>
                <w:sz w:val="12"/>
                <w:szCs w:val="12"/>
                <w:color w:val="auto"/>
              </w:rPr>
            </w:pPr>
          </w:p>
        </w:tc>
        <w:tc>
          <w:tcPr>
            <w:tcW w:w="128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6260" w:type="dxa"/>
            <w:vAlign w:val="bottom"/>
          </w:tcPr>
          <w:p>
            <w:pPr>
              <w:spacing w:after="0"/>
              <w:rPr>
                <w:sz w:val="10"/>
                <w:szCs w:val="10"/>
                <w:color w:val="auto"/>
              </w:rPr>
            </w:pPr>
          </w:p>
        </w:tc>
        <w:tc>
          <w:tcPr>
            <w:tcW w:w="1100" w:type="dxa"/>
            <w:vAlign w:val="bottom"/>
          </w:tcPr>
          <w:p>
            <w:pPr>
              <w:jc w:val="right"/>
              <w:ind w:right="328"/>
              <w:spacing w:after="0" w:line="119" w:lineRule="exact"/>
              <w:rPr>
                <w:sz w:val="20"/>
                <w:szCs w:val="20"/>
                <w:color w:val="auto"/>
              </w:rPr>
            </w:pPr>
            <w:r>
              <w:rPr>
                <w:rFonts w:ascii="Times New Roman" w:cs="Times New Roman" w:eastAsia="Times New Roman" w:hAnsi="Times New Roman"/>
                <w:sz w:val="13"/>
                <w:szCs w:val="13"/>
                <w:color w:val="auto"/>
              </w:rPr>
              <w:t>RMB</w:t>
            </w:r>
          </w:p>
        </w:tc>
        <w:tc>
          <w:tcPr>
            <w:tcW w:w="240" w:type="dxa"/>
            <w:vAlign w:val="bottom"/>
          </w:tcPr>
          <w:p>
            <w:pPr>
              <w:spacing w:after="0"/>
              <w:rPr>
                <w:sz w:val="10"/>
                <w:szCs w:val="10"/>
                <w:color w:val="auto"/>
              </w:rPr>
            </w:pPr>
          </w:p>
        </w:tc>
        <w:tc>
          <w:tcPr>
            <w:tcW w:w="1080" w:type="dxa"/>
            <w:vAlign w:val="bottom"/>
          </w:tcPr>
          <w:p>
            <w:pPr>
              <w:jc w:val="right"/>
              <w:ind w:right="328"/>
              <w:spacing w:after="0" w:line="119" w:lineRule="exact"/>
              <w:rPr>
                <w:sz w:val="20"/>
                <w:szCs w:val="20"/>
                <w:color w:val="auto"/>
              </w:rPr>
            </w:pPr>
            <w:r>
              <w:rPr>
                <w:rFonts w:ascii="Times New Roman" w:cs="Times New Roman" w:eastAsia="Times New Roman" w:hAnsi="Times New Roman"/>
                <w:sz w:val="13"/>
                <w:szCs w:val="13"/>
                <w:color w:val="auto"/>
              </w:rPr>
              <w:t>RMB</w:t>
            </w:r>
          </w:p>
        </w:tc>
        <w:tc>
          <w:tcPr>
            <w:tcW w:w="220" w:type="dxa"/>
            <w:vAlign w:val="bottom"/>
          </w:tcPr>
          <w:p>
            <w:pPr>
              <w:spacing w:after="0"/>
              <w:rPr>
                <w:sz w:val="10"/>
                <w:szCs w:val="10"/>
                <w:color w:val="auto"/>
              </w:rPr>
            </w:pPr>
          </w:p>
        </w:tc>
        <w:tc>
          <w:tcPr>
            <w:tcW w:w="1280" w:type="dxa"/>
            <w:vAlign w:val="bottom"/>
            <w:gridSpan w:val="2"/>
          </w:tcPr>
          <w:p>
            <w:pPr>
              <w:jc w:val="right"/>
              <w:ind w:right="600"/>
              <w:spacing w:after="0" w:line="119" w:lineRule="exact"/>
              <w:rPr>
                <w:sz w:val="20"/>
                <w:szCs w:val="20"/>
                <w:color w:val="auto"/>
              </w:rPr>
            </w:pPr>
            <w:r>
              <w:rPr>
                <w:rFonts w:ascii="Times New Roman" w:cs="Times New Roman" w:eastAsia="Times New Roman" w:hAnsi="Times New Roman"/>
                <w:sz w:val="13"/>
                <w:szCs w:val="13"/>
                <w:color w:val="auto"/>
              </w:rPr>
              <w:t>RMB</w:t>
            </w:r>
          </w:p>
        </w:tc>
        <w:tc>
          <w:tcPr>
            <w:tcW w:w="960" w:type="dxa"/>
            <w:vAlign w:val="bottom"/>
          </w:tcPr>
          <w:p>
            <w:pPr>
              <w:jc w:val="right"/>
              <w:ind w:right="288"/>
              <w:spacing w:after="0" w:line="119" w:lineRule="exact"/>
              <w:rPr>
                <w:sz w:val="20"/>
                <w:szCs w:val="20"/>
                <w:color w:val="auto"/>
              </w:rPr>
            </w:pPr>
            <w:r>
              <w:rPr>
                <w:rFonts w:ascii="Times New Roman" w:cs="Times New Roman" w:eastAsia="Times New Roman" w:hAnsi="Times New Roman"/>
                <w:sz w:val="13"/>
                <w:szCs w:val="13"/>
                <w:color w:val="auto"/>
              </w:rPr>
              <w:t>US$</w:t>
            </w:r>
          </w:p>
        </w:tc>
        <w:tc>
          <w:tcPr>
            <w:tcW w:w="100" w:type="dxa"/>
            <w:vAlign w:val="bottom"/>
          </w:tcPr>
          <w:p>
            <w:pPr>
              <w:spacing w:after="0"/>
              <w:rPr>
                <w:sz w:val="10"/>
                <w:szCs w:val="10"/>
                <w:color w:val="auto"/>
              </w:rPr>
            </w:pPr>
          </w:p>
        </w:tc>
      </w:tr>
      <w:tr>
        <w:trPr>
          <w:trHeight w:val="171"/>
        </w:trPr>
        <w:tc>
          <w:tcPr>
            <w:tcW w:w="6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(Note 2)</w:t>
            </w:r>
          </w:p>
        </w:tc>
      </w:tr>
      <w:tr>
        <w:trPr>
          <w:trHeight w:val="148"/>
        </w:trPr>
        <w:tc>
          <w:tcPr>
            <w:tcW w:w="6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640,831</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342,082</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365,631</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52,284</w:t>
            </w:r>
          </w:p>
        </w:tc>
        <w:tc>
          <w:tcPr>
            <w:tcW w:w="100" w:type="dxa"/>
            <w:vAlign w:val="bottom"/>
          </w:tcPr>
          <w:p>
            <w:pPr>
              <w:spacing w:after="0"/>
              <w:rPr>
                <w:sz w:val="12"/>
                <w:szCs w:val="12"/>
                <w:color w:val="auto"/>
              </w:rPr>
            </w:pPr>
          </w:p>
        </w:tc>
      </w:tr>
      <w:tr>
        <w:trPr>
          <w:trHeight w:val="126"/>
        </w:trPr>
        <w:tc>
          <w:tcPr>
            <w:tcW w:w="62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to net cash generated</w:t>
            </w:r>
          </w:p>
        </w:tc>
        <w:tc>
          <w:tcPr>
            <w:tcW w:w="1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1"/>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from operating activities:</w:t>
            </w: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30,648</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29,467</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28,792</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4,117</w:t>
            </w:r>
          </w:p>
        </w:tc>
        <w:tc>
          <w:tcPr>
            <w:tcW w:w="100" w:type="dxa"/>
            <w:vAlign w:val="bottom"/>
          </w:tcPr>
          <w:p>
            <w:pPr>
              <w:spacing w:after="0"/>
              <w:rPr>
                <w:sz w:val="12"/>
                <w:szCs w:val="12"/>
                <w:color w:val="auto"/>
              </w:rPr>
            </w:pPr>
          </w:p>
        </w:tc>
      </w:tr>
      <w:tr>
        <w:trPr>
          <w:trHeight w:val="149"/>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lease expenses</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23,652</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18,126</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12,207</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1,746</w:t>
            </w:r>
          </w:p>
        </w:tc>
        <w:tc>
          <w:tcPr>
            <w:tcW w:w="100" w:type="dxa"/>
            <w:vAlign w:val="bottom"/>
            <w:shd w:val="clear" w:color="auto" w:fill="CFF0FC"/>
          </w:tcPr>
          <w:p>
            <w:pPr>
              <w:spacing w:after="0"/>
              <w:rPr>
                <w:sz w:val="12"/>
                <w:szCs w:val="12"/>
                <w:color w:val="auto"/>
              </w:rPr>
            </w:pP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from early termination of operating leases (Note 17)</w:t>
            </w: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(27,176)</w:t>
            </w: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(1,310)</w:t>
            </w:r>
          </w:p>
        </w:tc>
        <w:tc>
          <w:tcPr>
            <w:tcW w:w="12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(352)</w:t>
            </w: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w:t>
            </w:r>
          </w:p>
        </w:tc>
      </w:tr>
      <w:tr>
        <w:trPr>
          <w:trHeight w:val="148"/>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disposal of property and equipment</w:t>
            </w: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2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Loss from equity method investments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10,084</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13,512</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4,530</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2"/>
                <w:szCs w:val="12"/>
                <w:color w:val="auto"/>
              </w:rPr>
            </w:pPr>
          </w:p>
        </w:tc>
      </w:tr>
      <w:tr>
        <w:trPr>
          <w:trHeight w:val="148"/>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loss on deferred costs</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4,158</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FF0FC"/>
          </w:tcPr>
          <w:p>
            <w:pPr>
              <w:spacing w:after="0"/>
              <w:rPr>
                <w:sz w:val="12"/>
                <w:szCs w:val="12"/>
                <w:color w:val="auto"/>
              </w:rPr>
            </w:pPr>
          </w:p>
        </w:tc>
      </w:tr>
      <w:tr>
        <w:trPr>
          <w:trHeight w:val="149"/>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from fair value change of long-term investments</w:t>
            </w: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(1,948)</w:t>
            </w: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(1,608)</w:t>
            </w:r>
          </w:p>
        </w:tc>
        <w:tc>
          <w:tcPr>
            <w:tcW w:w="12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(290)</w:t>
            </w:r>
          </w:p>
        </w:tc>
      </w:tr>
      <w:tr>
        <w:trPr>
          <w:trHeight w:val="148"/>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loss on long-lived assets</w:t>
            </w:r>
          </w:p>
        </w:tc>
        <w:tc>
          <w:tcPr>
            <w:tcW w:w="13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67,931</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9,714</w:t>
            </w:r>
          </w:p>
        </w:tc>
        <w:tc>
          <w:tcPr>
            <w:tcW w:w="100" w:type="dxa"/>
            <w:vAlign w:val="bottom"/>
            <w:shd w:val="clear" w:color="auto" w:fill="CFF0FC"/>
          </w:tcPr>
          <w:p>
            <w:pPr>
              <w:spacing w:after="0"/>
              <w:rPr>
                <w:sz w:val="12"/>
                <w:szCs w:val="12"/>
                <w:color w:val="auto"/>
              </w:rPr>
            </w:pP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loss on long-term investments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4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(Gain)/loss from disposal of subsidiaries</w:t>
            </w: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(43,715)</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838</w:t>
            </w:r>
          </w:p>
        </w:tc>
        <w:tc>
          <w:tcPr>
            <w:tcW w:w="2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(13,114)</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5,308</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12,366</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1,768</w:t>
            </w:r>
          </w:p>
        </w:tc>
        <w:tc>
          <w:tcPr>
            <w:tcW w:w="100" w:type="dxa"/>
            <w:vAlign w:val="bottom"/>
            <w:shd w:val="clear" w:color="auto" w:fill="CFF0FC"/>
          </w:tcPr>
          <w:p>
            <w:pPr>
              <w:spacing w:after="0"/>
              <w:rPr>
                <w:sz w:val="12"/>
                <w:szCs w:val="12"/>
                <w:color w:val="auto"/>
              </w:rPr>
            </w:pP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costs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37,278</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18,093</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27,812</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3,977</w:t>
            </w:r>
          </w:p>
        </w:tc>
        <w:tc>
          <w:tcPr>
            <w:tcW w:w="100" w:type="dxa"/>
            <w:vAlign w:val="bottom"/>
          </w:tcPr>
          <w:p>
            <w:pPr>
              <w:spacing w:after="0"/>
              <w:rPr>
                <w:sz w:val="12"/>
                <w:szCs w:val="12"/>
                <w:color w:val="auto"/>
              </w:rPr>
            </w:pPr>
          </w:p>
        </w:tc>
      </w:tr>
      <w:tr>
        <w:trPr>
          <w:trHeight w:val="148"/>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Right-of-use asset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142,347</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8,850</w:t>
            </w:r>
          </w:p>
        </w:tc>
        <w:tc>
          <w:tcPr>
            <w:tcW w:w="2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(812)</w:t>
            </w: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(116)</w:t>
            </w: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26,799</w:t>
            </w:r>
          </w:p>
        </w:tc>
        <w:tc>
          <w:tcPr>
            <w:tcW w:w="24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(24,699)</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5,595</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2"/>
                <w:szCs w:val="12"/>
                <w:color w:val="auto"/>
              </w:rPr>
            </w:pPr>
          </w:p>
        </w:tc>
      </w:tr>
      <w:tr>
        <w:trPr>
          <w:trHeight w:val="148"/>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3,089</w:t>
            </w:r>
          </w:p>
        </w:tc>
        <w:tc>
          <w:tcPr>
            <w:tcW w:w="2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1,097</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FF0FC"/>
          </w:tcPr>
          <w:p>
            <w:pPr>
              <w:spacing w:after="0"/>
              <w:rPr>
                <w:sz w:val="12"/>
                <w:szCs w:val="12"/>
                <w:color w:val="auto"/>
              </w:rPr>
            </w:pP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35,107</w:t>
            </w:r>
          </w:p>
        </w:tc>
        <w:tc>
          <w:tcPr>
            <w:tcW w:w="24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(4,828)</w:t>
            </w:r>
          </w:p>
        </w:tc>
        <w:tc>
          <w:tcPr>
            <w:tcW w:w="12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(38,417)</w:t>
            </w: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(5,494)</w:t>
            </w:r>
          </w:p>
        </w:tc>
      </w:tr>
      <w:tr>
        <w:trPr>
          <w:trHeight w:val="149"/>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(553,803)</w:t>
            </w: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(193,986)</w:t>
            </w:r>
          </w:p>
        </w:tc>
        <w:tc>
          <w:tcPr>
            <w:tcW w:w="12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(331,215)</w:t>
            </w: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(47,363)</w:t>
            </w: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(168,621)</w:t>
            </w: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(19,931)</w:t>
            </w:r>
          </w:p>
        </w:tc>
        <w:tc>
          <w:tcPr>
            <w:tcW w:w="12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(6,688)</w:t>
            </w: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(956)</w:t>
            </w:r>
          </w:p>
        </w:tc>
      </w:tr>
      <w:tr>
        <w:trPr>
          <w:trHeight w:val="148"/>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(2,242)</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1,982</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2"/>
                <w:szCs w:val="12"/>
                <w:color w:val="auto"/>
              </w:rPr>
            </w:pP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2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r>
      <w:tr>
        <w:trPr>
          <w:trHeight w:val="142"/>
        </w:trPr>
        <w:tc>
          <w:tcPr>
            <w:tcW w:w="62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cash generated from operating activities</w:t>
            </w:r>
          </w:p>
        </w:tc>
        <w:tc>
          <w:tcPr>
            <w:tcW w:w="1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140,798</w:t>
            </w:r>
          </w:p>
        </w:tc>
        <w:tc>
          <w:tcPr>
            <w:tcW w:w="2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195,519</w:t>
            </w:r>
          </w:p>
        </w:tc>
        <w:tc>
          <w:tcPr>
            <w:tcW w:w="22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146,809</w:t>
            </w:r>
          </w:p>
        </w:tc>
        <w:tc>
          <w:tcPr>
            <w:tcW w:w="20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20,994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2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 for long-term investments</w:t>
            </w: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(1,958)</w:t>
            </w: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(235,255)</w:t>
            </w:r>
          </w:p>
        </w:tc>
        <w:tc>
          <w:tcPr>
            <w:tcW w:w="12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(84,572)</w:t>
            </w: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(12,094)</w:t>
            </w: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received from disposal of long-term investments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5,920</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6,917</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989</w:t>
            </w:r>
          </w:p>
        </w:tc>
        <w:tc>
          <w:tcPr>
            <w:tcW w:w="100" w:type="dxa"/>
            <w:vAlign w:val="bottom"/>
          </w:tcPr>
          <w:p>
            <w:pPr>
              <w:spacing w:after="0"/>
              <w:rPr>
                <w:sz w:val="12"/>
                <w:szCs w:val="12"/>
                <w:color w:val="auto"/>
              </w:rPr>
            </w:pPr>
          </w:p>
        </w:tc>
      </w:tr>
      <w:tr>
        <w:trPr>
          <w:trHeight w:val="149"/>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short-term investments</w:t>
            </w: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(773,250)</w:t>
            </w: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(1,738,749)</w:t>
            </w:r>
          </w:p>
        </w:tc>
        <w:tc>
          <w:tcPr>
            <w:tcW w:w="12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(1,491,447)</w:t>
            </w: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(213,274)</w:t>
            </w: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maturity of short-term investments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701,650</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1,607,118</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1,553,046</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222,083</w:t>
            </w:r>
          </w:p>
        </w:tc>
        <w:tc>
          <w:tcPr>
            <w:tcW w:w="100" w:type="dxa"/>
            <w:vAlign w:val="bottom"/>
          </w:tcPr>
          <w:p>
            <w:pPr>
              <w:spacing w:after="0"/>
              <w:rPr>
                <w:sz w:val="12"/>
                <w:szCs w:val="12"/>
                <w:color w:val="auto"/>
              </w:rPr>
            </w:pPr>
          </w:p>
        </w:tc>
      </w:tr>
      <w:tr>
        <w:trPr>
          <w:trHeight w:val="149"/>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(5,763)</w:t>
            </w: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12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w:t>
            </w: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intangible assets</w:t>
            </w: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12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(441)</w:t>
            </w: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w:t>
            </w:r>
          </w:p>
        </w:tc>
      </w:tr>
      <w:tr>
        <w:trPr>
          <w:trHeight w:val="149"/>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disposal of property and equipment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Disposal of subsidiaries, net of cash received</w:t>
            </w: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260" w:type="dxa"/>
            <w:vAlign w:val="bottom"/>
            <w:tcBorders>
              <w:bottom w:val="single" w:sz="8" w:color="CFF0FC"/>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Repayment of employee loans</w:t>
            </w: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2,377</w:t>
            </w:r>
          </w:p>
        </w:tc>
        <w:tc>
          <w:tcPr>
            <w:tcW w:w="2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7,431</w:t>
            </w:r>
          </w:p>
        </w:tc>
        <w:tc>
          <w:tcPr>
            <w:tcW w:w="22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3,973</w:t>
            </w:r>
          </w:p>
        </w:tc>
        <w:tc>
          <w:tcPr>
            <w:tcW w:w="20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2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3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(71,818)</w:t>
            </w:r>
          </w:p>
        </w:tc>
        <w:tc>
          <w:tcPr>
            <w:tcW w:w="13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(358,860)</w:t>
            </w:r>
          </w:p>
        </w:tc>
        <w:tc>
          <w:tcPr>
            <w:tcW w:w="12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(12,735)</w:t>
            </w: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(1,821)</w:t>
            </w:r>
          </w:p>
        </w:tc>
      </w:tr>
      <w:tr>
        <w:trPr>
          <w:trHeight w:val="142"/>
        </w:trPr>
        <w:tc>
          <w:tcPr>
            <w:tcW w:w="6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10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 for cash dividend</w:t>
            </w:r>
          </w:p>
        </w:tc>
        <w:tc>
          <w:tcPr>
            <w:tcW w:w="1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(31,254)</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 repurchase</w:t>
            </w: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(4,750)</w:t>
            </w: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(10,949)</w:t>
            </w:r>
          </w:p>
        </w:tc>
        <w:tc>
          <w:tcPr>
            <w:tcW w:w="12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(6,168)</w:t>
            </w: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(882)</w:t>
            </w: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bank loans</w:t>
            </w: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2,860</w:t>
            </w:r>
          </w:p>
        </w:tc>
        <w:tc>
          <w:tcPr>
            <w:tcW w:w="100" w:type="dxa"/>
            <w:vAlign w:val="bottom"/>
          </w:tcPr>
          <w:p>
            <w:pPr>
              <w:spacing w:after="0"/>
              <w:rPr>
                <w:sz w:val="12"/>
                <w:szCs w:val="12"/>
                <w:color w:val="auto"/>
              </w:rPr>
            </w:pPr>
          </w:p>
        </w:tc>
      </w:tr>
      <w:tr>
        <w:trPr>
          <w:trHeight w:val="148"/>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Repayment of bank loans</w:t>
            </w:r>
          </w:p>
        </w:tc>
        <w:tc>
          <w:tcPr>
            <w:tcW w:w="13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(38,654)</w:t>
            </w:r>
          </w:p>
        </w:tc>
        <w:tc>
          <w:tcPr>
            <w:tcW w:w="13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(101,779)</w:t>
            </w:r>
          </w:p>
        </w:tc>
        <w:tc>
          <w:tcPr>
            <w:tcW w:w="12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(61,540)</w:t>
            </w: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(8,800)</w:t>
            </w:r>
          </w:p>
        </w:tc>
      </w:tr>
      <w:tr>
        <w:trPr>
          <w:trHeight w:val="20"/>
        </w:trPr>
        <w:tc>
          <w:tcPr>
            <w:tcW w:w="62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2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13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(74,658)</w:t>
            </w:r>
          </w:p>
        </w:tc>
        <w:tc>
          <w:tcPr>
            <w:tcW w:w="13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(112,728)</w:t>
            </w:r>
          </w:p>
        </w:tc>
        <w:tc>
          <w:tcPr>
            <w:tcW w:w="12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(47,708)</w:t>
            </w: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(6,822)</w:t>
            </w:r>
          </w:p>
        </w:tc>
      </w:tr>
      <w:tr>
        <w:trPr>
          <w:trHeight w:val="20"/>
        </w:trPr>
        <w:tc>
          <w:tcPr>
            <w:tcW w:w="6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Effect of exchange rate changes</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14,652</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16,920</w:t>
            </w:r>
          </w:p>
        </w:tc>
        <w:tc>
          <w:tcPr>
            <w:tcW w:w="2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(16,832)</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(2,408)</w:t>
            </w:r>
          </w:p>
        </w:tc>
      </w:tr>
      <w:tr>
        <w:trPr>
          <w:trHeight w:val="148"/>
        </w:trPr>
        <w:tc>
          <w:tcPr>
            <w:tcW w:w="6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increase/(decrease) in cash, cash equivalents and restricted cash</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8,974</w:t>
            </w:r>
          </w:p>
        </w:tc>
        <w:tc>
          <w:tcPr>
            <w:tcW w:w="24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(259,149)</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69,534</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9,943</w:t>
            </w:r>
          </w:p>
        </w:tc>
        <w:tc>
          <w:tcPr>
            <w:tcW w:w="100" w:type="dxa"/>
            <w:vAlign w:val="bottom"/>
          </w:tcPr>
          <w:p>
            <w:pPr>
              <w:spacing w:after="0"/>
              <w:rPr>
                <w:sz w:val="12"/>
                <w:szCs w:val="12"/>
                <w:color w:val="auto"/>
              </w:rPr>
            </w:pPr>
          </w:p>
        </w:tc>
      </w:tr>
      <w:tr>
        <w:trPr>
          <w:trHeight w:val="149"/>
        </w:trPr>
        <w:tc>
          <w:tcPr>
            <w:tcW w:w="6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the year</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757,404</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766,378</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507,229</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72,533</w:t>
            </w:r>
          </w:p>
        </w:tc>
        <w:tc>
          <w:tcPr>
            <w:tcW w:w="100" w:type="dxa"/>
            <w:vAlign w:val="bottom"/>
            <w:shd w:val="clear" w:color="auto" w:fill="CFF0FC"/>
          </w:tcPr>
          <w:p>
            <w:pPr>
              <w:spacing w:after="0"/>
              <w:rPr>
                <w:sz w:val="12"/>
                <w:szCs w:val="12"/>
                <w:color w:val="auto"/>
              </w:rPr>
            </w:pPr>
          </w:p>
        </w:tc>
      </w:tr>
      <w:tr>
        <w:trPr>
          <w:trHeight w:val="148"/>
        </w:trPr>
        <w:tc>
          <w:tcPr>
            <w:tcW w:w="6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end of the year</w:t>
            </w: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766,378</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507,229</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576,763</w:t>
            </w:r>
          </w:p>
        </w:tc>
        <w:tc>
          <w:tcPr>
            <w:tcW w:w="2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82,476</w:t>
            </w:r>
          </w:p>
        </w:tc>
        <w:tc>
          <w:tcPr>
            <w:tcW w:w="100" w:type="dxa"/>
            <w:vAlign w:val="bottom"/>
          </w:tcPr>
          <w:p>
            <w:pPr>
              <w:spacing w:after="0"/>
              <w:rPr>
                <w:sz w:val="12"/>
                <w:szCs w:val="12"/>
                <w:color w:val="auto"/>
              </w:rPr>
            </w:pPr>
          </w:p>
        </w:tc>
      </w:tr>
      <w:tr>
        <w:trPr>
          <w:trHeight w:val="20"/>
        </w:trPr>
        <w:tc>
          <w:tcPr>
            <w:tcW w:w="6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62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Supplemental schedule of non-cash investing activities:</w:t>
            </w: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Payables for leasehold improvement and intangible assets</w:t>
            </w: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2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2"/>
                <w:szCs w:val="12"/>
                <w:color w:val="auto"/>
              </w:rPr>
            </w:pPr>
          </w:p>
        </w:tc>
      </w:tr>
      <w:tr>
        <w:trPr>
          <w:trHeight w:val="20"/>
        </w:trPr>
        <w:tc>
          <w:tcPr>
            <w:tcW w:w="6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62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7,780</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5,509</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2"/>
                <w:szCs w:val="12"/>
                <w:color w:val="auto"/>
              </w:rPr>
            </w:pPr>
          </w:p>
        </w:tc>
      </w:tr>
      <w:tr>
        <w:trPr>
          <w:trHeight w:val="188"/>
        </w:trPr>
        <w:tc>
          <w:tcPr>
            <w:tcW w:w="626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2"/>
                <w:szCs w:val="12"/>
                <w:color w:val="auto"/>
              </w:rPr>
              <w:t>Income tax paid</w:t>
            </w:r>
            <w:r>
              <w:rPr>
                <w:rFonts w:ascii="Times New Roman" w:cs="Times New Roman" w:eastAsia="Times New Roman" w:hAnsi="Times New Roman"/>
                <w:sz w:val="16"/>
                <w:szCs w:val="16"/>
                <w:color w:val="auto"/>
                <w:vertAlign w:val="superscript"/>
              </w:rPr>
              <w:t>(1)</w:t>
            </w:r>
          </w:p>
        </w:tc>
        <w:tc>
          <w:tcPr>
            <w:tcW w:w="1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11,225</w:t>
            </w:r>
          </w:p>
        </w:tc>
        <w:tc>
          <w:tcPr>
            <w:tcW w:w="2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8,866</w:t>
            </w:r>
          </w:p>
        </w:tc>
        <w:tc>
          <w:tcPr>
            <w:tcW w:w="22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23,651</w:t>
            </w:r>
          </w:p>
        </w:tc>
        <w:tc>
          <w:tcPr>
            <w:tcW w:w="2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3,382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29"/>
        </w:trPr>
        <w:tc>
          <w:tcPr>
            <w:tcW w:w="6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6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Reconciliation of cash, cash equivalents and restricted cash:</w:t>
            </w: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763,800</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507,229</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575,740</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82,330</w:t>
            </w:r>
          </w:p>
        </w:tc>
        <w:tc>
          <w:tcPr>
            <w:tcW w:w="100" w:type="dxa"/>
            <w:vAlign w:val="bottom"/>
          </w:tcPr>
          <w:p>
            <w:pPr>
              <w:spacing w:after="0"/>
              <w:rPr>
                <w:sz w:val="12"/>
                <w:szCs w:val="12"/>
                <w:color w:val="auto"/>
              </w:rPr>
            </w:pPr>
          </w:p>
        </w:tc>
      </w:tr>
      <w:tr>
        <w:trPr>
          <w:trHeight w:val="149"/>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2,578</w:t>
            </w:r>
          </w:p>
        </w:tc>
        <w:tc>
          <w:tcPr>
            <w:tcW w:w="2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w:t>
            </w: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FF0FC"/>
          </w:tcPr>
          <w:p>
            <w:pPr>
              <w:spacing w:after="0"/>
              <w:rPr>
                <w:sz w:val="12"/>
                <w:szCs w:val="12"/>
                <w:color w:val="auto"/>
              </w:rPr>
            </w:pPr>
          </w:p>
        </w:tc>
      </w:tr>
      <w:tr>
        <w:trPr>
          <w:trHeight w:val="148"/>
        </w:trPr>
        <w:tc>
          <w:tcPr>
            <w:tcW w:w="62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766,378</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507,229</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576,763</w:t>
            </w:r>
          </w:p>
        </w:tc>
        <w:tc>
          <w:tcPr>
            <w:tcW w:w="2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82,476</w:t>
            </w:r>
          </w:p>
        </w:tc>
        <w:tc>
          <w:tcPr>
            <w:tcW w:w="100" w:type="dxa"/>
            <w:vAlign w:val="bottom"/>
          </w:tcPr>
          <w:p>
            <w:pPr>
              <w:spacing w:after="0"/>
              <w:rPr>
                <w:sz w:val="12"/>
                <w:szCs w:val="12"/>
                <w:color w:val="auto"/>
              </w:rPr>
            </w:pPr>
          </w:p>
        </w:tc>
      </w:tr>
      <w:tr>
        <w:trPr>
          <w:trHeight w:val="20"/>
        </w:trPr>
        <w:tc>
          <w:tcPr>
            <w:tcW w:w="6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-3068320</wp:posOffset>
            </wp:positionV>
            <wp:extent cx="7683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-3068320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-3068320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-2116455</wp:posOffset>
            </wp:positionV>
            <wp:extent cx="7683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-2116455</wp:posOffset>
            </wp:positionV>
            <wp:extent cx="6858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-2116455</wp:posOffset>
            </wp:positionV>
            <wp:extent cx="685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-1533525</wp:posOffset>
            </wp:positionV>
            <wp:extent cx="7683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-1533525</wp:posOffset>
            </wp:positionV>
            <wp:extent cx="685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-1533525</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-521970</wp:posOffset>
            </wp:positionV>
            <wp:extent cx="7683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-504825</wp:posOffset>
            </wp:positionV>
            <wp:extent cx="7683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-521970</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-504825</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-521970</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-504825</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The accompanying notes are an integral part of the consolidated financial statements.</w:t>
      </w:r>
    </w:p>
    <w:p>
      <w:pPr>
        <w:spacing w:after="0" w:line="221" w:lineRule="exact"/>
        <w:rPr>
          <w:sz w:val="20"/>
          <w:szCs w:val="20"/>
          <w:color w:val="auto"/>
        </w:rPr>
      </w:pPr>
    </w:p>
    <w:p>
      <w:pPr>
        <w:ind w:left="1260" w:hanging="518"/>
        <w:spacing w:after="0"/>
        <w:tabs>
          <w:tab w:leader="none" w:pos="1260" w:val="left"/>
        </w:tabs>
        <w:numPr>
          <w:ilvl w:val="0"/>
          <w:numId w:val="62"/>
        </w:numPr>
        <w:rPr>
          <w:rFonts w:ascii="Times New Roman" w:cs="Times New Roman" w:eastAsia="Times New Roman" w:hAnsi="Times New Roman"/>
          <w:sz w:val="14"/>
          <w:szCs w:val="14"/>
          <w:color w:val="181717"/>
        </w:rPr>
      </w:pPr>
      <w:r>
        <w:rPr>
          <w:rFonts w:ascii="Times New Roman" w:cs="Times New Roman" w:eastAsia="Times New Roman" w:hAnsi="Times New Roman"/>
          <w:sz w:val="14"/>
          <w:szCs w:val="14"/>
          <w:color w:val="181717"/>
        </w:rPr>
        <w:t>For the year ended December 31, 2025, income taxes paid amounted to RMB17,263 in Chinese mainland, and RMB6,388 in jurisdictions outside Chinese mainland.</w:t>
      </w:r>
    </w:p>
    <w:p>
      <w:pPr>
        <w:spacing w:after="0" w:line="181" w:lineRule="exact"/>
        <w:rPr>
          <w:rFonts w:ascii="Times New Roman" w:cs="Times New Roman" w:eastAsia="Times New Roman" w:hAnsi="Times New Roman"/>
          <w:sz w:val="14"/>
          <w:szCs w:val="14"/>
          <w:color w:val="181717"/>
        </w:rPr>
      </w:pPr>
    </w:p>
    <w:p>
      <w:pPr>
        <w:ind w:left="5540"/>
        <w:spacing w:after="0"/>
        <w:rPr>
          <w:rFonts w:ascii="Times New Roman" w:cs="Times New Roman" w:eastAsia="Times New Roman" w:hAnsi="Times New Roman"/>
          <w:sz w:val="14"/>
          <w:szCs w:val="14"/>
          <w:color w:val="181717"/>
        </w:rPr>
      </w:pPr>
      <w:r>
        <w:rPr>
          <w:rFonts w:ascii="Times New Roman" w:cs="Times New Roman" w:eastAsia="Times New Roman" w:hAnsi="Times New Roman"/>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3" w:name="page134"/>
    <w:bookmarkEnd w:id="133"/>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280" w:lineRule="exact"/>
        <w:rPr>
          <w:sz w:val="20"/>
          <w:szCs w:val="20"/>
          <w:color w:val="auto"/>
        </w:rPr>
      </w:pPr>
    </w:p>
    <w:p>
      <w:pPr>
        <w:ind w:left="360" w:hanging="352"/>
        <w:spacing w:after="0"/>
        <w:tabs>
          <w:tab w:leader="none" w:pos="360" w:val="left"/>
        </w:tabs>
        <w:numPr>
          <w:ilvl w:val="0"/>
          <w:numId w:val="63"/>
        </w:numPr>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b w:val="1"/>
          <w:bCs w:val="1"/>
          <w:color w:val="181717"/>
        </w:rPr>
        <w:t>ORGANIZATION AND BASIS OF PRESENTATION</w:t>
      </w:r>
    </w:p>
    <w:p>
      <w:pPr>
        <w:spacing w:after="0" w:line="229" w:lineRule="exact"/>
        <w:rPr>
          <w:sz w:val="20"/>
          <w:szCs w:val="20"/>
          <w:color w:val="auto"/>
        </w:rPr>
      </w:pPr>
    </w:p>
    <w:p>
      <w:pPr>
        <w:ind w:left="760" w:right="80"/>
        <w:spacing w:after="0" w:line="266" w:lineRule="auto"/>
        <w:rPr>
          <w:sz w:val="20"/>
          <w:szCs w:val="20"/>
          <w:color w:val="auto"/>
        </w:rPr>
      </w:pPr>
      <w:r>
        <w:rPr>
          <w:rFonts w:ascii="Times New Roman" w:cs="Times New Roman" w:eastAsia="Times New Roman" w:hAnsi="Times New Roman"/>
          <w:sz w:val="18"/>
          <w:szCs w:val="18"/>
          <w:color w:val="auto"/>
        </w:rPr>
        <w:t>Sunlands Technology Group (the “Company” or “Sunlands Technology”) was incorporated under the laws of the Cayman Islands on September 18, 2015. The Company, its subsidiaries, the consolidated variable interest entities (“VIEs”) and VIEs’ subsidiaries (collectively the “Group”) are primarily engaged in providing online education services in the People’s Republic of China (“PRC”</w:t>
      </w:r>
      <w:r>
        <w:rPr>
          <w:rFonts w:ascii="Times New Roman" w:cs="Times New Roman" w:eastAsia="Times New Roman" w:hAnsi="Times New Roman"/>
          <w:sz w:val="18"/>
          <w:szCs w:val="18"/>
          <w:color w:val="181717"/>
        </w:rPr>
        <w:t>).</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181717"/>
        </w:rPr>
        <w:t>As of December 31, 2025, details of the Company’s significant subsidiaries and VIE’s subsidiary were as follows:</w:t>
      </w:r>
    </w:p>
    <w:p>
      <w:pPr>
        <w:spacing w:after="0" w:line="158"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Percentage of</w:t>
            </w:r>
          </w:p>
        </w:tc>
        <w:tc>
          <w:tcPr>
            <w:tcW w:w="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Date of</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 or indirect</w:t>
            </w:r>
          </w:p>
        </w:tc>
        <w:tc>
          <w:tcPr>
            <w:tcW w:w="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establishment/</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Place of</w:t>
            </w: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economic</w:t>
            </w:r>
          </w:p>
        </w:tc>
        <w:tc>
          <w:tcPr>
            <w:tcW w:w="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acquisition</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establishment</w:t>
            </w:r>
          </w:p>
        </w:tc>
        <w:tc>
          <w:tcPr>
            <w:tcW w:w="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ownership</w:t>
            </w:r>
          </w:p>
        </w:tc>
        <w:tc>
          <w:tcPr>
            <w:tcW w:w="80" w:type="dxa"/>
            <w:vAlign w:val="bottom"/>
          </w:tcPr>
          <w:p>
            <w:pPr>
              <w:spacing w:after="0"/>
              <w:rPr>
                <w:sz w:val="20"/>
                <w:szCs w:val="20"/>
                <w:color w:val="auto"/>
              </w:rPr>
            </w:pPr>
          </w:p>
        </w:tc>
        <w:tc>
          <w:tcPr>
            <w:tcW w:w="33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Principal activities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0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3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Sunlands Online Education HK</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 ("Sunlands HK")</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6, 2015</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HongKong</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Wuhan Studyvip Online</w:t>
            </w:r>
          </w:p>
        </w:tc>
        <w:tc>
          <w:tcPr>
            <w:tcW w:w="1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Education Co., Limited ("Wuhan</w:t>
            </w: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of technical consultation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Zhibo")</w:t>
            </w:r>
          </w:p>
        </w:tc>
        <w:tc>
          <w:tcPr>
            <w:tcW w:w="100" w:type="dxa"/>
            <w:vAlign w:val="bottom"/>
            <w:shd w:val="clear" w:color="auto" w:fill="CFF0FC"/>
          </w:tcPr>
          <w:p>
            <w:pPr>
              <w:spacing w:after="0"/>
              <w:rPr>
                <w:sz w:val="20"/>
                <w:szCs w:val="20"/>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 2017</w:t>
            </w: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13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shd w:val="clear" w:color="auto" w:fill="CFF0FC"/>
          </w:tcPr>
          <w:p>
            <w:pPr>
              <w:spacing w:after="0"/>
              <w:rPr>
                <w:sz w:val="20"/>
                <w:szCs w:val="20"/>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Hubei Zhidao Online Education</w:t>
            </w: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52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 xml:space="preserve">Technology Co., Ltd. </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25, 2019</w:t>
            </w:r>
          </w:p>
        </w:tc>
        <w:tc>
          <w:tcPr>
            <w:tcW w:w="1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Pr>
          <w:p>
            <w:pPr>
              <w:spacing w:after="0"/>
              <w:rPr>
                <w:sz w:val="22"/>
                <w:szCs w:val="22"/>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education services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w w:val="99"/>
              </w:rPr>
              <w:t>Beijing Yuanchilaxiang Education</w:t>
            </w:r>
          </w:p>
        </w:tc>
        <w:tc>
          <w:tcPr>
            <w:tcW w:w="1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Co., Ltd. ("Beijing</w:t>
            </w: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Sunlands")</w:t>
            </w:r>
          </w:p>
        </w:tc>
        <w:tc>
          <w:tcPr>
            <w:tcW w:w="100" w:type="dxa"/>
            <w:vAlign w:val="bottom"/>
            <w:shd w:val="clear" w:color="auto" w:fill="CFF0FC"/>
          </w:tcPr>
          <w:p>
            <w:pPr>
              <w:spacing w:after="0"/>
              <w:rPr>
                <w:sz w:val="20"/>
                <w:szCs w:val="20"/>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27, 2013</w:t>
            </w: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13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shd w:val="clear" w:color="auto" w:fill="CFF0FC"/>
          </w:tcPr>
          <w:p>
            <w:pPr>
              <w:spacing w:after="0"/>
              <w:rPr>
                <w:sz w:val="20"/>
                <w:szCs w:val="20"/>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of education services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Beijing Feibian Education</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6, 2020</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education services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50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Variable interest entity</w:t>
            </w:r>
          </w:p>
        </w:tc>
        <w:tc>
          <w:tcPr>
            <w:tcW w:w="10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("VIE"):</w:t>
            </w:r>
          </w:p>
        </w:tc>
        <w:tc>
          <w:tcPr>
            <w:tcW w:w="10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Beijing Lingding Management</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Consulting Co., Ltd. ("Beijing</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technical consultation and</w:t>
            </w: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Lingding")</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 2021</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VIE’s subsidiaries:</w:t>
            </w:r>
          </w:p>
        </w:tc>
        <w:tc>
          <w:tcPr>
            <w:tcW w:w="1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Hubei Fangtang Technology Co.,</w:t>
            </w: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52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28, 2020</w:t>
            </w:r>
          </w:p>
        </w:tc>
        <w:tc>
          <w:tcPr>
            <w:tcW w:w="1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Pr>
          <w:p>
            <w:pPr>
              <w:spacing w:after="0"/>
              <w:rPr>
                <w:sz w:val="22"/>
                <w:szCs w:val="22"/>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education services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0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Xiangyang Shufan Education</w:t>
            </w:r>
          </w:p>
        </w:tc>
        <w:tc>
          <w:tcPr>
            <w:tcW w:w="1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Technology Co., Ltd.</w:t>
            </w:r>
            <w:r>
              <w:rPr>
                <w:rFonts w:ascii="Times New Roman" w:cs="Times New Roman" w:eastAsia="Times New Roman" w:hAnsi="Times New Roman"/>
                <w:sz w:val="24"/>
                <w:szCs w:val="24"/>
                <w:color w:val="auto"/>
                <w:vertAlign w:val="superscript"/>
              </w:rPr>
              <w:t>(4)</w:t>
            </w:r>
          </w:p>
        </w:tc>
        <w:tc>
          <w:tcPr>
            <w:tcW w:w="100" w:type="dxa"/>
            <w:vAlign w:val="bottom"/>
            <w:shd w:val="clear" w:color="auto" w:fill="CFF0FC"/>
          </w:tcPr>
          <w:p>
            <w:pPr>
              <w:spacing w:after="0"/>
              <w:rPr>
                <w:sz w:val="22"/>
                <w:szCs w:val="22"/>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24, 2022</w:t>
            </w:r>
          </w:p>
        </w:tc>
        <w:tc>
          <w:tcPr>
            <w:tcW w:w="120" w:type="dxa"/>
            <w:vAlign w:val="bottom"/>
            <w:shd w:val="clear" w:color="auto" w:fill="CFF0FC"/>
          </w:tcPr>
          <w:p>
            <w:pPr>
              <w:spacing w:after="0"/>
              <w:rPr>
                <w:sz w:val="22"/>
                <w:szCs w:val="22"/>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80" w:type="dxa"/>
            <w:vAlign w:val="bottom"/>
            <w:shd w:val="clear" w:color="auto" w:fill="CFF0FC"/>
          </w:tcPr>
          <w:p>
            <w:pPr>
              <w:spacing w:after="0"/>
              <w:rPr>
                <w:sz w:val="22"/>
                <w:szCs w:val="22"/>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shd w:val="clear" w:color="auto" w:fill="CFF0FC"/>
          </w:tcPr>
          <w:p>
            <w:pPr>
              <w:spacing w:after="0"/>
              <w:rPr>
                <w:sz w:val="22"/>
                <w:szCs w:val="22"/>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of education services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Hubei Houduan Yuanli</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2023</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8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education services</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181717"/>
        </w:rPr>
        <w:t>* These entities are consolidated by the Company pursuant to the contractual agreements disclosed below.</w:t>
      </w:r>
    </w:p>
    <w:p>
      <w:pPr>
        <w:spacing w:after="0" w:line="136" w:lineRule="exact"/>
        <w:rPr>
          <w:sz w:val="20"/>
          <w:szCs w:val="20"/>
          <w:color w:val="auto"/>
        </w:rPr>
      </w:pPr>
    </w:p>
    <w:p>
      <w:pPr>
        <w:ind w:left="1260" w:hanging="518"/>
        <w:spacing w:after="0"/>
        <w:tabs>
          <w:tab w:leader="none" w:pos="12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181717"/>
        </w:rPr>
        <w:t>The English names are for identification purpose only.</w:t>
      </w:r>
    </w:p>
    <w:p>
      <w:pPr>
        <w:spacing w:after="0" w:line="3" w:lineRule="exact"/>
        <w:rPr>
          <w:rFonts w:ascii="Times New Roman" w:cs="Times New Roman" w:eastAsia="Times New Roman" w:hAnsi="Times New Roman"/>
          <w:sz w:val="14"/>
          <w:szCs w:val="14"/>
          <w:color w:val="auto"/>
        </w:rPr>
      </w:pPr>
    </w:p>
    <w:p>
      <w:pPr>
        <w:ind w:left="1260" w:hanging="518"/>
        <w:spacing w:after="0" w:line="221" w:lineRule="auto"/>
        <w:tabs>
          <w:tab w:leader="none" w:pos="12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181717"/>
        </w:rPr>
        <w:t>Hubei Zhidao Online Education Technology Co., Ltd. was formerly known as Wuhan Zhidao Online Education Technology Co., Ltd.</w:t>
      </w:r>
    </w:p>
    <w:p>
      <w:pPr>
        <w:ind w:left="1260" w:hanging="518"/>
        <w:spacing w:after="0" w:line="221" w:lineRule="auto"/>
        <w:tabs>
          <w:tab w:leader="none" w:pos="12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181717"/>
        </w:rPr>
        <w:t>Hubei Fangtang Technology Co., Ltd. was formerly known as Wuhan Fangtang Technology Co., Ltd.</w:t>
      </w:r>
    </w:p>
    <w:p>
      <w:pPr>
        <w:ind w:left="1260" w:hanging="518"/>
        <w:spacing w:after="0"/>
        <w:tabs>
          <w:tab w:leader="none" w:pos="12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181717"/>
        </w:rPr>
        <w:t>Xiangyang Shufan Education Technology Co., Ltd. was formerly known as Shufan Education Technology (Wuhan) Co., Ltd.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4" w:name="page135"/>
    <w:bookmarkEnd w:id="134"/>
    <w:p>
      <w:pPr>
        <w:jc w:val="center"/>
        <w:ind w:left="360" w:right="272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388" w:lineRule="exact"/>
        <w:rPr>
          <w:sz w:val="20"/>
          <w:szCs w:val="20"/>
          <w:color w:val="auto"/>
        </w:rPr>
      </w:pPr>
    </w:p>
    <w:p>
      <w:pPr>
        <w:ind w:left="752" w:right="7060" w:hanging="752"/>
        <w:spacing w:after="0" w:line="565" w:lineRule="auto"/>
        <w:tabs>
          <w:tab w:leader="none" w:pos="752" w:val="left"/>
        </w:tabs>
        <w:numPr>
          <w:ilvl w:val="0"/>
          <w:numId w:val="65"/>
        </w:numPr>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7"/>
          <w:szCs w:val="17"/>
          <w:b w:val="1"/>
          <w:bCs w:val="1"/>
          <w:color w:val="181717"/>
        </w:rPr>
        <w:t xml:space="preserve">SIGNIFICANT ACCOUNTING POLICIES </w:t>
      </w:r>
      <w:r>
        <w:rPr>
          <w:rFonts w:ascii="Times New Roman" w:cs="Times New Roman" w:eastAsia="Times New Roman" w:hAnsi="Times New Roman"/>
          <w:sz w:val="17"/>
          <w:szCs w:val="17"/>
          <w:b w:val="1"/>
          <w:bCs w:val="1"/>
          <w:i w:val="1"/>
          <w:iCs w:val="1"/>
          <w:color w:val="181717"/>
        </w:rPr>
        <w:t>Basis of presentation and use of estimates</w:t>
      </w:r>
    </w:p>
    <w:p>
      <w:pPr>
        <w:spacing w:after="0" w:line="1" w:lineRule="exact"/>
        <w:rPr>
          <w:rFonts w:ascii="Times New Roman" w:cs="Times New Roman" w:eastAsia="Times New Roman" w:hAnsi="Times New Roman"/>
          <w:sz w:val="17"/>
          <w:szCs w:val="17"/>
          <w:b w:val="1"/>
          <w:bCs w:val="1"/>
          <w:color w:val="181717"/>
        </w:rPr>
      </w:pPr>
    </w:p>
    <w:p>
      <w:pPr>
        <w:ind w:left="752" w:right="380"/>
        <w:spacing w:after="0" w:line="282" w:lineRule="auto"/>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color w:val="181717"/>
        </w:rPr>
        <w:t>The accompanying consolidated financial statements have been prepared in accordance with accounting principles generally accepted in the United States of America (“U.S. GAAP”).</w:t>
      </w:r>
    </w:p>
    <w:p>
      <w:pPr>
        <w:spacing w:after="0" w:line="188" w:lineRule="exact"/>
        <w:rPr>
          <w:rFonts w:ascii="Times New Roman" w:cs="Times New Roman" w:eastAsia="Times New Roman" w:hAnsi="Times New Roman"/>
          <w:sz w:val="17"/>
          <w:szCs w:val="17"/>
          <w:b w:val="1"/>
          <w:bCs w:val="1"/>
          <w:color w:val="181717"/>
        </w:rPr>
      </w:pPr>
    </w:p>
    <w:p>
      <w:pPr>
        <w:ind w:left="752" w:right="40"/>
        <w:spacing w:after="0" w:line="281" w:lineRule="auto"/>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7"/>
          <w:szCs w:val="17"/>
          <w:color w:val="181717"/>
        </w:rPr>
        <w:t>The preparation of consolidated financial statements in conformity with U.S. GAAP requires management to make estimates and assumptions that affect the reported amounts of assets and liabilities, disclosures of contingent assets and liabilities at the balance sheet dates and the reported amounts of revenues and expenses during the reporting periods. Significant estimates and assumptions reflected in the Group’s financial statements include, but are not limited to, revenue recognition and refund liabilities. Actual results could materially differ from those estimates.</w:t>
      </w:r>
    </w:p>
    <w:p>
      <w:pPr>
        <w:spacing w:after="0" w:line="187" w:lineRule="exact"/>
        <w:rPr>
          <w:rFonts w:ascii="Times New Roman" w:cs="Times New Roman" w:eastAsia="Times New Roman" w:hAnsi="Times New Roman"/>
          <w:sz w:val="17"/>
          <w:szCs w:val="17"/>
          <w:b w:val="1"/>
          <w:bCs w:val="1"/>
          <w:color w:val="181717"/>
        </w:rPr>
      </w:pPr>
    </w:p>
    <w:p>
      <w:pPr>
        <w:ind w:left="752"/>
        <w:spacing w:after="0"/>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b w:val="1"/>
          <w:bCs w:val="1"/>
          <w:i w:val="1"/>
          <w:iCs w:val="1"/>
          <w:color w:val="181717"/>
        </w:rPr>
        <w:t>Principles of consolidation</w:t>
      </w:r>
    </w:p>
    <w:p>
      <w:pPr>
        <w:spacing w:after="0" w:line="256" w:lineRule="exact"/>
        <w:rPr>
          <w:rFonts w:ascii="Times New Roman" w:cs="Times New Roman" w:eastAsia="Times New Roman" w:hAnsi="Times New Roman"/>
          <w:sz w:val="17"/>
          <w:szCs w:val="17"/>
          <w:b w:val="1"/>
          <w:bCs w:val="1"/>
          <w:color w:val="181717"/>
        </w:rPr>
      </w:pPr>
    </w:p>
    <w:p>
      <w:pPr>
        <w:ind w:left="752" w:right="60"/>
        <w:spacing w:after="0" w:line="282" w:lineRule="auto"/>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color w:val="181717"/>
        </w:rPr>
        <w:t>The consolidated financial statements include the financial statements of the Company and its subsidiaries, and VIEs and VIEs’ subsidiaries. All intercompany transactions and balances are eliminated upon consolidation.</w:t>
      </w:r>
    </w:p>
    <w:p>
      <w:pPr>
        <w:spacing w:after="0" w:line="184" w:lineRule="exact"/>
        <w:rPr>
          <w:rFonts w:ascii="Times New Roman" w:cs="Times New Roman" w:eastAsia="Times New Roman" w:hAnsi="Times New Roman"/>
          <w:sz w:val="17"/>
          <w:szCs w:val="17"/>
          <w:b w:val="1"/>
          <w:bCs w:val="1"/>
          <w:color w:val="181717"/>
        </w:rPr>
      </w:pPr>
    </w:p>
    <w:p>
      <w:pPr>
        <w:ind w:left="752"/>
        <w:spacing w:after="0"/>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b w:val="1"/>
          <w:bCs w:val="1"/>
          <w:i w:val="1"/>
          <w:iCs w:val="1"/>
          <w:color w:val="auto"/>
        </w:rPr>
        <w:t>The VIE arrangements</w:t>
      </w:r>
    </w:p>
    <w:p>
      <w:pPr>
        <w:spacing w:after="0" w:line="229" w:lineRule="exact"/>
        <w:rPr>
          <w:rFonts w:ascii="Times New Roman" w:cs="Times New Roman" w:eastAsia="Times New Roman" w:hAnsi="Times New Roman"/>
          <w:sz w:val="17"/>
          <w:szCs w:val="17"/>
          <w:b w:val="1"/>
          <w:bCs w:val="1"/>
          <w:color w:val="181717"/>
        </w:rPr>
      </w:pPr>
    </w:p>
    <w:p>
      <w:pPr>
        <w:ind w:left="752"/>
        <w:spacing w:after="0" w:line="253" w:lineRule="auto"/>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color w:val="auto"/>
        </w:rPr>
        <w:t>There are uncertainties as to whether applicable PRC laws and regulations prohibit foreign investors from providing telecommunications value-added services in the PRC. As a Cayman Islands corporation, the Company is deemed a foreign legal person under PRC laws. Accordingly, the Company’s wholly owned subsidiaries in the PRC, as foreign invested companies, may be deemed to be telecommunications value-added services providers in the PRC. To comply with these foreign ownership restrictions, the Company operates its online education services partially through the VIEs and their subsidiaries, in the PRC. The Company through its wholly owned subsidiaries ("WFOEs") located in the PRC entered into a series of contractual agreements with the VIEs and their shareholders. Through below contractual agreements, the Company has (1) the power to direct the activities that most significantly affect the economic performance of the VIEs, and (2) the right to receive the economic benefit of the VIEs that could potentially be significant to the VIEs. As a result, the shareholders of the VIEs lack the power to direct the activities of the VIEs that most significantly impact the entity's economic performance, the obligation to absorb the expected losses, and the right to receive the expected residual returns of the entity. Accordingly, the Company is considered as the primary beneficiary of the VIEs, and the Company has consolidated the financial results of the VIEs and their subsidiaries in its consolidated financial statements.</w:t>
      </w:r>
    </w:p>
    <w:p>
      <w:pPr>
        <w:spacing w:after="0" w:line="191" w:lineRule="exact"/>
        <w:rPr>
          <w:rFonts w:ascii="Times New Roman" w:cs="Times New Roman" w:eastAsia="Times New Roman" w:hAnsi="Times New Roman"/>
          <w:sz w:val="17"/>
          <w:szCs w:val="17"/>
          <w:b w:val="1"/>
          <w:bCs w:val="1"/>
          <w:color w:val="181717"/>
        </w:rPr>
      </w:pPr>
    </w:p>
    <w:p>
      <w:pPr>
        <w:ind w:left="752" w:right="20"/>
        <w:spacing w:after="0" w:line="266" w:lineRule="auto"/>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color w:val="auto"/>
        </w:rPr>
        <w:t>In December 2025, Beijing Sunlands terminated its VIE Contractual Arrangements with Wuhan Zhibo. The shareholders of Beijing Sunlands transferred all of their shares in Beijing Sunlands to Wuhan Zhibo, resulting in Beijing Sunlands becoming a wholly owned subsidiary of Wuhan Zhibo in the same day.</w:t>
      </w:r>
    </w:p>
    <w:p>
      <w:pPr>
        <w:spacing w:after="0" w:line="175" w:lineRule="exact"/>
        <w:rPr>
          <w:rFonts w:ascii="Times New Roman" w:cs="Times New Roman" w:eastAsia="Times New Roman" w:hAnsi="Times New Roman"/>
          <w:sz w:val="17"/>
          <w:szCs w:val="17"/>
          <w:b w:val="1"/>
          <w:bCs w:val="1"/>
          <w:color w:val="181717"/>
        </w:rPr>
      </w:pPr>
    </w:p>
    <w:p>
      <w:pPr>
        <w:ind w:left="752"/>
        <w:spacing w:after="0"/>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color w:val="auto"/>
        </w:rPr>
        <w:t>As of December 31, 2025, the Group’s VIE that was material to the Group’s business and operations was Beijing Lingding.</w:t>
      </w:r>
    </w:p>
    <w:p>
      <w:pPr>
        <w:spacing w:after="0" w:line="223"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i w:val="1"/>
          <w:iCs w:val="1"/>
          <w:color w:val="181717"/>
        </w:rPr>
        <w:t>Exclusive Technical Consultation and Service Agreement</w:t>
      </w:r>
    </w:p>
    <w:p>
      <w:pPr>
        <w:spacing w:after="0" w:line="227" w:lineRule="exact"/>
        <w:rPr>
          <w:sz w:val="20"/>
          <w:szCs w:val="20"/>
          <w:color w:val="auto"/>
        </w:rPr>
      </w:pPr>
    </w:p>
    <w:p>
      <w:pPr>
        <w:ind w:left="1492" w:right="120"/>
        <w:spacing w:after="0" w:line="253" w:lineRule="auto"/>
        <w:rPr>
          <w:sz w:val="20"/>
          <w:szCs w:val="20"/>
          <w:color w:val="auto"/>
        </w:rPr>
      </w:pPr>
      <w:r>
        <w:rPr>
          <w:rFonts w:ascii="Times New Roman" w:cs="Times New Roman" w:eastAsia="Times New Roman" w:hAnsi="Times New Roman"/>
          <w:sz w:val="18"/>
          <w:szCs w:val="18"/>
          <w:color w:val="181717"/>
        </w:rPr>
        <w:t>Under the exclusive technical consultation and service agreement among WFOEs, and VIEs and the subsidiaries of VIEs, WFOEs have the exclusive right to provide, among other things, technical consultation and services to VIEs and VIEs’ subsidiaries, and VIEs and VIEs’ subsidiaries agree to accept all the consultation and services provided by WFOEs. Without WFOEs’ prior written consent, VIEs and VIEs’ subsidiaries are prohibited from engaging any third party to provide any services contemplated by this agreement. In addition, WFOEs have exclusive and proprietary ownership, rights and interests in any and all intellectual properties arising out of or created during the performance of this agreement. VIEs and VIEs’ subsidiaries agree to pay a quarterly service fee to WFOEs at an aggregate amount of a certain percentage ranging from 10% to 100% of VIEs and VIEs’ subsidiaries’ monthly revenue. Unless terminated by WFOEs, this agreement will remain effective until the dissolution of VIEs and VIEs’ subsidiaries. Without WFOEs’ prior written consent, VIEs and VIEs’ subsidiaries do not have the right to terminate this exclusive technical consultation and service agreement.</w:t>
      </w:r>
    </w:p>
    <w:p>
      <w:pPr>
        <w:spacing w:after="0" w:line="38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69" w:right="359" w:bottom="1440" w:gutter="0" w:footer="0" w:header="0"/>
        </w:sectPr>
      </w:pPr>
    </w:p>
    <w:bookmarkStart w:id="135" w:name="page136"/>
    <w:bookmarkEnd w:id="135"/>
    <w:p>
      <w:pPr>
        <w:jc w:val="center"/>
        <w:ind w:left="360" w:right="272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172" w:lineRule="exact"/>
        <w:rPr>
          <w:sz w:val="20"/>
          <w:szCs w:val="20"/>
          <w:color w:val="auto"/>
        </w:rPr>
      </w:pPr>
    </w:p>
    <w:p>
      <w:pPr>
        <w:ind w:left="752" w:right="6200" w:hanging="752"/>
        <w:spacing w:after="0" w:line="502" w:lineRule="auto"/>
        <w:tabs>
          <w:tab w:leader="none" w:pos="752" w:val="left"/>
        </w:tabs>
        <w:numPr>
          <w:ilvl w:val="0"/>
          <w:numId w:val="66"/>
        </w:numPr>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b w:val="1"/>
          <w:bCs w:val="1"/>
          <w:color w:val="181717"/>
        </w:rPr>
        <w:t xml:space="preserve">SIGNIFICANT ACCOUNTING POLICIES </w:t>
      </w:r>
      <w:r>
        <w:rPr>
          <w:rFonts w:ascii="Times New Roman" w:cs="Times New Roman" w:eastAsia="Times New Roman" w:hAnsi="Times New Roman"/>
          <w:sz w:val="18"/>
          <w:szCs w:val="18"/>
          <w:color w:val="181717"/>
        </w:rPr>
        <w:t>- continued</w:t>
      </w:r>
      <w:r>
        <w:rPr>
          <w:rFonts w:ascii="Times New Roman" w:cs="Times New Roman" w:eastAsia="Times New Roman" w:hAnsi="Times New Roman"/>
          <w:sz w:val="18"/>
          <w:szCs w:val="18"/>
          <w:b w:val="1"/>
          <w:bCs w:val="1"/>
          <w:color w:val="181717"/>
        </w:rPr>
        <w:t xml:space="preserve"> </w:t>
      </w:r>
      <w:r>
        <w:rPr>
          <w:rFonts w:ascii="Times New Roman" w:cs="Times New Roman" w:eastAsia="Times New Roman" w:hAnsi="Times New Roman"/>
          <w:sz w:val="18"/>
          <w:szCs w:val="18"/>
          <w:b w:val="1"/>
          <w:bCs w:val="1"/>
          <w:i w:val="1"/>
          <w:iCs w:val="1"/>
          <w:color w:val="000000"/>
        </w:rPr>
        <w:t xml:space="preserve">The VIE arrangements </w:t>
      </w:r>
      <w:r>
        <w:rPr>
          <w:rFonts w:ascii="Times New Roman" w:cs="Times New Roman" w:eastAsia="Times New Roman" w:hAnsi="Times New Roman"/>
          <w:sz w:val="18"/>
          <w:szCs w:val="18"/>
          <w:color w:val="000000"/>
        </w:rPr>
        <w:t>– continued</w:t>
      </w:r>
    </w:p>
    <w:p>
      <w:pPr>
        <w:ind w:left="1492"/>
        <w:spacing w:after="0"/>
        <w:rPr>
          <w:sz w:val="20"/>
          <w:szCs w:val="20"/>
          <w:color w:val="auto"/>
        </w:rPr>
      </w:pPr>
      <w:r>
        <w:rPr>
          <w:rFonts w:ascii="Times New Roman" w:cs="Times New Roman" w:eastAsia="Times New Roman" w:hAnsi="Times New Roman"/>
          <w:sz w:val="18"/>
          <w:szCs w:val="18"/>
          <w:i w:val="1"/>
          <w:iCs w:val="1"/>
          <w:color w:val="181717"/>
        </w:rPr>
        <w:t>Business Operation Agreement</w:t>
      </w:r>
    </w:p>
    <w:p>
      <w:pPr>
        <w:spacing w:after="0" w:line="227" w:lineRule="exact"/>
        <w:rPr>
          <w:sz w:val="20"/>
          <w:szCs w:val="20"/>
          <w:color w:val="auto"/>
        </w:rPr>
      </w:pPr>
    </w:p>
    <w:p>
      <w:pPr>
        <w:ind w:left="1492" w:right="80"/>
        <w:spacing w:after="0" w:line="253" w:lineRule="auto"/>
        <w:rPr>
          <w:sz w:val="20"/>
          <w:szCs w:val="20"/>
          <w:color w:val="auto"/>
        </w:rPr>
      </w:pPr>
      <w:r>
        <w:rPr>
          <w:rFonts w:ascii="Times New Roman" w:cs="Times New Roman" w:eastAsia="Times New Roman" w:hAnsi="Times New Roman"/>
          <w:sz w:val="18"/>
          <w:szCs w:val="18"/>
          <w:color w:val="181717"/>
        </w:rPr>
        <w:t>Under the business operation agreement each of VIEs, VIEs’ subsidiaries and the shareholders of VIEs confirmed and agreed that, without WFOEs’ prior written consent, it shall not make any transaction that has a material adverse effect on the assets, business, personnel, obligations, rights or operations of VIEs and VIEs’ subsidiaries, including but not limited to sale or purchase of any assets or rights exceeding RMB50, incurrence of any encumbrance on any of its assets, including intellectual property rights, in favor of a third party, amendment of its articles of association or business scope, or change of its normal operation procedures. VIEs, VIEs’ subsidiaries and the shareholders of VIEs shall accept and execute opinions and instructions of WFOEs in connection with the employee engagement and dismissal, daily operations and financial management systems. The shareholders of VIEs shall elect or appoint the candidates recommended by WFOEs as VIEs’ directors and supervisors, and procure the appointment of VIEs’ chairman of the board and senior management pursuant to WFOEs’ designation. The agreement also provides that if any of the agreements among WFOEs, VIEs and the VIEs’ subsidiaries is terminated, WFOEs are entitled to terminate all of the other agreements among themselves, VIEs and VIEs’ subsidiaries. This agreement will remain binding until dissolution of VIEs and all the VIEs’ subsidiaries.</w:t>
      </w:r>
    </w:p>
    <w:p>
      <w:pPr>
        <w:spacing w:after="0" w:line="230"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i w:val="1"/>
          <w:iCs w:val="1"/>
          <w:color w:val="181717"/>
        </w:rPr>
        <w:t>Equity Interest Pledge Agreement</w:t>
      </w:r>
    </w:p>
    <w:p>
      <w:pPr>
        <w:spacing w:after="0" w:line="227" w:lineRule="exact"/>
        <w:rPr>
          <w:sz w:val="20"/>
          <w:szCs w:val="20"/>
          <w:color w:val="auto"/>
        </w:rPr>
      </w:pPr>
    </w:p>
    <w:p>
      <w:pPr>
        <w:ind w:left="1492"/>
        <w:spacing w:after="0" w:line="254" w:lineRule="auto"/>
        <w:rPr>
          <w:sz w:val="20"/>
          <w:szCs w:val="20"/>
          <w:color w:val="auto"/>
        </w:rPr>
      </w:pPr>
      <w:r>
        <w:rPr>
          <w:rFonts w:ascii="Times New Roman" w:cs="Times New Roman" w:eastAsia="Times New Roman" w:hAnsi="Times New Roman"/>
          <w:sz w:val="18"/>
          <w:szCs w:val="18"/>
          <w:color w:val="181717"/>
        </w:rPr>
        <w:t>Pursuant to the equity interest pledge agreement among WFOEs, the shareholders of VIEs and the subsidiaries of VIEs, the shareholders of VIEs pledged all of their equity interests in VIEs to WFOEs as security for performance of the obligations of VIEs and their shareholders under the exclusive technical consultation and service agreements, the option agreement and the business operation agreement. The shareholders of VIEs shall instruct VIEs not to distribute any dividends and shall not approve any profit distribution plan. If any of the specified events of default occurs, WFOEs may exercise the right to enforce the pledges after giving a notice of default to the shareholders of VIEs. WFOEs may assign any and all of its rights and obligations under equity interest pledge agreement to their designee(s) at any time. The equity interest pledge agreement is binding on the shareholders of VIEs and their successors and shall be valid with respect to the shareholders of VIEs and each of their successors.</w:t>
      </w:r>
    </w:p>
    <w:p>
      <w:pPr>
        <w:spacing w:after="0" w:line="190"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i w:val="1"/>
          <w:iCs w:val="1"/>
          <w:color w:val="181717"/>
        </w:rPr>
        <w:t>Option Agreement</w:t>
      </w:r>
    </w:p>
    <w:p>
      <w:pPr>
        <w:spacing w:after="0" w:line="227" w:lineRule="exact"/>
        <w:rPr>
          <w:sz w:val="20"/>
          <w:szCs w:val="20"/>
          <w:color w:val="auto"/>
        </w:rPr>
      </w:pPr>
    </w:p>
    <w:p>
      <w:pPr>
        <w:ind w:left="1492" w:right="100"/>
        <w:spacing w:after="0" w:line="253" w:lineRule="auto"/>
        <w:rPr>
          <w:sz w:val="20"/>
          <w:szCs w:val="20"/>
          <w:color w:val="auto"/>
        </w:rPr>
      </w:pPr>
      <w:r>
        <w:rPr>
          <w:rFonts w:ascii="Times New Roman" w:cs="Times New Roman" w:eastAsia="Times New Roman" w:hAnsi="Times New Roman"/>
          <w:sz w:val="18"/>
          <w:szCs w:val="18"/>
          <w:color w:val="181717"/>
        </w:rPr>
        <w:t>Pursuant to the option agreement among WFOEs, VIEs and the shareholders of VIEs, each of the shareholders irrevocably granted WFOEs a right to purchase or designate a third party to purchase, equity interests in VIEs then held by each shareholder at once or at multiple times at any time in part or in whole at WFOEs’ sole and absolute discretion to the extent permitted by PRC laws. The shareholders of VIEs shall promptly surrender all considerations they received from the exercise of the options to WFOEs or the designated third party free of charge. Without WFOEs’ prior written consent, the shareholders of VIEs shall not, individually or collectively, make or procure VIEs to make any transaction or conduct that has a material adverse effect on the assets, liabilities, operations, equity and other legal rights of VIEs. Without WFOEs’ prior written consent, VIEs shall not enter into any contract exceeding RMB50, except the contracts in the ordinary course of the business. VIEs shall not be dissolved or liquidated without prior written consent by WFOEs. The shareholders of VIEs waive their rights of pre-emption in regard to the transfer of equity interest by any other shareholder of VIEs to WFOEs as instructed.</w:t>
      </w:r>
    </w:p>
    <w:p>
      <w:pPr>
        <w:spacing w:after="0" w:line="3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69" w:right="359" w:bottom="1440" w:gutter="0" w:footer="0" w:header="0"/>
        </w:sectPr>
      </w:pPr>
    </w:p>
    <w:bookmarkStart w:id="136" w:name="page137"/>
    <w:bookmarkEnd w:id="136"/>
    <w:p>
      <w:pPr>
        <w:jc w:val="center"/>
        <w:ind w:left="380" w:right="270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172" w:lineRule="exact"/>
        <w:rPr>
          <w:sz w:val="20"/>
          <w:szCs w:val="20"/>
          <w:color w:val="auto"/>
        </w:rPr>
      </w:pPr>
    </w:p>
    <w:p>
      <w:pPr>
        <w:ind w:left="752" w:right="6180" w:hanging="752"/>
        <w:spacing w:after="0" w:line="502" w:lineRule="auto"/>
        <w:tabs>
          <w:tab w:leader="none" w:pos="752" w:val="left"/>
        </w:tabs>
        <w:numPr>
          <w:ilvl w:val="0"/>
          <w:numId w:val="67"/>
        </w:numPr>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b w:val="1"/>
          <w:bCs w:val="1"/>
          <w:color w:val="181717"/>
        </w:rPr>
        <w:t xml:space="preserve">SIGNIFICANT ACCOUNTING POLICIES </w:t>
      </w:r>
      <w:r>
        <w:rPr>
          <w:rFonts w:ascii="Times New Roman" w:cs="Times New Roman" w:eastAsia="Times New Roman" w:hAnsi="Times New Roman"/>
          <w:sz w:val="18"/>
          <w:szCs w:val="18"/>
          <w:color w:val="181717"/>
        </w:rPr>
        <w:t>- continued</w:t>
      </w:r>
      <w:r>
        <w:rPr>
          <w:rFonts w:ascii="Times New Roman" w:cs="Times New Roman" w:eastAsia="Times New Roman" w:hAnsi="Times New Roman"/>
          <w:sz w:val="18"/>
          <w:szCs w:val="18"/>
          <w:b w:val="1"/>
          <w:bCs w:val="1"/>
          <w:color w:val="181717"/>
        </w:rPr>
        <w:t xml:space="preserve"> </w:t>
      </w:r>
      <w:r>
        <w:rPr>
          <w:rFonts w:ascii="Times New Roman" w:cs="Times New Roman" w:eastAsia="Times New Roman" w:hAnsi="Times New Roman"/>
          <w:sz w:val="18"/>
          <w:szCs w:val="18"/>
          <w:b w:val="1"/>
          <w:bCs w:val="1"/>
          <w:i w:val="1"/>
          <w:iCs w:val="1"/>
          <w:color w:val="000000"/>
        </w:rPr>
        <w:t xml:space="preserve">The VIE arrangements </w:t>
      </w:r>
      <w:r>
        <w:rPr>
          <w:rFonts w:ascii="Times New Roman" w:cs="Times New Roman" w:eastAsia="Times New Roman" w:hAnsi="Times New Roman"/>
          <w:sz w:val="18"/>
          <w:szCs w:val="18"/>
          <w:color w:val="000000"/>
        </w:rPr>
        <w:t>– continued</w:t>
      </w:r>
    </w:p>
    <w:p>
      <w:pPr>
        <w:ind w:left="1492"/>
        <w:spacing w:after="0"/>
        <w:rPr>
          <w:sz w:val="20"/>
          <w:szCs w:val="20"/>
          <w:color w:val="auto"/>
        </w:rPr>
      </w:pPr>
      <w:r>
        <w:rPr>
          <w:rFonts w:ascii="Times New Roman" w:cs="Times New Roman" w:eastAsia="Times New Roman" w:hAnsi="Times New Roman"/>
          <w:sz w:val="18"/>
          <w:szCs w:val="18"/>
          <w:i w:val="1"/>
          <w:iCs w:val="1"/>
          <w:color w:val="181717"/>
        </w:rPr>
        <w:t>Powers of Attorney</w:t>
      </w:r>
    </w:p>
    <w:p>
      <w:pPr>
        <w:spacing w:after="0" w:line="227" w:lineRule="exact"/>
        <w:rPr>
          <w:sz w:val="20"/>
          <w:szCs w:val="20"/>
          <w:color w:val="auto"/>
        </w:rPr>
      </w:pPr>
    </w:p>
    <w:p>
      <w:pPr>
        <w:ind w:left="1492" w:right="20"/>
        <w:spacing w:after="0" w:line="254" w:lineRule="auto"/>
        <w:rPr>
          <w:sz w:val="20"/>
          <w:szCs w:val="20"/>
          <w:color w:val="auto"/>
        </w:rPr>
      </w:pPr>
      <w:r>
        <w:rPr>
          <w:rFonts w:ascii="Times New Roman" w:cs="Times New Roman" w:eastAsia="Times New Roman" w:hAnsi="Times New Roman"/>
          <w:sz w:val="18"/>
          <w:szCs w:val="18"/>
          <w:color w:val="181717"/>
        </w:rPr>
        <w:t>Pursuant to the powers of attorney executed by the shareholders of VIEs, the shareholders of VIEs each irrevocably authorized WFOEs to act on their respective behalf as exclusive agent and attorney with respect to all rights of shareholders concerning all equity interests held by each of them in VIEs, including but not limited to propose to convene shareholder meetings, accept any notice with respect to the convening and proceeding of the shareholder meeting, attend shareholder meetings, sign the shareholders resolutions on behalf of, exercise all the shareholder’s rights according to laws and regulations and VIEs’ articles of association (including but not limited to voting rights and the sale, transfer, pledge, or dispose of all equity interests held in part or in whole), and designate and appoint on their respective behalf the president, directors, supervisors, Chief Executive Officer, Chief Financial Officer and other senior management members of VIEs.</w:t>
      </w:r>
    </w:p>
    <w:p>
      <w:pPr>
        <w:spacing w:after="0" w:line="190"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8"/>
          <w:szCs w:val="18"/>
          <w:i w:val="1"/>
          <w:iCs w:val="1"/>
          <w:color w:val="181717"/>
        </w:rPr>
        <w:t>Spousal Consent Letters</w:t>
      </w:r>
    </w:p>
    <w:p>
      <w:pPr>
        <w:spacing w:after="0" w:line="227" w:lineRule="exact"/>
        <w:rPr>
          <w:sz w:val="20"/>
          <w:szCs w:val="20"/>
          <w:color w:val="auto"/>
        </w:rPr>
      </w:pPr>
    </w:p>
    <w:p>
      <w:pPr>
        <w:ind w:left="1492"/>
        <w:spacing w:after="0" w:line="261" w:lineRule="auto"/>
        <w:rPr>
          <w:sz w:val="20"/>
          <w:szCs w:val="20"/>
          <w:color w:val="auto"/>
        </w:rPr>
      </w:pPr>
      <w:r>
        <w:rPr>
          <w:rFonts w:ascii="Times New Roman" w:cs="Times New Roman" w:eastAsia="Times New Roman" w:hAnsi="Times New Roman"/>
          <w:sz w:val="18"/>
          <w:szCs w:val="18"/>
          <w:color w:val="auto"/>
        </w:rPr>
        <w:t>Pursuant to the spousal consent letters executed by the spouses of the general partners of entities as the shareholders of VIEs, the signing spouse confirmed and agreed that the equity interests of VIEs are the own property of their spouses and shall not constitute the jointly possessed property of the couples. The spouses also irrevocably waived any potential right or interest that may be granted by operation of applicable law in connection with the equity interests of VIEs held by their spouses.</w:t>
      </w:r>
    </w:p>
    <w:p>
      <w:pPr>
        <w:spacing w:after="0" w:line="180" w:lineRule="exact"/>
        <w:rPr>
          <w:sz w:val="20"/>
          <w:szCs w:val="20"/>
          <w:color w:val="auto"/>
        </w:rPr>
      </w:pPr>
    </w:p>
    <w:p>
      <w:pPr>
        <w:ind w:left="1492" w:right="40"/>
        <w:spacing w:after="0" w:line="266" w:lineRule="auto"/>
        <w:rPr>
          <w:sz w:val="20"/>
          <w:szCs w:val="20"/>
          <w:color w:val="auto"/>
        </w:rPr>
      </w:pPr>
      <w:r>
        <w:rPr>
          <w:rFonts w:ascii="Times New Roman" w:cs="Times New Roman" w:eastAsia="Times New Roman" w:hAnsi="Times New Roman"/>
          <w:sz w:val="18"/>
          <w:szCs w:val="18"/>
          <w:color w:val="auto"/>
        </w:rPr>
        <w:t>As a result of the contractual arrangements above, WFOEs bear the economic risks and receive the economic benefits of the VIEs and are the primary beneficiary of the VIEs. Therefore, the Company has consolidated the financial results of the VIEs and their subsidiaries in its consolidated financial statement</w:t>
      </w:r>
      <w:r>
        <w:rPr>
          <w:rFonts w:ascii="Times New Roman" w:cs="Times New Roman" w:eastAsia="Times New Roman" w:hAnsi="Times New Roman"/>
          <w:sz w:val="18"/>
          <w:szCs w:val="18"/>
          <w:color w:val="181717"/>
        </w:rPr>
        <w:t>s.</w:t>
      </w:r>
    </w:p>
    <w:p>
      <w:pPr>
        <w:spacing w:after="0" w:line="203"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u w:val="single" w:color="auto"/>
          <w:color w:val="181717"/>
        </w:rPr>
        <w:t>Risks in relation to VIE structure</w:t>
      </w:r>
    </w:p>
    <w:p>
      <w:pPr>
        <w:spacing w:after="0" w:line="225" w:lineRule="exact"/>
        <w:rPr>
          <w:sz w:val="20"/>
          <w:szCs w:val="20"/>
          <w:color w:val="auto"/>
        </w:rPr>
      </w:pPr>
    </w:p>
    <w:p>
      <w:pPr>
        <w:ind w:left="752" w:right="560"/>
        <w:spacing w:after="0" w:line="282" w:lineRule="auto"/>
        <w:rPr>
          <w:sz w:val="20"/>
          <w:szCs w:val="20"/>
          <w:color w:val="auto"/>
        </w:rPr>
      </w:pPr>
      <w:r>
        <w:rPr>
          <w:rFonts w:ascii="Times New Roman" w:cs="Times New Roman" w:eastAsia="Times New Roman" w:hAnsi="Times New Roman"/>
          <w:sz w:val="18"/>
          <w:szCs w:val="18"/>
          <w:color w:val="auto"/>
        </w:rPr>
        <w:t>The Company believes that the contractual arrangements with VIEs and their shareholders are in compliance with existing PRC laws and regulations and are legally enforceable. However, the contractual arrangements are subject to risks and uncertainties, including</w:t>
      </w:r>
      <w:r>
        <w:rPr>
          <w:rFonts w:ascii="Times New Roman" w:cs="Times New Roman" w:eastAsia="Times New Roman" w:hAnsi="Times New Roman"/>
          <w:sz w:val="18"/>
          <w:szCs w:val="18"/>
          <w:color w:val="181717"/>
        </w:rPr>
        <w:t>:</w:t>
      </w:r>
    </w:p>
    <w:p>
      <w:pPr>
        <w:spacing w:after="0" w:line="54" w:lineRule="exact"/>
        <w:rPr>
          <w:sz w:val="20"/>
          <w:szCs w:val="20"/>
          <w:color w:val="auto"/>
        </w:rPr>
      </w:pPr>
    </w:p>
    <w:p>
      <w:pPr>
        <w:ind w:left="1492" w:right="220" w:hanging="743"/>
        <w:spacing w:after="0" w:line="261" w:lineRule="auto"/>
        <w:tabs>
          <w:tab w:leader="none" w:pos="149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VIEs and their shareholders may have or develop interests that conflict with the Group’s interests, which may lead them to pursue opportunities in violation of the aforementioned contractual agreements. If the Group cannot resolve any conflicts of interest or disputes between the Group and the shareholders of VIEs, the Group would have to rely on legal proceedings, which could result in disruption of its business, and there is uncertainty as to the outcome of any such legal proceedings</w:t>
      </w:r>
      <w:r>
        <w:rPr>
          <w:rFonts w:ascii="Times New Roman" w:cs="Times New Roman" w:eastAsia="Times New Roman" w:hAnsi="Times New Roman"/>
          <w:sz w:val="18"/>
          <w:szCs w:val="18"/>
          <w:color w:val="181717"/>
        </w:rPr>
        <w:t>.</w:t>
      </w:r>
    </w:p>
    <w:p>
      <w:pPr>
        <w:spacing w:after="0" w:line="71" w:lineRule="exact"/>
        <w:rPr>
          <w:rFonts w:ascii="Times New Roman" w:cs="Times New Roman" w:eastAsia="Times New Roman" w:hAnsi="Times New Roman"/>
          <w:sz w:val="18"/>
          <w:szCs w:val="18"/>
          <w:color w:val="auto"/>
        </w:rPr>
      </w:pPr>
    </w:p>
    <w:p>
      <w:pPr>
        <w:ind w:left="1492" w:right="60" w:hanging="743"/>
        <w:spacing w:after="0" w:line="261" w:lineRule="auto"/>
        <w:tabs>
          <w:tab w:leader="none" w:pos="149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VIEs and their shareholders could fail to obtain the proper operating licenses or fail to comply with other regulatory requirements. As a result, the PRC government could impose fines, new requirements or other penalties on the VIEs or the Group, mandate a change in ownership structure or operations for the VIEs or the Group, restrict the VIEs or the Group’s use of financing sources or otherwise restrict the VIEs or the Group’s ability to conduct business</w:t>
      </w:r>
      <w:r>
        <w:rPr>
          <w:rFonts w:ascii="Times New Roman" w:cs="Times New Roman" w:eastAsia="Times New Roman" w:hAnsi="Times New Roman"/>
          <w:sz w:val="18"/>
          <w:szCs w:val="18"/>
          <w:color w:val="181717"/>
        </w:rPr>
        <w:t>.</w:t>
      </w:r>
    </w:p>
    <w:p>
      <w:pPr>
        <w:spacing w:after="0" w:line="71" w:lineRule="exact"/>
        <w:rPr>
          <w:rFonts w:ascii="Times New Roman" w:cs="Times New Roman" w:eastAsia="Times New Roman" w:hAnsi="Times New Roman"/>
          <w:sz w:val="18"/>
          <w:szCs w:val="18"/>
          <w:color w:val="auto"/>
        </w:rPr>
      </w:pPr>
    </w:p>
    <w:p>
      <w:pPr>
        <w:jc w:val="both"/>
        <w:ind w:left="1492" w:right="200" w:hanging="743"/>
        <w:spacing w:after="0" w:line="266" w:lineRule="auto"/>
        <w:tabs>
          <w:tab w:leader="none" w:pos="1492" w:val="left"/>
        </w:tabs>
        <w:numPr>
          <w:ilvl w:val="0"/>
          <w:numId w:val="68"/>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The PRC government may declare the aforementioned contractual arrangements invalid. They may modify the relevant regulations, have a different interpretation of such regulations, or otherwise determine that the Group or the VIEs have failed to comply with the legal obligations required to effectuate such contractual arrangements.</w:t>
      </w:r>
    </w:p>
    <w:p>
      <w:pPr>
        <w:spacing w:after="0" w:line="67" w:lineRule="exact"/>
        <w:rPr>
          <w:rFonts w:ascii="Times New Roman" w:cs="Times New Roman" w:eastAsia="Times New Roman" w:hAnsi="Times New Roman"/>
          <w:sz w:val="18"/>
          <w:szCs w:val="18"/>
          <w:color w:val="181717"/>
        </w:rPr>
      </w:pPr>
    </w:p>
    <w:p>
      <w:pPr>
        <w:ind w:left="1492" w:right="240" w:hanging="743"/>
        <w:spacing w:after="0" w:line="282" w:lineRule="auto"/>
        <w:tabs>
          <w:tab w:leader="none" w:pos="1492" w:val="left"/>
        </w:tabs>
        <w:numPr>
          <w:ilvl w:val="0"/>
          <w:numId w:val="68"/>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If the legal structure and contractual arrangements were found to be in violation of PRC laws and regulations, the PRC government may restrict or prohibit the Group’s business and operations in China.</w:t>
      </w:r>
    </w:p>
    <w:p>
      <w:pPr>
        <w:spacing w:after="0" w:line="162" w:lineRule="exact"/>
        <w:rPr>
          <w:sz w:val="20"/>
          <w:szCs w:val="20"/>
          <w:color w:val="auto"/>
        </w:rPr>
      </w:pPr>
    </w:p>
    <w:p>
      <w:pPr>
        <w:ind w:left="752" w:right="180"/>
        <w:spacing w:after="0" w:line="261" w:lineRule="auto"/>
        <w:rPr>
          <w:sz w:val="20"/>
          <w:szCs w:val="20"/>
          <w:color w:val="auto"/>
        </w:rPr>
      </w:pPr>
      <w:r>
        <w:rPr>
          <w:rFonts w:ascii="Times New Roman" w:cs="Times New Roman" w:eastAsia="Times New Roman" w:hAnsi="Times New Roman"/>
          <w:sz w:val="18"/>
          <w:szCs w:val="18"/>
          <w:color w:val="auto"/>
        </w:rPr>
        <w:t>The Group’s ability to conduct its business may be negatively affected if the PRC government were to carry out any of the aforementioned actions. As a result, the Group may not be able to consolidate VIEs and their subsidiaries in the consolidated financial statements as the Group may lose the ability to direct the activities that most significantly affect the economic performance of the VIEs and the Group may lose the ability to receive economic benefits from VIEs</w:t>
      </w:r>
      <w:r>
        <w:rPr>
          <w:rFonts w:ascii="Times New Roman" w:cs="Times New Roman" w:eastAsia="Times New Roman" w:hAnsi="Times New Roman"/>
          <w:sz w:val="18"/>
          <w:szCs w:val="18"/>
          <w:color w:val="181717"/>
        </w:rPr>
        <w:t>.</w:t>
      </w:r>
    </w:p>
    <w:p>
      <w:pPr>
        <w:spacing w:after="0" w:line="15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769" w:right="379" w:bottom="1440" w:gutter="0" w:footer="0" w:header="0"/>
        </w:sectPr>
      </w:pPr>
    </w:p>
    <w:bookmarkStart w:id="137" w:name="page138"/>
    <w:bookmarkEnd w:id="137"/>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172" w:lineRule="exact"/>
        <w:rPr>
          <w:sz w:val="20"/>
          <w:szCs w:val="20"/>
          <w:color w:val="auto"/>
        </w:rPr>
      </w:pPr>
    </w:p>
    <w:p>
      <w:pPr>
        <w:ind w:left="752" w:hanging="752"/>
        <w:spacing w:after="0"/>
        <w:tabs>
          <w:tab w:leader="none" w:pos="752" w:val="left"/>
        </w:tabs>
        <w:numPr>
          <w:ilvl w:val="0"/>
          <w:numId w:val="69"/>
        </w:numPr>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b w:val="1"/>
          <w:bCs w:val="1"/>
          <w:color w:val="181717"/>
        </w:rPr>
        <w:t xml:space="preserve">SIGNIFICANT ACCOUNTING POLICIES </w:t>
      </w:r>
      <w:r>
        <w:rPr>
          <w:rFonts w:ascii="Times New Roman" w:cs="Times New Roman" w:eastAsia="Times New Roman" w:hAnsi="Times New Roman"/>
          <w:sz w:val="18"/>
          <w:szCs w:val="18"/>
          <w:color w:val="181717"/>
        </w:rPr>
        <w:t>- continued</w:t>
      </w:r>
    </w:p>
    <w:p>
      <w:pPr>
        <w:spacing w:after="0" w:line="225" w:lineRule="exact"/>
        <w:rPr>
          <w:rFonts w:ascii="Times New Roman" w:cs="Times New Roman" w:eastAsia="Times New Roman" w:hAnsi="Times New Roman"/>
          <w:sz w:val="18"/>
          <w:szCs w:val="18"/>
          <w:b w:val="1"/>
          <w:bCs w:val="1"/>
          <w:color w:val="181717"/>
        </w:rPr>
      </w:pPr>
    </w:p>
    <w:p>
      <w:pPr>
        <w:ind w:left="752"/>
        <w:spacing w:after="0"/>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b w:val="1"/>
          <w:bCs w:val="1"/>
          <w:i w:val="1"/>
          <w:iCs w:val="1"/>
          <w:color w:val="auto"/>
        </w:rPr>
        <w:t xml:space="preserve">The VIE arrangements </w:t>
      </w:r>
      <w:r>
        <w:rPr>
          <w:rFonts w:ascii="Times New Roman" w:cs="Times New Roman" w:eastAsia="Times New Roman" w:hAnsi="Times New Roman"/>
          <w:sz w:val="18"/>
          <w:szCs w:val="18"/>
          <w:color w:val="auto"/>
        </w:rPr>
        <w:t>– continued</w:t>
      </w:r>
    </w:p>
    <w:p>
      <w:pPr>
        <w:spacing w:after="0" w:line="134" w:lineRule="exact"/>
        <w:rPr>
          <w:rFonts w:ascii="Times New Roman" w:cs="Times New Roman" w:eastAsia="Times New Roman" w:hAnsi="Times New Roman"/>
          <w:sz w:val="18"/>
          <w:szCs w:val="18"/>
          <w:b w:val="1"/>
          <w:bCs w:val="1"/>
          <w:color w:val="181717"/>
        </w:rPr>
      </w:pPr>
    </w:p>
    <w:p>
      <w:pPr>
        <w:ind w:left="752" w:right="220"/>
        <w:spacing w:after="0" w:line="266"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181717"/>
        </w:rPr>
        <w:t>The following financial information of the VIEs and their subsidiaries as of December 31, 2024 and 2025 and for each of the three years in the period ended December 31, 2023, 2024 and 2025 was included in the accompanying consolidated financial statements after elimination of intercompany transactions and balances within the Company, its subsidiaries, the VIEs and VIEs' subsidiaries:</w:t>
      </w:r>
    </w:p>
    <w:p>
      <w:pPr>
        <w:spacing w:after="0" w:line="81" w:lineRule="exact"/>
        <w:rPr>
          <w:sz w:val="20"/>
          <w:szCs w:val="20"/>
          <w:color w:val="auto"/>
        </w:rPr>
      </w:pPr>
    </w:p>
    <w:p>
      <w:pPr>
        <w:ind w:left="7812"/>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27" w:lineRule="exact"/>
        <w:rPr>
          <w:sz w:val="20"/>
          <w:szCs w:val="20"/>
          <w:color w:val="auto"/>
        </w:rPr>
      </w:pPr>
    </w:p>
    <w:tbl>
      <w:tblPr>
        <w:tblLayout w:type="fixed"/>
        <w:tblInd w:w="792" w:type="dxa"/>
        <w:tblCellMar>
          <w:top w:w="0" w:type="dxa"/>
          <w:left w:w="0" w:type="dxa"/>
          <w:bottom w:w="0" w:type="dxa"/>
          <w:right w:w="0" w:type="dxa"/>
        </w:tblCellMar>
      </w:tblPr>
      <w:tr>
        <w:trPr>
          <w:trHeight w:val="209"/>
        </w:trPr>
        <w:tc>
          <w:tcPr>
            <w:tcW w:w="5160" w:type="dxa"/>
            <w:vAlign w:val="bottom"/>
          </w:tcPr>
          <w:p>
            <w:pPr>
              <w:spacing w:after="0"/>
              <w:rPr>
                <w:sz w:val="18"/>
                <w:szCs w:val="18"/>
                <w:color w:val="auto"/>
              </w:rPr>
            </w:pPr>
          </w:p>
        </w:tc>
        <w:tc>
          <w:tcPr>
            <w:tcW w:w="166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r>
      <w:tr>
        <w:trPr>
          <w:trHeight w:val="209"/>
        </w:trPr>
        <w:tc>
          <w:tcPr>
            <w:tcW w:w="5160" w:type="dxa"/>
            <w:vAlign w:val="bottom"/>
          </w:tcPr>
          <w:p>
            <w:pPr>
              <w:spacing w:after="0"/>
              <w:rPr>
                <w:sz w:val="18"/>
                <w:szCs w:val="18"/>
                <w:color w:val="auto"/>
              </w:rPr>
            </w:pPr>
          </w:p>
        </w:tc>
        <w:tc>
          <w:tcPr>
            <w:tcW w:w="166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RMB</w:t>
            </w: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r>
      <w:tr>
        <w:trPr>
          <w:trHeight w:val="216"/>
        </w:trPr>
        <w:tc>
          <w:tcPr>
            <w:tcW w:w="6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44,943</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tcPr>
          <w:p>
            <w:pPr>
              <w:spacing w:after="0"/>
              <w:rPr>
                <w:sz w:val="18"/>
                <w:szCs w:val="18"/>
                <w:color w:val="auto"/>
              </w:rPr>
            </w:pPr>
          </w:p>
        </w:tc>
      </w:tr>
      <w:tr>
        <w:trPr>
          <w:trHeight w:val="216"/>
        </w:trPr>
        <w:tc>
          <w:tcPr>
            <w:tcW w:w="6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49,279</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23,439</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96,931</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41,721</w:t>
            </w:r>
          </w:p>
        </w:tc>
        <w:tc>
          <w:tcPr>
            <w:tcW w:w="100" w:type="dxa"/>
            <w:vAlign w:val="bottom"/>
          </w:tcPr>
          <w:p>
            <w:pPr>
              <w:spacing w:after="0"/>
              <w:rPr>
                <w:sz w:val="18"/>
                <w:szCs w:val="18"/>
                <w:color w:val="auto"/>
              </w:rPr>
            </w:pPr>
          </w:p>
        </w:tc>
      </w:tr>
      <w:tr>
        <w:trPr>
          <w:trHeight w:val="216"/>
        </w:trPr>
        <w:tc>
          <w:tcPr>
            <w:tcW w:w="6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202,781</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106,567</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18"/>
                <w:szCs w:val="18"/>
                <w:color w:val="auto"/>
              </w:rPr>
            </w:pPr>
          </w:p>
        </w:tc>
      </w:tr>
      <w:tr>
        <w:trPr>
          <w:trHeight w:val="216"/>
        </w:trPr>
        <w:tc>
          <w:tcPr>
            <w:tcW w:w="6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30,285</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22,933</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356,974</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24,972</w:t>
            </w:r>
          </w:p>
        </w:tc>
        <w:tc>
          <w:tcPr>
            <w:tcW w:w="100" w:type="dxa"/>
            <w:vAlign w:val="bottom"/>
          </w:tcPr>
          <w:p>
            <w:pPr>
              <w:spacing w:after="0"/>
              <w:rPr>
                <w:sz w:val="18"/>
                <w:szCs w:val="18"/>
                <w:color w:val="auto"/>
              </w:rPr>
            </w:pPr>
          </w:p>
        </w:tc>
      </w:tr>
      <w:tr>
        <w:trPr>
          <w:trHeight w:val="216"/>
        </w:trPr>
        <w:tc>
          <w:tcPr>
            <w:tcW w:w="6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453,905</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66,693</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228,825</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102,424</w:t>
            </w:r>
          </w:p>
        </w:tc>
        <w:tc>
          <w:tcPr>
            <w:tcW w:w="100" w:type="dxa"/>
            <w:vAlign w:val="bottom"/>
          </w:tcPr>
          <w:p>
            <w:pPr>
              <w:spacing w:after="0"/>
              <w:rPr>
                <w:sz w:val="18"/>
                <w:szCs w:val="18"/>
                <w:color w:val="auto"/>
              </w:rPr>
            </w:pPr>
          </w:p>
        </w:tc>
      </w:tr>
      <w:tr>
        <w:trPr>
          <w:trHeight w:val="216"/>
        </w:trPr>
        <w:tc>
          <w:tcPr>
            <w:tcW w:w="6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281,776</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92,472</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current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8"/>
                <w:szCs w:val="18"/>
                <w:color w:val="auto"/>
              </w:rPr>
            </w:pPr>
          </w:p>
        </w:tc>
      </w:tr>
      <w:tr>
        <w:trPr>
          <w:trHeight w:val="216"/>
        </w:trPr>
        <w:tc>
          <w:tcPr>
            <w:tcW w:w="6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518,381</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195,250</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107,441</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100" w:type="dxa"/>
            <w:vAlign w:val="bottom"/>
          </w:tcPr>
          <w:p>
            <w:pPr>
              <w:spacing w:after="0"/>
              <w:rPr>
                <w:sz w:val="18"/>
                <w:szCs w:val="18"/>
                <w:color w:val="auto"/>
              </w:rPr>
            </w:pPr>
          </w:p>
        </w:tc>
      </w:tr>
      <w:tr>
        <w:trPr>
          <w:trHeight w:val="216"/>
        </w:trPr>
        <w:tc>
          <w:tcPr>
            <w:tcW w:w="6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133,994</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761,231</w:t>
            </w:r>
          </w:p>
        </w:tc>
        <w:tc>
          <w:tcPr>
            <w:tcW w:w="220" w:type="dxa"/>
            <w:vAlign w:val="bottom"/>
            <w:tcBorders>
              <w:bottom w:val="single" w:sz="8" w:color="CFF0FC"/>
            </w:tcBorders>
            <w:shd w:val="clear" w:color="auto" w:fill="CFF0FC"/>
          </w:tcPr>
          <w:p>
            <w:pPr>
              <w:spacing w:after="0"/>
              <w:rPr>
                <w:sz w:val="18"/>
                <w:szCs w:val="18"/>
                <w:color w:val="auto"/>
              </w:rPr>
            </w:pPr>
          </w:p>
        </w:tc>
        <w:tc>
          <w:tcPr>
            <w:tcW w:w="2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205,352</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-7620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7071995</wp:posOffset>
            </wp:positionH>
            <wp:positionV relativeFrom="paragraph">
              <wp:posOffset>-7620</wp:posOffset>
            </wp:positionV>
            <wp:extent cx="596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both"/>
        <w:ind w:left="752" w:right="120"/>
        <w:spacing w:after="0" w:line="282" w:lineRule="auto"/>
        <w:rPr>
          <w:sz w:val="20"/>
          <w:szCs w:val="20"/>
          <w:color w:val="auto"/>
        </w:rPr>
      </w:pPr>
      <w:r>
        <w:rPr>
          <w:rFonts w:ascii="Times New Roman" w:cs="Times New Roman" w:eastAsia="Times New Roman" w:hAnsi="Times New Roman"/>
          <w:sz w:val="18"/>
          <w:szCs w:val="18"/>
          <w:color w:val="181717"/>
        </w:rPr>
        <w:t>As of December 31, 2024 and 2025, the VIEs and VIEs' subsidiaries accounted for an aggregate of 21.4% and 3.3% of the Group's consolidated total assets, respectively, and 40.9% and 18.6% of the Group's consolidated total liabilities, respectively.</w:t>
      </w:r>
    </w:p>
    <w:p>
      <w:pPr>
        <w:spacing w:after="0" w:line="67" w:lineRule="exact"/>
        <w:rPr>
          <w:sz w:val="20"/>
          <w:szCs w:val="20"/>
          <w:color w:val="auto"/>
        </w:rPr>
      </w:pPr>
    </w:p>
    <w:p>
      <w:pPr>
        <w:ind w:left="7172"/>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7" w:lineRule="exact"/>
        <w:rPr>
          <w:sz w:val="20"/>
          <w:szCs w:val="20"/>
          <w:color w:val="auto"/>
        </w:rPr>
      </w:pPr>
    </w:p>
    <w:tbl>
      <w:tblPr>
        <w:tblLayout w:type="fixed"/>
        <w:tblInd w:w="792"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11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4"/>
              </w:rPr>
              <w:t>2023</w:t>
            </w: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2040" w:type="dxa"/>
            <w:vAlign w:val="bottom"/>
            <w:tcBorders>
              <w:top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r>
      <w:tr>
        <w:trPr>
          <w:trHeight w:val="210"/>
        </w:trPr>
        <w:tc>
          <w:tcPr>
            <w:tcW w:w="4400" w:type="dxa"/>
            <w:vAlign w:val="bottom"/>
          </w:tcPr>
          <w:p>
            <w:pPr>
              <w:spacing w:after="0"/>
              <w:rPr>
                <w:sz w:val="18"/>
                <w:szCs w:val="18"/>
                <w:color w:val="auto"/>
              </w:rPr>
            </w:pPr>
          </w:p>
        </w:tc>
        <w:tc>
          <w:tcPr>
            <w:tcW w:w="110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89"/>
              </w:rPr>
              <w:t>RMB</w:t>
            </w: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RMB</w:t>
            </w:r>
          </w:p>
        </w:tc>
        <w:tc>
          <w:tcPr>
            <w:tcW w:w="180" w:type="dxa"/>
            <w:vAlign w:val="bottom"/>
          </w:tcPr>
          <w:p>
            <w:pPr>
              <w:spacing w:after="0"/>
              <w:rPr>
                <w:sz w:val="18"/>
                <w:szCs w:val="18"/>
                <w:color w:val="auto"/>
              </w:rPr>
            </w:pPr>
          </w:p>
        </w:tc>
        <w:tc>
          <w:tcPr>
            <w:tcW w:w="186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r>
      <w:tr>
        <w:trPr>
          <w:trHeight w:val="216"/>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1,369,285</w:t>
            </w: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1,669,295</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978,792</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716,487</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525,531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255,751</w:t>
            </w:r>
          </w:p>
        </w:tc>
        <w:tc>
          <w:tcPr>
            <w:tcW w:w="100" w:type="dxa"/>
            <w:vAlign w:val="bottom"/>
          </w:tcPr>
          <w:p>
            <w:pPr>
              <w:spacing w:after="0"/>
              <w:rPr>
                <w:sz w:val="18"/>
                <w:szCs w:val="18"/>
                <w:color w:val="auto"/>
              </w:rPr>
            </w:pPr>
          </w:p>
        </w:tc>
      </w:tr>
      <w:tr>
        <w:trPr>
          <w:trHeight w:val="216"/>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619,233</w:t>
            </w: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834,086</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in)/generated from investing activities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(28,038)</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102,846</w:t>
            </w:r>
          </w:p>
        </w:tc>
        <w:tc>
          <w:tcPr>
            <w:tcW w:w="2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(2,179)</w:t>
            </w:r>
          </w:p>
        </w:tc>
      </w:tr>
      <w:tr>
        <w:trPr>
          <w:trHeight w:val="216"/>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1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-7620</wp:posOffset>
            </wp:positionV>
            <wp:extent cx="6032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-7620</wp:posOffset>
            </wp:positionV>
            <wp:extent cx="596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7071995</wp:posOffset>
            </wp:positionH>
            <wp:positionV relativeFrom="paragraph">
              <wp:posOffset>-7620</wp:posOffset>
            </wp:positionV>
            <wp:extent cx="596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10" w:lineRule="exact"/>
        <w:rPr>
          <w:sz w:val="20"/>
          <w:szCs w:val="20"/>
          <w:color w:val="auto"/>
        </w:rPr>
      </w:pPr>
    </w:p>
    <w:p>
      <w:pPr>
        <w:ind w:left="752"/>
        <w:spacing w:after="0" w:line="256" w:lineRule="auto"/>
        <w:rPr>
          <w:sz w:val="20"/>
          <w:szCs w:val="20"/>
          <w:color w:val="auto"/>
        </w:rPr>
      </w:pPr>
      <w:r>
        <w:rPr>
          <w:rFonts w:ascii="Times New Roman" w:cs="Times New Roman" w:eastAsia="Times New Roman" w:hAnsi="Times New Roman"/>
          <w:sz w:val="18"/>
          <w:szCs w:val="18"/>
          <w:color w:val="181717"/>
        </w:rPr>
        <w:t xml:space="preserve">There are no consolidated VIEs’ assets that are collateral for the VIEs’ obligations and which can only be used to settle the </w:t>
      </w:r>
      <w:r>
        <w:rPr>
          <w:rFonts w:ascii="Times New Roman" w:cs="Times New Roman" w:eastAsia="Times New Roman" w:hAnsi="Times New Roman"/>
          <w:sz w:val="18"/>
          <w:szCs w:val="18"/>
          <w:color w:val="000000"/>
        </w:rPr>
        <w:t>VIEs’ obligations.</w:t>
      </w:r>
      <w:r>
        <w:rPr>
          <w:rFonts w:ascii="Times New Roman" w:cs="Times New Roman" w:eastAsia="Times New Roman" w:hAnsi="Times New Roman"/>
          <w:sz w:val="18"/>
          <w:szCs w:val="18"/>
          <w:color w:val="181717"/>
        </w:rPr>
        <w:t xml:space="preserve"> No creditor (or beneficial interest holders) of the VIEs have recourse to the general credit of the Company or any of its consolidated subsidiaries. No terms in any arrangements, considering both explicit arrangements and implicit variable interests, require the Company or its subsidiaries to provide financial support to the VIEs. However, if the VIEs ever needs financial support, the Company or its subsidiaries may, at its option and subject to statutory limits and restrictions, provide financial support to the VIEs through loans to the shareholders of the VIEs or entrustment loans to the VIEs.</w:t>
      </w:r>
    </w:p>
    <w:p>
      <w:pPr>
        <w:spacing w:after="0" w:line="183"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ind w:left="752" w:right="140"/>
        <w:spacing w:after="0" w:line="266" w:lineRule="auto"/>
        <w:rPr>
          <w:sz w:val="20"/>
          <w:szCs w:val="20"/>
          <w:color w:val="auto"/>
        </w:rPr>
      </w:pPr>
      <w:r>
        <w:rPr>
          <w:rFonts w:ascii="Times New Roman" w:cs="Times New Roman" w:eastAsia="Times New Roman" w:hAnsi="Times New Roman"/>
          <w:sz w:val="18"/>
          <w:szCs w:val="18"/>
          <w:color w:val="auto"/>
        </w:rPr>
        <w:t>The Group’s reporting currency is the Renminbi (“RMB”). The functional currency of the subsidiaries incorporated outside the mainland China is the United States dollar (“US dollar” or “US$”). The functional currency of all the other subsidiaries, the VIEs and VIEs’ subsidiaries is the RMB.</w:t>
      </w:r>
    </w:p>
    <w:p>
      <w:pPr>
        <w:spacing w:after="0" w:line="176" w:lineRule="exact"/>
        <w:rPr>
          <w:sz w:val="20"/>
          <w:szCs w:val="20"/>
          <w:color w:val="auto"/>
        </w:rPr>
      </w:pPr>
    </w:p>
    <w:p>
      <w:pPr>
        <w:jc w:val="both"/>
        <w:ind w:left="752"/>
        <w:spacing w:after="0" w:line="261" w:lineRule="auto"/>
        <w:rPr>
          <w:sz w:val="20"/>
          <w:szCs w:val="20"/>
          <w:color w:val="auto"/>
        </w:rPr>
      </w:pPr>
      <w:r>
        <w:rPr>
          <w:rFonts w:ascii="Times New Roman" w:cs="Times New Roman" w:eastAsia="Times New Roman" w:hAnsi="Times New Roman"/>
          <w:sz w:val="18"/>
          <w:szCs w:val="18"/>
          <w:color w:val="auto"/>
        </w:rPr>
        <w:t>Monetary assets and liabilities denominated in currencies other than the applicable functional currencies are translated into the functional currencies at the prevailing rates of exchange at the balance sheet date. Nonmonetary assets and liabilities are remeasured into the applicable functional currencies at historical exchange rates. Revenues and expenses are translated using the average rate of exchange in effect during the reporting period. Translation adjustments are reported and shown as a separate component of other comprehensive income/(loss)</w:t>
      </w:r>
    </w:p>
    <w:p>
      <w:pPr>
        <w:sectPr>
          <w:pgSz w:w="11900" w:h="16838" w:orient="portrait"/>
          <w:cols w:equalWidth="0" w:num="1">
            <w:col w:w="11232"/>
          </w:cols>
          <w:pgMar w:left="328" w:top="769" w:right="339" w:bottom="1440" w:gutter="0" w:footer="0" w:header="0"/>
        </w:sectPr>
      </w:pPr>
    </w:p>
    <w:p>
      <w:pPr>
        <w:spacing w:after="0" w:line="15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476885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769" w:right="339" w:bottom="1440" w:gutter="0" w:footer="0" w:header="0"/>
          <w:type w:val="continuous"/>
        </w:sectPr>
      </w:pPr>
    </w:p>
    <w:bookmarkStart w:id="138" w:name="page139"/>
    <w:bookmarkEnd w:id="138"/>
    <w:p>
      <w:pPr>
        <w:jc w:val="center"/>
        <w:ind w:left="1240" w:right="18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consolidated statements of changes in shareholders’ (deficit)/equity and the consolidated statements of comprehensive income.</w:t>
      </w:r>
    </w:p>
    <w:p>
      <w:pPr>
        <w:spacing w:after="0" w:line="2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469900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80"/>
          </w:cols>
          <w:pgMar w:left="1080" w:top="769" w:right="1239" w:bottom="1440" w:gutter="0" w:footer="0" w:header="0"/>
        </w:sectPr>
      </w:pPr>
    </w:p>
    <w:bookmarkStart w:id="139" w:name="page140"/>
    <w:bookmarkEnd w:id="139"/>
    <w:p>
      <w:pPr>
        <w:jc w:val="center"/>
        <w:ind w:left="440" w:right="26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388" w:lineRule="exact"/>
        <w:rPr>
          <w:sz w:val="20"/>
          <w:szCs w:val="20"/>
          <w:color w:val="auto"/>
        </w:rPr>
      </w:pPr>
    </w:p>
    <w:p>
      <w:pPr>
        <w:ind w:left="752" w:right="6060" w:hanging="752"/>
        <w:spacing w:after="0" w:line="574" w:lineRule="auto"/>
        <w:tabs>
          <w:tab w:leader="none" w:pos="752"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Foreign currency translation and transactions </w:t>
      </w:r>
      <w:r>
        <w:rPr>
          <w:rFonts w:ascii="Times New Roman" w:cs="Times New Roman" w:eastAsia="Times New Roman" w:hAnsi="Times New Roman"/>
          <w:sz w:val="17"/>
          <w:szCs w:val="17"/>
          <w:color w:val="auto"/>
        </w:rPr>
        <w:t>– continued</w:t>
      </w:r>
    </w:p>
    <w:p>
      <w:pPr>
        <w:ind w:left="752" w:right="6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Transactions in currencies other than the functional currencies during the year are converted into the applicable functional currencies at the applicable rates of exchange prevailing at the dates of the transactions. Transaction gains and losses are recorded in the consolidated statements of operations.</w:t>
      </w:r>
    </w:p>
    <w:p>
      <w:pPr>
        <w:spacing w:after="0" w:line="198" w:lineRule="exact"/>
        <w:rPr>
          <w:rFonts w:ascii="Times New Roman" w:cs="Times New Roman" w:eastAsia="Times New Roman" w:hAnsi="Times New Roman"/>
          <w:sz w:val="17"/>
          <w:szCs w:val="17"/>
          <w:b w:val="1"/>
          <w:bCs w:val="1"/>
          <w:color w:val="auto"/>
        </w:rPr>
      </w:pPr>
    </w:p>
    <w:p>
      <w:pPr>
        <w:ind w:left="7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Convenience Translation</w:t>
      </w:r>
    </w:p>
    <w:p>
      <w:pPr>
        <w:spacing w:after="0" w:line="256" w:lineRule="exact"/>
        <w:rPr>
          <w:rFonts w:ascii="Times New Roman" w:cs="Times New Roman" w:eastAsia="Times New Roman" w:hAnsi="Times New Roman"/>
          <w:sz w:val="17"/>
          <w:szCs w:val="17"/>
          <w:b w:val="1"/>
          <w:bCs w:val="1"/>
          <w:color w:val="auto"/>
        </w:rPr>
      </w:pPr>
    </w:p>
    <w:p>
      <w:pPr>
        <w:ind w:left="752"/>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Group’s business is primarily conducted in China and all of the revenues are denominated in RMB. However, periodic reports made to shareholders will include current period amounts translated into US dollars using the exchange rate as of balance sheet date, for the convenience of the readers. Translations of balances in the consolidated balance sheets, and the related consolidated statements of operations, shareholders’ deficit and cash flows from RMB into US dollars as of and for the year ended December 31, 2025 are solely for the convenience of the readers and were calculated at the rate of US$1.00 = RMB6.9931, representing the noon buying rate set forth in the H.10 statistical release of the U.S. Federal Reserve Board on December 31, 2025. No representation is made that the RMB amounts could have been, or could be, converted, realized or settled into US$ at that rate on December 31, 2025, or at any other rate.</w:t>
      </w:r>
    </w:p>
    <w:p>
      <w:pPr>
        <w:spacing w:after="0" w:line="211" w:lineRule="exact"/>
        <w:rPr>
          <w:rFonts w:ascii="Times New Roman" w:cs="Times New Roman" w:eastAsia="Times New Roman" w:hAnsi="Times New Roman"/>
          <w:sz w:val="17"/>
          <w:szCs w:val="17"/>
          <w:b w:val="1"/>
          <w:bCs w:val="1"/>
          <w:color w:val="auto"/>
        </w:rPr>
      </w:pPr>
    </w:p>
    <w:p>
      <w:pPr>
        <w:ind w:left="7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rFonts w:ascii="Times New Roman" w:cs="Times New Roman" w:eastAsia="Times New Roman" w:hAnsi="Times New Roman"/>
          <w:sz w:val="17"/>
          <w:szCs w:val="17"/>
          <w:b w:val="1"/>
          <w:bCs w:val="1"/>
          <w:color w:val="auto"/>
        </w:rPr>
      </w:pPr>
    </w:p>
    <w:p>
      <w:pPr>
        <w:ind w:left="752" w:right="140"/>
        <w:spacing w:after="0" w:line="31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Cash and cash equivalents comprise cash at banks and on hand and term deposits, which have original maturities of three months or less when purchased and are subject to an insignificant risk of changes in value. The carrying value of cash equivalents approximates market value.</w:t>
      </w:r>
    </w:p>
    <w:p>
      <w:pPr>
        <w:spacing w:after="0" w:line="270" w:lineRule="exact"/>
        <w:rPr>
          <w:rFonts w:ascii="Times New Roman" w:cs="Times New Roman" w:eastAsia="Times New Roman" w:hAnsi="Times New Roman"/>
          <w:sz w:val="17"/>
          <w:szCs w:val="17"/>
          <w:b w:val="1"/>
          <w:bCs w:val="1"/>
          <w:color w:val="auto"/>
        </w:rPr>
      </w:pPr>
    </w:p>
    <w:p>
      <w:pPr>
        <w:ind w:left="7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rFonts w:ascii="Times New Roman" w:cs="Times New Roman" w:eastAsia="Times New Roman" w:hAnsi="Times New Roman"/>
          <w:sz w:val="17"/>
          <w:szCs w:val="17"/>
          <w:b w:val="1"/>
          <w:bCs w:val="1"/>
          <w:color w:val="auto"/>
        </w:rPr>
      </w:pPr>
    </w:p>
    <w:p>
      <w:pPr>
        <w:ind w:left="752" w:right="2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Cash that is restricted as to withdrawal or for use or pledged as security is separately reported. The Group’s restricted cash mainly represents security deposits for an investment account.</w:t>
      </w:r>
    </w:p>
    <w:p>
      <w:pPr>
        <w:spacing w:after="0" w:line="184" w:lineRule="exact"/>
        <w:rPr>
          <w:rFonts w:ascii="Times New Roman" w:cs="Times New Roman" w:eastAsia="Times New Roman" w:hAnsi="Times New Roman"/>
          <w:sz w:val="17"/>
          <w:szCs w:val="17"/>
          <w:b w:val="1"/>
          <w:bCs w:val="1"/>
          <w:color w:val="auto"/>
        </w:rPr>
      </w:pPr>
    </w:p>
    <w:p>
      <w:pPr>
        <w:ind w:left="7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7" w:lineRule="exact"/>
        <w:rPr>
          <w:rFonts w:ascii="Times New Roman" w:cs="Times New Roman" w:eastAsia="Times New Roman" w:hAnsi="Times New Roman"/>
          <w:sz w:val="17"/>
          <w:szCs w:val="17"/>
          <w:b w:val="1"/>
          <w:bCs w:val="1"/>
          <w:color w:val="auto"/>
        </w:rPr>
      </w:pPr>
    </w:p>
    <w:p>
      <w:pPr>
        <w:ind w:left="7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Variable rate financial instruments</w:t>
      </w:r>
    </w:p>
    <w:p>
      <w:pPr>
        <w:spacing w:after="0" w:line="227" w:lineRule="exact"/>
        <w:rPr>
          <w:rFonts w:ascii="Times New Roman" w:cs="Times New Roman" w:eastAsia="Times New Roman" w:hAnsi="Times New Roman"/>
          <w:sz w:val="17"/>
          <w:szCs w:val="17"/>
          <w:b w:val="1"/>
          <w:bCs w:val="1"/>
          <w:color w:val="auto"/>
        </w:rPr>
      </w:pPr>
    </w:p>
    <w:p>
      <w:pPr>
        <w:ind w:left="752" w:right="20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holds investment products with variable interest rates, which are unsecured principal and no restriction on withdrawal. The Group elects the fair value option to record them at fair value in accordance with Accounting Standards Codification (“ASC”) 825 Financial Instruments. Changes in the fair value are recorded in the consolidated statements of operations.</w:t>
      </w:r>
    </w:p>
    <w:p>
      <w:pPr>
        <w:spacing w:after="0" w:line="200" w:lineRule="exact"/>
        <w:rPr>
          <w:rFonts w:ascii="Times New Roman" w:cs="Times New Roman" w:eastAsia="Times New Roman" w:hAnsi="Times New Roman"/>
          <w:sz w:val="17"/>
          <w:szCs w:val="17"/>
          <w:b w:val="1"/>
          <w:bCs w:val="1"/>
          <w:color w:val="auto"/>
        </w:rPr>
      </w:pPr>
    </w:p>
    <w:p>
      <w:pPr>
        <w:ind w:left="7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Held-to-maturity investments</w:t>
      </w:r>
    </w:p>
    <w:p>
      <w:pPr>
        <w:spacing w:after="0" w:line="227" w:lineRule="exact"/>
        <w:rPr>
          <w:rFonts w:ascii="Times New Roman" w:cs="Times New Roman" w:eastAsia="Times New Roman" w:hAnsi="Times New Roman"/>
          <w:sz w:val="17"/>
          <w:szCs w:val="17"/>
          <w:b w:val="1"/>
          <w:bCs w:val="1"/>
          <w:color w:val="auto"/>
        </w:rPr>
      </w:pPr>
    </w:p>
    <w:p>
      <w:pPr>
        <w:ind w:left="752" w:right="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holds deposits in banks that earn fixed interest rate return only if the Group holds them to maturity. The original maturities of deposits reported as short-term investments are greater than three months, but less than twelve months. As the Group has the positive intent and ability to hold the deposits to maturity, they are classified as held-to-maturity and recorded at amortized cost.</w:t>
      </w:r>
    </w:p>
    <w:p>
      <w:pPr>
        <w:spacing w:after="0" w:line="365"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769" w:right="439" w:bottom="1440" w:gutter="0" w:footer="0" w:header="0"/>
        </w:sectPr>
      </w:pPr>
    </w:p>
    <w:bookmarkStart w:id="140" w:name="page141"/>
    <w:bookmarkEnd w:id="140"/>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388" w:lineRule="exact"/>
        <w:rPr>
          <w:sz w:val="20"/>
          <w:szCs w:val="20"/>
          <w:color w:val="auto"/>
        </w:rPr>
      </w:pPr>
    </w:p>
    <w:p>
      <w:pPr>
        <w:ind w:left="752" w:hanging="752"/>
        <w:spacing w:after="0"/>
        <w:tabs>
          <w:tab w:leader="none" w:pos="752"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p>
    <w:p>
      <w:pPr>
        <w:spacing w:after="0" w:line="252" w:lineRule="exact"/>
        <w:rPr>
          <w:rFonts w:ascii="Times New Roman" w:cs="Times New Roman" w:eastAsia="Times New Roman" w:hAnsi="Times New Roman"/>
          <w:sz w:val="18"/>
          <w:szCs w:val="18"/>
          <w:b w:val="1"/>
          <w:bCs w:val="1"/>
          <w:color w:val="auto"/>
        </w:rPr>
      </w:pPr>
    </w:p>
    <w:p>
      <w:pPr>
        <w:ind w:left="752" w:right="8280"/>
        <w:spacing w:after="0" w:line="51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Long-term investments </w:t>
      </w:r>
      <w:r>
        <w:rPr>
          <w:rFonts w:ascii="Times New Roman" w:cs="Times New Roman" w:eastAsia="Times New Roman" w:hAnsi="Times New Roman"/>
          <w:sz w:val="18"/>
          <w:szCs w:val="18"/>
          <w:i w:val="1"/>
          <w:iCs w:val="1"/>
          <w:color w:val="auto"/>
        </w:rPr>
        <w:t>Available-for-sale investments</w:t>
      </w:r>
    </w:p>
    <w:p>
      <w:pPr>
        <w:spacing w:after="0" w:line="1" w:lineRule="exact"/>
        <w:rPr>
          <w:rFonts w:ascii="Times New Roman" w:cs="Times New Roman" w:eastAsia="Times New Roman" w:hAnsi="Times New Roman"/>
          <w:sz w:val="18"/>
          <w:szCs w:val="18"/>
          <w:b w:val="1"/>
          <w:bCs w:val="1"/>
          <w:color w:val="auto"/>
        </w:rPr>
      </w:pPr>
    </w:p>
    <w:p>
      <w:pPr>
        <w:jc w:val="both"/>
        <w:ind w:left="752" w:right="3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holds long-term notes issued by financial institutions and classifies them as available-for-sale investments if they do not meet the criteria of either trading or held-to-maturity investments. Available-for-sale investments are reported at fair value, with unrealized gains and losses recorded in accumulated other comprehensive income as a component of shareholders’ equity.</w:t>
      </w:r>
    </w:p>
    <w:p>
      <w:pPr>
        <w:spacing w:after="0" w:line="175" w:lineRule="exact"/>
        <w:rPr>
          <w:rFonts w:ascii="Times New Roman" w:cs="Times New Roman" w:eastAsia="Times New Roman" w:hAnsi="Times New Roman"/>
          <w:sz w:val="18"/>
          <w:szCs w:val="18"/>
          <w:b w:val="1"/>
          <w:bCs w:val="1"/>
          <w:color w:val="auto"/>
        </w:rPr>
      </w:pPr>
    </w:p>
    <w:p>
      <w:pPr>
        <w:ind w:left="752" w:right="30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Realized gains or losses on the sales of these debt securities are reclassified to earnings during the period in which the gain or loss is realized. </w:t>
      </w:r>
      <w:r>
        <w:rPr>
          <w:rFonts w:ascii="Times New Roman" w:cs="Times New Roman" w:eastAsia="Times New Roman" w:hAnsi="Times New Roman"/>
          <w:sz w:val="18"/>
          <w:szCs w:val="18"/>
          <w:i w:val="1"/>
          <w:iCs w:val="1"/>
          <w:color w:val="auto"/>
        </w:rPr>
        <w:t>Equity method investments</w:t>
      </w:r>
    </w:p>
    <w:p>
      <w:pPr>
        <w:spacing w:after="0" w:line="1" w:lineRule="exact"/>
        <w:rPr>
          <w:rFonts w:ascii="Times New Roman" w:cs="Times New Roman" w:eastAsia="Times New Roman" w:hAnsi="Times New Roman"/>
          <w:sz w:val="18"/>
          <w:szCs w:val="18"/>
          <w:b w:val="1"/>
          <w:bCs w:val="1"/>
          <w:color w:val="auto"/>
        </w:rPr>
      </w:pPr>
    </w:p>
    <w:p>
      <w:pPr>
        <w:ind w:left="752"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Investee companies over which the Group has the ability to exercise significant influence, but does not have a controlling interest through investment in common shares or in-substance common shares, are accounted for using the equity method. Significant influence is generally considered to exist when the Group has an ownership interest in the voting stock of the investee between 20% and 50%. Other factors, such as representation on the investee’s board of directors, voting rights and the impact of commercial arrangements, are also considered in determining whether the equity method of accounting is appropriate. For certain investments in limited partnerships, where the Group holds less than a 20% equity or voting interest, the Group may also have significant influence.</w:t>
      </w:r>
    </w:p>
    <w:p>
      <w:pPr>
        <w:spacing w:after="0" w:line="214" w:lineRule="exact"/>
        <w:rPr>
          <w:rFonts w:ascii="Times New Roman" w:cs="Times New Roman" w:eastAsia="Times New Roman" w:hAnsi="Times New Roman"/>
          <w:sz w:val="18"/>
          <w:szCs w:val="18"/>
          <w:b w:val="1"/>
          <w:bCs w:val="1"/>
          <w:color w:val="auto"/>
        </w:rPr>
      </w:pPr>
    </w:p>
    <w:p>
      <w:pPr>
        <w:ind w:left="752"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equity method of accounting, the Group initially records its investment at cost and subsequently recognizes the Group’s proportionate share of each equity investee’s net income or loss after the date of investment into earnings and adjusts the investment carrying amount accordingly.</w:t>
      </w:r>
    </w:p>
    <w:p>
      <w:pPr>
        <w:spacing w:after="0" w:line="202" w:lineRule="exact"/>
        <w:rPr>
          <w:rFonts w:ascii="Times New Roman" w:cs="Times New Roman" w:eastAsia="Times New Roman" w:hAnsi="Times New Roman"/>
          <w:sz w:val="18"/>
          <w:szCs w:val="18"/>
          <w:b w:val="1"/>
          <w:bCs w:val="1"/>
          <w:color w:val="auto"/>
        </w:rPr>
      </w:pPr>
    </w:p>
    <w:p>
      <w:pPr>
        <w:ind w:left="752" w:right="2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reviews its equity method investments for impairment whenever an event or circumstance indicates that any other-than-temporary impairment has occurred. The Group considers available quantitative and qualitative evidence in evaluating potential impairment of its equity method investments. An impairment charge is recorded when the carrying amount of the investment exceeds its fair value and this condition is determined to be other-than-temporary.</w:t>
      </w:r>
    </w:p>
    <w:p>
      <w:pPr>
        <w:spacing w:after="0" w:line="177"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Held-to-maturity investments</w:t>
      </w:r>
    </w:p>
    <w:p>
      <w:pPr>
        <w:spacing w:after="0" w:line="227" w:lineRule="exact"/>
        <w:rPr>
          <w:rFonts w:ascii="Times New Roman" w:cs="Times New Roman" w:eastAsia="Times New Roman" w:hAnsi="Times New Roman"/>
          <w:sz w:val="18"/>
          <w:szCs w:val="18"/>
          <w:b w:val="1"/>
          <w:bCs w:val="1"/>
          <w:color w:val="auto"/>
        </w:rPr>
      </w:pPr>
    </w:p>
    <w:p>
      <w:pPr>
        <w:ind w:left="75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holds deposits in banks that earn fixed interest rate return only if the Group holds them to maturity. The original maturities of these deposits reported as long-term investments are greater than twelve months. As the Group has the positive intent and ability to hold the deposits to maturity, they are classified as held-to-maturity and recorded at amortized cost.</w:t>
      </w:r>
    </w:p>
    <w:p>
      <w:pPr>
        <w:spacing w:after="0" w:line="173"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Equity securities with readily determinable fair values</w:t>
      </w:r>
    </w:p>
    <w:p>
      <w:pPr>
        <w:spacing w:after="0" w:line="227" w:lineRule="exact"/>
        <w:rPr>
          <w:rFonts w:ascii="Times New Roman" w:cs="Times New Roman" w:eastAsia="Times New Roman" w:hAnsi="Times New Roman"/>
          <w:sz w:val="18"/>
          <w:szCs w:val="18"/>
          <w:b w:val="1"/>
          <w:bCs w:val="1"/>
          <w:color w:val="auto"/>
        </w:rPr>
      </w:pPr>
    </w:p>
    <w:p>
      <w:pPr>
        <w:ind w:left="752" w:right="9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Equity securities with readily determinable fair values are measured at fair value, and any changes in fair value are recognized in the consolidated statements of operations.</w:t>
      </w:r>
    </w:p>
    <w:p>
      <w:pPr>
        <w:spacing w:after="0" w:line="159"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Equity securities without readily determinable fair values</w:t>
      </w:r>
    </w:p>
    <w:p>
      <w:pPr>
        <w:spacing w:after="0" w:line="227" w:lineRule="exact"/>
        <w:rPr>
          <w:rFonts w:ascii="Times New Roman" w:cs="Times New Roman" w:eastAsia="Times New Roman" w:hAnsi="Times New Roman"/>
          <w:sz w:val="18"/>
          <w:szCs w:val="18"/>
          <w:b w:val="1"/>
          <w:bCs w:val="1"/>
          <w:color w:val="auto"/>
        </w:rPr>
      </w:pPr>
    </w:p>
    <w:p>
      <w:pPr>
        <w:ind w:left="752"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elects measurement alternative to the fair value measurement for the equity securities without readily determinable fair values, under which these investments are measured at cost, less impairment, plus or minus observable price changes of an identical or similar investment of the same issuer with the fair value change recorded in the consolidated statements of operations.</w:t>
      </w:r>
    </w:p>
    <w:p>
      <w:pPr>
        <w:spacing w:after="0" w:line="175" w:lineRule="exact"/>
        <w:rPr>
          <w:rFonts w:ascii="Times New Roman" w:cs="Times New Roman" w:eastAsia="Times New Roman" w:hAnsi="Times New Roman"/>
          <w:sz w:val="18"/>
          <w:szCs w:val="18"/>
          <w:b w:val="1"/>
          <w:bCs w:val="1"/>
          <w:color w:val="auto"/>
        </w:rPr>
      </w:pPr>
    </w:p>
    <w:p>
      <w:pPr>
        <w:ind w:left="752" w:right="12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Group reviews its equity securities without readily determinable fair value for impairment at each reporting period. If a qualitative assessment indicates that the investment is impaired, the Group estimates the investment’s fair value in accordance with the principles of ASC Topic 820, Fair Value Measurements and Disclosures (“ASC 820”). If the fair value is less than the investment’s carrying value, the Group recognizes an impairment loss equal to the difference between the carrying value and the fair value in the consolidated statements of operations.</w:t>
      </w:r>
    </w:p>
    <w:p>
      <w:pPr>
        <w:sectPr>
          <w:pgSz w:w="11900" w:h="16838" w:orient="portrait"/>
          <w:cols w:equalWidth="0" w:num="1">
            <w:col w:w="11232"/>
          </w:cols>
          <w:pgMar w:left="328"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476885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769" w:right="339" w:bottom="1440" w:gutter="0" w:footer="0" w:header="0"/>
          <w:type w:val="continuous"/>
        </w:sectPr>
      </w:pPr>
    </w:p>
    <w:bookmarkStart w:id="141" w:name="page142"/>
    <w:bookmarkEnd w:id="141"/>
    <w:p>
      <w:pPr>
        <w:jc w:val="center"/>
        <w:ind w:left="360" w:right="272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172" w:lineRule="exact"/>
        <w:rPr>
          <w:sz w:val="20"/>
          <w:szCs w:val="20"/>
          <w:color w:val="auto"/>
        </w:rPr>
      </w:pPr>
    </w:p>
    <w:p>
      <w:pPr>
        <w:ind w:left="752" w:hanging="752"/>
        <w:spacing w:after="0"/>
        <w:tabs>
          <w:tab w:leader="none" w:pos="752"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p>
    <w:p>
      <w:pPr>
        <w:spacing w:after="0" w:line="252"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Fair value</w:t>
      </w:r>
    </w:p>
    <w:p>
      <w:pPr>
        <w:spacing w:after="0" w:line="256" w:lineRule="exact"/>
        <w:rPr>
          <w:rFonts w:ascii="Times New Roman" w:cs="Times New Roman" w:eastAsia="Times New Roman" w:hAnsi="Times New Roman"/>
          <w:sz w:val="18"/>
          <w:szCs w:val="18"/>
          <w:b w:val="1"/>
          <w:bCs w:val="1"/>
          <w:color w:val="auto"/>
        </w:rPr>
      </w:pPr>
    </w:p>
    <w:p>
      <w:pPr>
        <w:ind w:left="752"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 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spacing w:after="0" w:line="212"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Level 1</w:t>
      </w:r>
    </w:p>
    <w:p>
      <w:pPr>
        <w:spacing w:after="0" w:line="254" w:lineRule="exact"/>
        <w:rPr>
          <w:rFonts w:ascii="Times New Roman" w:cs="Times New Roman" w:eastAsia="Times New Roman" w:hAnsi="Times New Roman"/>
          <w:sz w:val="18"/>
          <w:szCs w:val="18"/>
          <w:b w:val="1"/>
          <w:bCs w:val="1"/>
          <w:color w:val="auto"/>
        </w:rPr>
      </w:pPr>
    </w:p>
    <w:p>
      <w:pPr>
        <w:ind w:left="752" w:right="1780"/>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Level 1 applies to assets or liabilities for which there are quoted prices in active markets for identical assets or liabilities. </w:t>
      </w:r>
      <w:r>
        <w:rPr>
          <w:rFonts w:ascii="Times New Roman" w:cs="Times New Roman" w:eastAsia="Times New Roman" w:hAnsi="Times New Roman"/>
          <w:sz w:val="18"/>
          <w:szCs w:val="18"/>
          <w:i w:val="1"/>
          <w:iCs w:val="1"/>
          <w:color w:val="auto"/>
        </w:rPr>
        <w:t>Level 2</w:t>
      </w:r>
    </w:p>
    <w:p>
      <w:pPr>
        <w:ind w:left="75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204"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Level 3</w:t>
      </w:r>
    </w:p>
    <w:p>
      <w:pPr>
        <w:spacing w:after="0" w:line="254" w:lineRule="exact"/>
        <w:rPr>
          <w:rFonts w:ascii="Times New Roman" w:cs="Times New Roman" w:eastAsia="Times New Roman" w:hAnsi="Times New Roman"/>
          <w:sz w:val="18"/>
          <w:szCs w:val="18"/>
          <w:b w:val="1"/>
          <w:bCs w:val="1"/>
          <w:color w:val="auto"/>
        </w:rPr>
      </w:pPr>
    </w:p>
    <w:p>
      <w:pPr>
        <w:ind w:left="752" w:right="9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84"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instruments</w:t>
      </w:r>
    </w:p>
    <w:p>
      <w:pPr>
        <w:spacing w:after="0" w:line="256" w:lineRule="exact"/>
        <w:rPr>
          <w:rFonts w:ascii="Times New Roman" w:cs="Times New Roman" w:eastAsia="Times New Roman" w:hAnsi="Times New Roman"/>
          <w:sz w:val="18"/>
          <w:szCs w:val="18"/>
          <w:b w:val="1"/>
          <w:bCs w:val="1"/>
          <w:color w:val="auto"/>
        </w:rPr>
      </w:pPr>
    </w:p>
    <w:p>
      <w:pPr>
        <w:ind w:left="752"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financial instruments consist primarily of cash and cash equivalents, restricted cash, short-term investments, long-term investments except for equity method investments, other current liabilities, and long-term debt. The carrying amount of long-term debt, short-term and long-term held-to-maturity investments approximate their fair value as their interest rates are at the same level of current market yield for comparable debts and deposits. The Group carries its variable rate financial instruments, available-for-sale investments and equity securities with readily determinable fair values in long-term investments at fair value. The carrying amounts of other financial instruments, except for equity securities without readily determinable fair values approximate their fair values due to short-term maturities.</w:t>
      </w:r>
    </w:p>
    <w:p>
      <w:pPr>
        <w:spacing w:after="0" w:line="210"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97" w:lineRule="exact"/>
        <w:rPr>
          <w:sz w:val="20"/>
          <w:szCs w:val="20"/>
          <w:color w:val="auto"/>
        </w:rPr>
      </w:pPr>
    </w:p>
    <w:p>
      <w:pPr>
        <w:ind w:left="752" w:right="46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and are depreciated using the straight-line method over the estimated useful lives of the assets, as follows:</w:t>
      </w:r>
    </w:p>
    <w:p>
      <w:pPr>
        <w:spacing w:after="0" w:line="189" w:lineRule="exact"/>
        <w:rPr>
          <w:sz w:val="20"/>
          <w:szCs w:val="20"/>
          <w:color w:val="auto"/>
        </w:rPr>
      </w:pPr>
    </w:p>
    <w:tbl>
      <w:tblPr>
        <w:tblLayout w:type="fixed"/>
        <w:tblInd w:w="752" w:type="dxa"/>
        <w:tblCellMar>
          <w:top w:w="0" w:type="dxa"/>
          <w:left w:w="0" w:type="dxa"/>
          <w:bottom w:w="0" w:type="dxa"/>
          <w:right w:w="0" w:type="dxa"/>
        </w:tblCellMar>
      </w:tblPr>
      <w:tr>
        <w:trPr>
          <w:trHeight w:val="234"/>
        </w:trPr>
        <w:tc>
          <w:tcPr>
            <w:tcW w:w="5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181717"/>
              </w:rPr>
              <w:t>Category</w:t>
            </w:r>
          </w:p>
        </w:tc>
        <w:tc>
          <w:tcPr>
            <w:tcW w:w="220" w:type="dxa"/>
            <w:vAlign w:val="bottom"/>
          </w:tcPr>
          <w:p>
            <w:pPr>
              <w:spacing w:after="0"/>
              <w:rPr>
                <w:sz w:val="20"/>
                <w:szCs w:val="20"/>
                <w:color w:val="auto"/>
              </w:rPr>
            </w:pPr>
          </w:p>
        </w:tc>
        <w:tc>
          <w:tcPr>
            <w:tcW w:w="5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181717"/>
              </w:rPr>
              <w:t>Estimated useful life</w:t>
            </w:r>
          </w:p>
        </w:tc>
      </w:tr>
      <w:tr>
        <w:trPr>
          <w:trHeight w:val="191"/>
        </w:trPr>
        <w:tc>
          <w:tcPr>
            <w:tcW w:w="510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181717"/>
              </w:rPr>
              <w:t>Buildings</w:t>
            </w:r>
          </w:p>
        </w:tc>
        <w:tc>
          <w:tcPr>
            <w:tcW w:w="220" w:type="dxa"/>
            <w:vAlign w:val="bottom"/>
          </w:tcPr>
          <w:p>
            <w:pPr>
              <w:spacing w:after="0"/>
              <w:rPr>
                <w:sz w:val="16"/>
                <w:szCs w:val="16"/>
                <w:color w:val="auto"/>
              </w:rPr>
            </w:pPr>
          </w:p>
        </w:tc>
        <w:tc>
          <w:tcPr>
            <w:tcW w:w="510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181717"/>
              </w:rPr>
              <w:t>36-40 years</w:t>
            </w:r>
          </w:p>
        </w:tc>
      </w:tr>
      <w:tr>
        <w:trPr>
          <w:trHeight w:val="216"/>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181717"/>
              </w:rPr>
              <w:t>Leasehold and buildings improvements</w:t>
            </w:r>
          </w:p>
        </w:tc>
        <w:tc>
          <w:tcPr>
            <w:tcW w:w="2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181717"/>
              </w:rPr>
              <w:t>Shorter of lease term or expected useful life</w:t>
            </w:r>
          </w:p>
        </w:tc>
      </w:tr>
      <w:tr>
        <w:trPr>
          <w:trHeight w:val="234"/>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181717"/>
              </w:rPr>
              <w:t>Electronic and office equipment</w:t>
            </w:r>
          </w:p>
        </w:tc>
        <w:tc>
          <w:tcPr>
            <w:tcW w:w="220" w:type="dxa"/>
            <w:vAlign w:val="bottom"/>
          </w:tcPr>
          <w:p>
            <w:pPr>
              <w:spacing w:after="0"/>
              <w:rPr>
                <w:sz w:val="20"/>
                <w:szCs w:val="20"/>
                <w:color w:val="auto"/>
              </w:rPr>
            </w:pPr>
          </w:p>
        </w:tc>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181717"/>
              </w:rPr>
              <w:t>3-5 years</w:t>
            </w:r>
          </w:p>
        </w:tc>
      </w:tr>
    </w:tbl>
    <w:p>
      <w:pPr>
        <w:spacing w:after="0" w:line="225" w:lineRule="exact"/>
        <w:rPr>
          <w:sz w:val="20"/>
          <w:szCs w:val="20"/>
          <w:color w:val="auto"/>
        </w:rPr>
      </w:pPr>
    </w:p>
    <w:p>
      <w:pPr>
        <w:ind w:left="752" w:right="80"/>
        <w:spacing w:after="0" w:line="261" w:lineRule="auto"/>
        <w:rPr>
          <w:sz w:val="20"/>
          <w:szCs w:val="20"/>
          <w:color w:val="auto"/>
        </w:rPr>
      </w:pPr>
      <w:r>
        <w:rPr>
          <w:rFonts w:ascii="Times New Roman" w:cs="Times New Roman" w:eastAsia="Times New Roman" w:hAnsi="Times New Roman"/>
          <w:sz w:val="18"/>
          <w:szCs w:val="18"/>
          <w:color w:val="auto"/>
        </w:rPr>
        <w:t>Repair and maintenance costs are charged to expense as incurred, whereas the cost of renewals and betterment that extends the useful lives of property and equipment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operations.</w:t>
      </w:r>
    </w:p>
    <w:p>
      <w:pPr>
        <w:spacing w:after="0" w:line="203"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56"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Intangible assets are amortized using the straight-line basis over the estimated useful lives as follows:</w:t>
      </w:r>
    </w:p>
    <w:p>
      <w:pPr>
        <w:spacing w:after="0" w:line="252" w:lineRule="exact"/>
        <w:rPr>
          <w:sz w:val="20"/>
          <w:szCs w:val="20"/>
          <w:color w:val="auto"/>
        </w:rPr>
      </w:pPr>
    </w:p>
    <w:tbl>
      <w:tblPr>
        <w:tblLayout w:type="fixed"/>
        <w:tblInd w:w="752" w:type="dxa"/>
        <w:tblCellMar>
          <w:top w:w="0" w:type="dxa"/>
          <w:left w:w="0" w:type="dxa"/>
          <w:bottom w:w="0" w:type="dxa"/>
          <w:right w:w="0" w:type="dxa"/>
        </w:tblCellMar>
      </w:tblPr>
      <w:tr>
        <w:trPr>
          <w:trHeight w:val="234"/>
        </w:trPr>
        <w:tc>
          <w:tcPr>
            <w:tcW w:w="5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181717"/>
              </w:rPr>
              <w:t>Category</w:t>
            </w:r>
          </w:p>
        </w:tc>
        <w:tc>
          <w:tcPr>
            <w:tcW w:w="220" w:type="dxa"/>
            <w:vAlign w:val="bottom"/>
          </w:tcPr>
          <w:p>
            <w:pPr>
              <w:spacing w:after="0"/>
              <w:rPr>
                <w:sz w:val="20"/>
                <w:szCs w:val="20"/>
                <w:color w:val="auto"/>
              </w:rPr>
            </w:pPr>
          </w:p>
        </w:tc>
        <w:tc>
          <w:tcPr>
            <w:tcW w:w="5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181717"/>
              </w:rPr>
              <w:t>Estimated useful life</w:t>
            </w:r>
          </w:p>
        </w:tc>
      </w:tr>
      <w:tr>
        <w:trPr>
          <w:trHeight w:val="191"/>
        </w:trPr>
        <w:tc>
          <w:tcPr>
            <w:tcW w:w="510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181717"/>
              </w:rPr>
              <w:t>Computer software</w:t>
            </w:r>
          </w:p>
        </w:tc>
        <w:tc>
          <w:tcPr>
            <w:tcW w:w="220" w:type="dxa"/>
            <w:vAlign w:val="bottom"/>
          </w:tcPr>
          <w:p>
            <w:pPr>
              <w:spacing w:after="0"/>
              <w:rPr>
                <w:sz w:val="16"/>
                <w:szCs w:val="16"/>
                <w:color w:val="auto"/>
              </w:rPr>
            </w:pPr>
          </w:p>
        </w:tc>
        <w:tc>
          <w:tcPr>
            <w:tcW w:w="510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181717"/>
              </w:rPr>
              <w:t>3 years</w:t>
            </w:r>
          </w:p>
        </w:tc>
      </w:tr>
      <w:tr>
        <w:trPr>
          <w:trHeight w:val="234"/>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181717"/>
              </w:rPr>
              <w:t>License</w:t>
            </w:r>
          </w:p>
        </w:tc>
        <w:tc>
          <w:tcPr>
            <w:tcW w:w="220" w:type="dxa"/>
            <w:vAlign w:val="bottom"/>
          </w:tcPr>
          <w:p>
            <w:pPr>
              <w:spacing w:after="0"/>
              <w:rPr>
                <w:sz w:val="20"/>
                <w:szCs w:val="20"/>
                <w:color w:val="auto"/>
              </w:rPr>
            </w:pPr>
          </w:p>
        </w:tc>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181717"/>
              </w:rPr>
              <w:t>5 years</w:t>
            </w:r>
          </w:p>
        </w:tc>
      </w:tr>
    </w:tbl>
    <w:p>
      <w:pPr>
        <w:spacing w:after="0" w:line="200" w:lineRule="exact"/>
        <w:rPr>
          <w:sz w:val="20"/>
          <w:szCs w:val="20"/>
          <w:color w:val="auto"/>
        </w:rPr>
      </w:pPr>
    </w:p>
    <w:p>
      <w:pPr>
        <w:sectPr>
          <w:pgSz w:w="11900" w:h="16838" w:orient="portrait"/>
          <w:cols w:equalWidth="0" w:num="1">
            <w:col w:w="11212"/>
          </w:cols>
          <w:pgMar w:left="328" w:top="769" w:right="359" w:bottom="1043" w:gutter="0" w:footer="0" w:header="0"/>
        </w:sectPr>
      </w:pPr>
    </w:p>
    <w:p>
      <w:pPr>
        <w:spacing w:after="0" w:line="1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476885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69" w:right="359" w:bottom="1043" w:gutter="0" w:footer="0" w:header="0"/>
          <w:type w:val="continuous"/>
        </w:sectPr>
      </w:pPr>
    </w:p>
    <w:bookmarkStart w:id="142" w:name="page143"/>
    <w:bookmarkEnd w:id="142"/>
    <w:p>
      <w:pPr>
        <w:jc w:val="center"/>
        <w:ind w:left="360" w:right="272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172" w:lineRule="exact"/>
        <w:rPr>
          <w:sz w:val="20"/>
          <w:szCs w:val="20"/>
          <w:color w:val="auto"/>
        </w:rPr>
      </w:pPr>
    </w:p>
    <w:p>
      <w:pPr>
        <w:ind w:left="752" w:hanging="752"/>
        <w:spacing w:after="0"/>
        <w:tabs>
          <w:tab w:leader="none" w:pos="75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p>
    <w:p>
      <w:pPr>
        <w:spacing w:after="0" w:line="252"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rFonts w:ascii="Times New Roman" w:cs="Times New Roman" w:eastAsia="Times New Roman" w:hAnsi="Times New Roman"/>
          <w:sz w:val="18"/>
          <w:szCs w:val="18"/>
          <w:b w:val="1"/>
          <w:bCs w:val="1"/>
          <w:color w:val="auto"/>
        </w:rPr>
      </w:pPr>
    </w:p>
    <w:p>
      <w:pPr>
        <w:ind w:left="752"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based on the fair value of the assets. The Group recognized an impairment loss on its long-lived assets of nil, nil and RMB67,931 for the years ended December 31, 2023, 2024 and 2025, respectively.</w:t>
      </w:r>
    </w:p>
    <w:p>
      <w:pPr>
        <w:spacing w:after="0" w:line="183"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rFonts w:ascii="Times New Roman" w:cs="Times New Roman" w:eastAsia="Times New Roman" w:hAnsi="Times New Roman"/>
          <w:sz w:val="18"/>
          <w:szCs w:val="18"/>
          <w:b w:val="1"/>
          <w:bCs w:val="1"/>
          <w:color w:val="auto"/>
        </w:rPr>
      </w:pPr>
    </w:p>
    <w:p>
      <w:pPr>
        <w:ind w:left="75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follows five steps for its revenue recognition under ASC 606, Revenue from Contracts with Customers: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216" w:lineRule="exact"/>
        <w:rPr>
          <w:rFonts w:ascii="Times New Roman" w:cs="Times New Roman" w:eastAsia="Times New Roman" w:hAnsi="Times New Roman"/>
          <w:sz w:val="18"/>
          <w:szCs w:val="18"/>
          <w:b w:val="1"/>
          <w:bCs w:val="1"/>
          <w:color w:val="auto"/>
        </w:rPr>
      </w:pPr>
    </w:p>
    <w:p>
      <w:pPr>
        <w:ind w:left="752"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revenue is reported net of discount, value added tax and related surcharges. The primary sources of the Group’s revenues are as follows:</w:t>
      </w:r>
    </w:p>
    <w:p>
      <w:pPr>
        <w:spacing w:after="0" w:line="186"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Online education services</w:t>
      </w:r>
    </w:p>
    <w:p>
      <w:pPr>
        <w:spacing w:after="0" w:line="254" w:lineRule="exact"/>
        <w:rPr>
          <w:rFonts w:ascii="Times New Roman" w:cs="Times New Roman" w:eastAsia="Times New Roman" w:hAnsi="Times New Roman"/>
          <w:sz w:val="18"/>
          <w:szCs w:val="18"/>
          <w:b w:val="1"/>
          <w:bCs w:val="1"/>
          <w:color w:val="auto"/>
        </w:rPr>
      </w:pPr>
    </w:p>
    <w:p>
      <w:pPr>
        <w:ind w:left="752"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online education services, the Group provides an integrated online education service package to students, including online live streaming audio-video interactive course content, recorded previous live audio-video course content, quiz banks, online chat rooms, and educational contents. The services and goods provided in the package are highly interdependent and interrelated in the context of the contract and are only considered accessory services to the online live streaming and recorded courses which are not distinct and are not sold standalone. Therefore, the Group's integrated online education services package is accounted for as a single performance obligation. The weighted average service period for interest, professional skills and professional certification preparation courses and degree- or diploma-oriented post-secondary courses was 4 months and 16 months, respectively, for the year ended December 31, 2025.</w:t>
      </w:r>
    </w:p>
    <w:p>
      <w:pPr>
        <w:spacing w:after="0" w:line="215" w:lineRule="exact"/>
        <w:rPr>
          <w:rFonts w:ascii="Times New Roman" w:cs="Times New Roman" w:eastAsia="Times New Roman" w:hAnsi="Times New Roman"/>
          <w:sz w:val="18"/>
          <w:szCs w:val="18"/>
          <w:b w:val="1"/>
          <w:bCs w:val="1"/>
          <w:color w:val="auto"/>
        </w:rPr>
      </w:pPr>
    </w:p>
    <w:p>
      <w:pPr>
        <w:ind w:left="732"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transaction price of the integrated online education service package is determined by the contract amount net of any discount. Students are offered a full, unconditional refund within 24 hours upon enrollment and undelivered courses are eligible for refund during the entire service period, excluding registration fees. Refund liability represents the tuition fee collected by the Group which is expected to refund back to the customers as a result of the Group’s refund policy. Refund liabilities are estimated based on a historical refund ratio on a portfolio basis using the expected value method and current period experience factors, such as the anticipated cash refund that would occur in the normal course of business.</w:t>
      </w:r>
    </w:p>
    <w:p>
      <w:pPr>
        <w:spacing w:after="0" w:line="187" w:lineRule="exact"/>
        <w:rPr>
          <w:rFonts w:ascii="Times New Roman" w:cs="Times New Roman" w:eastAsia="Times New Roman" w:hAnsi="Times New Roman"/>
          <w:sz w:val="18"/>
          <w:szCs w:val="18"/>
          <w:b w:val="1"/>
          <w:bCs w:val="1"/>
          <w:color w:val="auto"/>
        </w:rPr>
      </w:pPr>
    </w:p>
    <w:p>
      <w:pPr>
        <w:ind w:left="752" w:righ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Revenues for online education services are recognized on a straight-line basis over the service period from the registration day to the day on which the service period ends.</w:t>
      </w:r>
    </w:p>
    <w:p>
      <w:pPr>
        <w:spacing w:after="0" w:line="161" w:lineRule="exact"/>
        <w:rPr>
          <w:rFonts w:ascii="Times New Roman" w:cs="Times New Roman" w:eastAsia="Times New Roman" w:hAnsi="Times New Roman"/>
          <w:sz w:val="18"/>
          <w:szCs w:val="18"/>
          <w:b w:val="1"/>
          <w:bCs w:val="1"/>
          <w:color w:val="auto"/>
        </w:rPr>
      </w:pPr>
    </w:p>
    <w:p>
      <w:pPr>
        <w:ind w:left="752" w:right="1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certain online courses, the Group provided students the right to apply for refund or cash incentive if certain pre-agreed conditions are achieved. The Group estimated the variable consideration to be earned to the extent it was probable that a significant reversal of cumulative revenue recognized would not occur when the uncertainty associated with the variable consideration was resolved and recognized revenue over time from the registration day to the day on which the service period ended on a straight-line basis. The Group's estimates of variable consideration and determination of whether to include estimated amounts in the transaction price were based largely on an assessment of the Group's anticipated performance and all information (historical, current and forecasted) that was reasonably available.</w:t>
      </w:r>
    </w:p>
    <w:p>
      <w:pPr>
        <w:spacing w:after="0" w:line="187" w:lineRule="exact"/>
        <w:rPr>
          <w:rFonts w:ascii="Times New Roman" w:cs="Times New Roman" w:eastAsia="Times New Roman" w:hAnsi="Times New Roman"/>
          <w:sz w:val="18"/>
          <w:szCs w:val="18"/>
          <w:b w:val="1"/>
          <w:bCs w:val="1"/>
          <w:color w:val="auto"/>
        </w:rPr>
      </w:pPr>
    </w:p>
    <w:p>
      <w:pPr>
        <w:ind w:left="752"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certain online courses, the service period includes a regular period plus an extended period. The Group offers students an extended service period after the regular period if certain pre-agreed conditions are met. Based on historical passing rates and forecasted passing rates, the Group applies and categorizes the students by portfolio (1) eligible to the extended period and (2) not eligible to the extended period and estimates the portion of each portfolio. The Group recognizes the revenue on each portfolio over time from the registration day to the day on which the service is expected to end on a straight-line basis.</w:t>
      </w:r>
    </w:p>
    <w:p>
      <w:pPr>
        <w:sectPr>
          <w:pgSz w:w="11900" w:h="16838" w:orient="portrait"/>
          <w:cols w:equalWidth="0" w:num="1">
            <w:col w:w="11212"/>
          </w:cols>
          <w:pgMar w:left="328" w:top="7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476885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69" w:right="359" w:bottom="1440" w:gutter="0" w:footer="0" w:header="0"/>
          <w:type w:val="continuous"/>
        </w:sectPr>
      </w:pPr>
    </w:p>
    <w:bookmarkStart w:id="143" w:name="page144"/>
    <w:bookmarkEnd w:id="143"/>
    <w:p>
      <w:pPr>
        <w:jc w:val="center"/>
        <w:ind w:left="400" w:right="268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172" w:lineRule="exact"/>
        <w:rPr>
          <w:sz w:val="20"/>
          <w:szCs w:val="20"/>
          <w:color w:val="auto"/>
        </w:rPr>
      </w:pPr>
    </w:p>
    <w:p>
      <w:pPr>
        <w:ind w:left="752" w:right="6160" w:hanging="752"/>
        <w:spacing w:after="0" w:line="518" w:lineRule="auto"/>
        <w:tabs>
          <w:tab w:leader="none" w:pos="752"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continued</w:t>
      </w:r>
    </w:p>
    <w:p>
      <w:pPr>
        <w:spacing w:after="0" w:line="1" w:lineRule="exact"/>
        <w:rPr>
          <w:rFonts w:ascii="Times New Roman" w:cs="Times New Roman" w:eastAsia="Times New Roman" w:hAnsi="Times New Roman"/>
          <w:sz w:val="18"/>
          <w:szCs w:val="18"/>
          <w:b w:val="1"/>
          <w:bCs w:val="1"/>
          <w:color w:val="auto"/>
        </w:rPr>
      </w:pPr>
    </w:p>
    <w:p>
      <w:pPr>
        <w:ind w:left="752"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certain online courses, the Group offers a bundled service including an integrated online education service package with insurance coverage for tuition refund. If certain refund conditions are met, students could claim the insurance equal to full or partial amount of the service fee. The Group identifies that the integrated online education service package and the insurance service are two separate performance obligations as students benefit from each service on its own and they are separately identifiable in the contract. The Group records revenue generated from online education services with insurance coverage on a gross basis as the Group is acting as the principal to fulfill all obligation and control all the services transferred to the students. The total service fee is allocated to each performance obligation based on selling prices, which are estimated based on the expected cost of satisfying each performance obligation plus an estimated margin. Revenues for integrated online education service and the insurance service are recognized over their respective service periods on a straight-line basis from the registration day to the day on which the service period ends as the students simultaneously receives and consumes the benefits provided by these two performance obligations. The Group's deferred costs represent the unamortized incremental sales commission relating to obtaining of customers contract, and the contract liability primarily consists of deferred revenue.</w:t>
      </w:r>
    </w:p>
    <w:p>
      <w:pPr>
        <w:spacing w:after="0" w:line="189"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Student financing</w:t>
      </w:r>
    </w:p>
    <w:p>
      <w:pPr>
        <w:spacing w:after="0" w:line="254" w:lineRule="exact"/>
        <w:rPr>
          <w:rFonts w:ascii="Times New Roman" w:cs="Times New Roman" w:eastAsia="Times New Roman" w:hAnsi="Times New Roman"/>
          <w:sz w:val="18"/>
          <w:szCs w:val="18"/>
          <w:b w:val="1"/>
          <w:bCs w:val="1"/>
          <w:color w:val="auto"/>
        </w:rPr>
      </w:pPr>
    </w:p>
    <w:p>
      <w:pPr>
        <w:ind w:left="75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offers an installment payment option to students, under which the students obtain loans, from accredited credit sources (“Loan Companies”) for the purpose of satisfying the student’s tuition payment due. The borrowing student is obligated to repay the loan principal in installments over periods ranging from 3 months to 12 months to the Loan Companies, while the Group agrees with the Loan Companies to bear the student’s interest expense and service fees. The Loan Companies remit the tuition to the Group for students to complete the registration. The interest expense and service fees are recorded as a reduction of the transaction price.</w:t>
      </w:r>
    </w:p>
    <w:p>
      <w:pPr>
        <w:spacing w:after="0" w:line="181"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Sales of goods</w:t>
      </w:r>
    </w:p>
    <w:p>
      <w:pPr>
        <w:spacing w:after="0" w:line="254" w:lineRule="exact"/>
        <w:rPr>
          <w:rFonts w:ascii="Times New Roman" w:cs="Times New Roman" w:eastAsia="Times New Roman" w:hAnsi="Times New Roman"/>
          <w:sz w:val="18"/>
          <w:szCs w:val="18"/>
          <w:b w:val="1"/>
          <w:bCs w:val="1"/>
          <w:color w:val="auto"/>
        </w:rPr>
      </w:pPr>
    </w:p>
    <w:p>
      <w:pPr>
        <w:ind w:left="752"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also generates revenues from sales of goods, primarily consisting of printed books and learning materials. Revenues are recognized when the control of the promised goods is transferred to customers, in an amount that reflects the consideration the Group expects to be entitled to in exchange for the goods.</w:t>
      </w:r>
    </w:p>
    <w:p>
      <w:pPr>
        <w:spacing w:after="0" w:line="173"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Other revenues</w:t>
      </w:r>
    </w:p>
    <w:p>
      <w:pPr>
        <w:spacing w:after="0" w:line="227" w:lineRule="exact"/>
        <w:rPr>
          <w:rFonts w:ascii="Times New Roman" w:cs="Times New Roman" w:eastAsia="Times New Roman" w:hAnsi="Times New Roman"/>
          <w:sz w:val="18"/>
          <w:szCs w:val="18"/>
          <w:b w:val="1"/>
          <w:bCs w:val="1"/>
          <w:color w:val="auto"/>
        </w:rPr>
      </w:pPr>
    </w:p>
    <w:p>
      <w:pPr>
        <w:ind w:left="752"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revenues primarily consist of commission revenue. The Group earns commission revenue by providing referral services to third party institutions. Commission revenue is recognized at a point in time when the referred students complete registration at the third party institutions, which is when the performance obligation of the Group is satisfied.</w:t>
      </w:r>
    </w:p>
    <w:p>
      <w:pPr>
        <w:spacing w:after="0" w:line="200"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Deferred revenue</w:t>
      </w:r>
    </w:p>
    <w:p>
      <w:pPr>
        <w:spacing w:after="0" w:line="254" w:lineRule="exact"/>
        <w:rPr>
          <w:rFonts w:ascii="Times New Roman" w:cs="Times New Roman" w:eastAsia="Times New Roman" w:hAnsi="Times New Roman"/>
          <w:sz w:val="18"/>
          <w:szCs w:val="18"/>
          <w:b w:val="1"/>
          <w:bCs w:val="1"/>
          <w:color w:val="auto"/>
        </w:rPr>
      </w:pPr>
    </w:p>
    <w:p>
      <w:pPr>
        <w:ind w:left="752"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Revenues related to the Group’s online courses are recognized over time. Deferred revenue consists of tuition fees received from students for which services have not yet been provided to students.</w:t>
      </w:r>
    </w:p>
    <w:p>
      <w:pPr>
        <w:spacing w:after="0" w:line="292"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Value added taxes (“VAT”)</w:t>
      </w:r>
    </w:p>
    <w:p>
      <w:pPr>
        <w:spacing w:after="0" w:line="134" w:lineRule="exact"/>
        <w:rPr>
          <w:rFonts w:ascii="Times New Roman" w:cs="Times New Roman" w:eastAsia="Times New Roman" w:hAnsi="Times New Roman"/>
          <w:sz w:val="18"/>
          <w:szCs w:val="18"/>
          <w:b w:val="1"/>
          <w:bCs w:val="1"/>
          <w:color w:val="auto"/>
        </w:rPr>
      </w:pPr>
    </w:p>
    <w:p>
      <w:pPr>
        <w:ind w:left="752"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services are subject to VAT at the rate of 6%, and sales of goods are calculated at 13% on revenue and paid after deducting input VAT on purchases for general-VAT-payer entities in accordance with tax rule, except that certain subsidiaries were subject to a simple VAT collection method at a rate of 3%.</w:t>
      </w:r>
    </w:p>
    <w:p>
      <w:pPr>
        <w:spacing w:after="0" w:line="14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769" w:right="399" w:bottom="1440" w:gutter="0" w:footer="0" w:header="0"/>
        </w:sectPr>
      </w:pPr>
    </w:p>
    <w:bookmarkStart w:id="144" w:name="page145"/>
    <w:bookmarkEnd w:id="144"/>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172" w:lineRule="exact"/>
        <w:rPr>
          <w:sz w:val="20"/>
          <w:szCs w:val="20"/>
          <w:color w:val="auto"/>
        </w:rPr>
      </w:pPr>
    </w:p>
    <w:p>
      <w:pPr>
        <w:ind w:left="752" w:hanging="752"/>
        <w:spacing w:after="0"/>
        <w:tabs>
          <w:tab w:leader="none" w:pos="752"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p>
    <w:p>
      <w:pPr>
        <w:spacing w:after="0" w:line="252"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Cost of revenues</w:t>
      </w:r>
    </w:p>
    <w:p>
      <w:pPr>
        <w:spacing w:after="0" w:line="256" w:lineRule="exact"/>
        <w:rPr>
          <w:rFonts w:ascii="Times New Roman" w:cs="Times New Roman" w:eastAsia="Times New Roman" w:hAnsi="Times New Roman"/>
          <w:sz w:val="18"/>
          <w:szCs w:val="18"/>
          <w:b w:val="1"/>
          <w:bCs w:val="1"/>
          <w:color w:val="auto"/>
        </w:rPr>
      </w:pPr>
    </w:p>
    <w:p>
      <w:pPr>
        <w:ind w:left="752"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revenues consist of expenditures incurred in the generation of the Group’s revenue, including but not limited to salaries and benefits paid to teachers and mentors, cost of printed books and learning materials, service fees paid to educational institutions, cooperation costs, related rental expenses, server management costs, bandwidth costs, payment processing costs, depreciations for property and equipment and amortizations for intangible assets.</w:t>
      </w:r>
    </w:p>
    <w:p>
      <w:pPr>
        <w:spacing w:after="0" w:line="175"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256" w:lineRule="exact"/>
        <w:rPr>
          <w:rFonts w:ascii="Times New Roman" w:cs="Times New Roman" w:eastAsia="Times New Roman" w:hAnsi="Times New Roman"/>
          <w:sz w:val="18"/>
          <w:szCs w:val="18"/>
          <w:b w:val="1"/>
          <w:bCs w:val="1"/>
          <w:color w:val="auto"/>
        </w:rPr>
      </w:pPr>
    </w:p>
    <w:p>
      <w:pPr>
        <w:jc w:val="both"/>
        <w:ind w:left="752" w:right="50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Product development expenses primarily consist of (i) salaries and benefits for innovation and development of course content, product and technology development personnel, and (ii) office rental, general expenses and depreciation and amortization expenses associated with the product development activities. The Group’s product development activities primarily consist of the development and enhancement of the Group’s educational content, applications and platforms. The Group has expensed all product development expenses when incurred.</w:t>
      </w:r>
    </w:p>
    <w:p>
      <w:pPr>
        <w:spacing w:after="0" w:line="146"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Sales commission</w:t>
      </w:r>
    </w:p>
    <w:p>
      <w:pPr>
        <w:spacing w:after="0" w:line="256" w:lineRule="exact"/>
        <w:rPr>
          <w:rFonts w:ascii="Times New Roman" w:cs="Times New Roman" w:eastAsia="Times New Roman" w:hAnsi="Times New Roman"/>
          <w:sz w:val="18"/>
          <w:szCs w:val="18"/>
          <w:b w:val="1"/>
          <w:bCs w:val="1"/>
          <w:color w:val="auto"/>
        </w:rPr>
      </w:pPr>
    </w:p>
    <w:p>
      <w:pPr>
        <w:ind w:left="752"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incremental sales commission relating to obtaining the customer contract and expected to be recovered is accounted for as an incremental cost of obtaining a contract and is capitalized as deferred costs when incurred. The capitalized cost is amortized in the same manner as the revenue recognized and is included in “sales and marketing expenses” in the consolidated statements of operations.</w:t>
      </w:r>
    </w:p>
    <w:p>
      <w:pPr>
        <w:spacing w:after="0" w:line="202"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sales commission incurred regardless of whether the contract was obtained is recognized as an expense when incurred.</w:t>
      </w:r>
    </w:p>
    <w:p>
      <w:pPr>
        <w:spacing w:after="0" w:line="248"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Advertising expenditure</w:t>
      </w:r>
    </w:p>
    <w:p>
      <w:pPr>
        <w:spacing w:after="0" w:line="296" w:lineRule="exact"/>
        <w:rPr>
          <w:rFonts w:ascii="Times New Roman" w:cs="Times New Roman" w:eastAsia="Times New Roman" w:hAnsi="Times New Roman"/>
          <w:sz w:val="18"/>
          <w:szCs w:val="18"/>
          <w:b w:val="1"/>
          <w:bCs w:val="1"/>
          <w:color w:val="auto"/>
        </w:rPr>
      </w:pPr>
    </w:p>
    <w:p>
      <w:pPr>
        <w:ind w:left="752"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Advertising expenditure, mainly including search engine marketing and mobile marketing expenses, is expensed when incurred and is included in sales and marketing expenses in the consolidated statements of operations. Advertising expenses were RMB556,088, RMB588,918 and RMB536,446 for the years ended December 31, 2023, 2024 and 2025, respectively.</w:t>
      </w:r>
    </w:p>
    <w:p>
      <w:pPr>
        <w:spacing w:after="0" w:line="279"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337" w:lineRule="exact"/>
        <w:rPr>
          <w:rFonts w:ascii="Times New Roman" w:cs="Times New Roman" w:eastAsia="Times New Roman" w:hAnsi="Times New Roman"/>
          <w:sz w:val="18"/>
          <w:szCs w:val="18"/>
          <w:b w:val="1"/>
          <w:bCs w:val="1"/>
          <w:color w:val="auto"/>
        </w:rPr>
      </w:pPr>
    </w:p>
    <w:p>
      <w:pPr>
        <w:ind w:left="752"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Sales and marketing expenses primarily consist of (i) salaries and benefits for sales and marketing personnel, (ii) search engine marketing and mobile marketing expenses and other advertising expenses, (iii) office rental, general expenses and depreciation and amortization expenses associated with the sales and marketing activities.</w:t>
      </w:r>
    </w:p>
    <w:p>
      <w:pPr>
        <w:spacing w:after="0" w:line="225"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rFonts w:ascii="Times New Roman" w:cs="Times New Roman" w:eastAsia="Times New Roman" w:hAnsi="Times New Roman"/>
          <w:sz w:val="18"/>
          <w:szCs w:val="18"/>
          <w:b w:val="1"/>
          <w:bCs w:val="1"/>
          <w:color w:val="auto"/>
        </w:rPr>
      </w:pPr>
    </w:p>
    <w:p>
      <w:pPr>
        <w:ind w:left="752"/>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leases administrative office spaces and enrollment centers in different cities in the PRC under operating leases. The Group determines whether an arrangement constitutes a lease at inception. The Group has lease agreements with lease and non-lease components, which are generally accounted for separately. The allocation of the consideration between the lease and the non-lease components is based on the relative stand-alone prices of lease components included in the lease contracts. Operating lease right-of-use assets and liabilities are recognized at lease commencement date based on the present value of remaining lease payments over the lease terms. The Group uses the implicit rate when readily determinable, or its incremental borrowing rate based on the information available, at the commencement date in determining the present value of lease payments. Certain leases include renewal options and/or termination options. Renewal options are included in the lease term if the Group is reasonably certain to exercise those options while options to terminate the lease are only included in the lease term if the Group is reasonably certain not to exercise those options. Lease expense is recorded on a straight-line basis over the lease term.</w:t>
      </w:r>
    </w:p>
    <w:p>
      <w:pPr>
        <w:spacing w:after="0" w:line="215" w:lineRule="exact"/>
        <w:rPr>
          <w:sz w:val="20"/>
          <w:szCs w:val="20"/>
          <w:color w:val="auto"/>
        </w:rPr>
      </w:pPr>
    </w:p>
    <w:p>
      <w:pPr>
        <w:ind w:left="752" w:right="380"/>
        <w:spacing w:after="0" w:line="282" w:lineRule="auto"/>
        <w:rPr>
          <w:sz w:val="20"/>
          <w:szCs w:val="20"/>
          <w:color w:val="auto"/>
        </w:rPr>
      </w:pPr>
      <w:r>
        <w:rPr>
          <w:rFonts w:ascii="Times New Roman" w:cs="Times New Roman" w:eastAsia="Times New Roman" w:hAnsi="Times New Roman"/>
          <w:sz w:val="18"/>
          <w:szCs w:val="18"/>
          <w:color w:val="auto"/>
        </w:rPr>
        <w:t>For short-term leases, the Group records operating lease expense in its consolidated statements of operations on a straight-line basis over the lease term.</w:t>
      </w:r>
    </w:p>
    <w:p>
      <w:pPr>
        <w:spacing w:after="0" w:line="1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769" w:right="339" w:bottom="1440" w:gutter="0" w:footer="0" w:header="0"/>
        </w:sectPr>
      </w:pPr>
    </w:p>
    <w:bookmarkStart w:id="145" w:name="page146"/>
    <w:bookmarkEnd w:id="145"/>
    <w:p>
      <w:pPr>
        <w:jc w:val="center"/>
        <w:ind w:left="380" w:right="270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172" w:lineRule="exact"/>
        <w:rPr>
          <w:sz w:val="20"/>
          <w:szCs w:val="20"/>
          <w:color w:val="auto"/>
        </w:rPr>
      </w:pPr>
    </w:p>
    <w:p>
      <w:pPr>
        <w:ind w:left="752" w:hanging="752"/>
        <w:spacing w:after="0"/>
        <w:tabs>
          <w:tab w:leader="none" w:pos="752"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p>
    <w:p>
      <w:pPr>
        <w:spacing w:after="0" w:line="252"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Government subsidies</w:t>
      </w:r>
    </w:p>
    <w:p>
      <w:pPr>
        <w:spacing w:after="0" w:line="256" w:lineRule="exact"/>
        <w:rPr>
          <w:rFonts w:ascii="Times New Roman" w:cs="Times New Roman" w:eastAsia="Times New Roman" w:hAnsi="Times New Roman"/>
          <w:sz w:val="18"/>
          <w:szCs w:val="18"/>
          <w:b w:val="1"/>
          <w:bCs w:val="1"/>
          <w:color w:val="auto"/>
        </w:rPr>
      </w:pPr>
    </w:p>
    <w:p>
      <w:pPr>
        <w:ind w:left="732"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government subsidies not subject to further performance obligations or future returns, the Group records the amounts as other income when received from local government authority. Government subsidies received and recorded as other income amounted to RMB6,045 and RMB2,133 and RMB1,484 for the years ended December 31, 2023, 2024 and 2025, respectively.</w:t>
      </w:r>
    </w:p>
    <w:p>
      <w:pPr>
        <w:spacing w:after="0" w:line="171"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rFonts w:ascii="Times New Roman" w:cs="Times New Roman" w:eastAsia="Times New Roman" w:hAnsi="Times New Roman"/>
          <w:sz w:val="18"/>
          <w:szCs w:val="18"/>
          <w:b w:val="1"/>
          <w:bCs w:val="1"/>
          <w:color w:val="auto"/>
        </w:rPr>
      </w:pPr>
    </w:p>
    <w:p>
      <w:pPr>
        <w:ind w:left="752" w:right="1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income taxes are provided for in accordance with the laws of the relevant tax authorities. Deferred income taxes are recognized when temporary differences exist between the tax bases of assets and liabilities and their reported amounts in the financial statements. Net operating loss carry forwards and credits are applied using enacted statutory tax rates applicable to future years. Deferred tax assets are reduced by a valuation allowance when, in the opinion of management, it is more-likely-than-not that a portion of or all of the deferred tax assets will not be realized. The impact of an uncertain income tax position is recognized at the largest amount that is more-likely-than-not to be sustained upon audit by the relevant tax authority. An uncertain income tax position will not be recognized if it has less than a 50% likelihood of being sustained. Interest and penalties on income taxes will be classified as a component of the provisions for income taxes.</w:t>
      </w:r>
    </w:p>
    <w:p>
      <w:pPr>
        <w:spacing w:after="0" w:line="211"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Comprehensive income</w:t>
      </w:r>
    </w:p>
    <w:p>
      <w:pPr>
        <w:spacing w:after="0" w:line="256" w:lineRule="exact"/>
        <w:rPr>
          <w:sz w:val="20"/>
          <w:szCs w:val="20"/>
          <w:color w:val="auto"/>
        </w:rPr>
      </w:pPr>
    </w:p>
    <w:p>
      <w:pPr>
        <w:jc w:val="both"/>
        <w:ind w:left="752" w:right="20"/>
        <w:spacing w:after="0" w:line="266" w:lineRule="auto"/>
        <w:rPr>
          <w:sz w:val="20"/>
          <w:szCs w:val="20"/>
          <w:color w:val="auto"/>
        </w:rPr>
      </w:pPr>
      <w:r>
        <w:rPr>
          <w:rFonts w:ascii="Times New Roman" w:cs="Times New Roman" w:eastAsia="Times New Roman" w:hAnsi="Times New Roman"/>
          <w:sz w:val="18"/>
          <w:szCs w:val="18"/>
          <w:color w:val="auto"/>
        </w:rPr>
        <w:t>Comprehensive income includes net income, foreign currency translation adjustments and unrealized loss on available-for-sale investments and is reported in the consolidated statements of comprehensive income. The Group presents the components of net income, the components of other comprehensive income/(loss) and total comprehensive income in two separate but consecutive statements.</w:t>
      </w:r>
    </w:p>
    <w:p>
      <w:pPr>
        <w:spacing w:after="0" w:line="172" w:lineRule="exact"/>
        <w:rPr>
          <w:sz w:val="20"/>
          <w:szCs w:val="20"/>
          <w:color w:val="auto"/>
        </w:rPr>
      </w:pPr>
    </w:p>
    <w:p>
      <w:pPr>
        <w:ind w:left="812"/>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229" w:lineRule="exact"/>
        <w:rPr>
          <w:sz w:val="20"/>
          <w:szCs w:val="20"/>
          <w:color w:val="auto"/>
        </w:rPr>
      </w:pPr>
    </w:p>
    <w:p>
      <w:pPr>
        <w:jc w:val="both"/>
        <w:ind w:left="752" w:right="140"/>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attributable to ordinary shareholders of the Company by the weighted average number of common shares outstanding during the year. Diluted net income per share reflects the potential dilution that could occur if securities or other contracts to issue common shares were exercised into common shares. To calculate the number of shares for diluted income per share, the effect of the share options is computed using the treasury stock method.</w:t>
      </w:r>
    </w:p>
    <w:p>
      <w:pPr>
        <w:spacing w:after="0" w:line="207" w:lineRule="exact"/>
        <w:rPr>
          <w:sz w:val="20"/>
          <w:szCs w:val="20"/>
          <w:color w:val="auto"/>
        </w:rPr>
      </w:pPr>
    </w:p>
    <w:p>
      <w:pPr>
        <w:ind w:left="752"/>
        <w:spacing w:after="0" w:line="282" w:lineRule="auto"/>
        <w:rPr>
          <w:sz w:val="20"/>
          <w:szCs w:val="20"/>
          <w:color w:val="auto"/>
        </w:rPr>
      </w:pPr>
      <w:r>
        <w:rPr>
          <w:rFonts w:ascii="Times New Roman" w:cs="Times New Roman" w:eastAsia="Times New Roman" w:hAnsi="Times New Roman"/>
          <w:sz w:val="18"/>
          <w:szCs w:val="18"/>
          <w:color w:val="auto"/>
        </w:rPr>
        <w:t>The effect of potential issuances of shares for the share options was anti-dilutive, and therefore basic and diluted income per share were the same for the years ended December 31, 2023, 2024 and 2025.</w:t>
      </w:r>
    </w:p>
    <w:p>
      <w:pPr>
        <w:spacing w:after="0" w:line="18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6" w:lineRule="exact"/>
        <w:rPr>
          <w:sz w:val="20"/>
          <w:szCs w:val="20"/>
          <w:color w:val="auto"/>
        </w:rPr>
      </w:pPr>
    </w:p>
    <w:p>
      <w:pPr>
        <w:ind w:left="752" w:right="100"/>
        <w:spacing w:after="0" w:line="266" w:lineRule="auto"/>
        <w:rPr>
          <w:sz w:val="20"/>
          <w:szCs w:val="20"/>
          <w:color w:val="auto"/>
        </w:rPr>
      </w:pPr>
      <w:r>
        <w:rPr>
          <w:rFonts w:ascii="Times New Roman" w:cs="Times New Roman" w:eastAsia="Times New Roman" w:hAnsi="Times New Roman"/>
          <w:sz w:val="18"/>
          <w:szCs w:val="18"/>
          <w:color w:val="auto"/>
        </w:rPr>
        <w:t>Share-based compensation with employees is measured based on the grant date fair value of the equity instrument. Share-based compensation expenses, net of forfeitures, are recognized over the requisite service period based on a straight-line basis with a corresponding impact reflected in additional paid-in capital.</w:t>
      </w:r>
    </w:p>
    <w:p>
      <w:pPr>
        <w:spacing w:after="0" w:line="199"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54"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54" w:lineRule="exact"/>
        <w:rPr>
          <w:sz w:val="20"/>
          <w:szCs w:val="20"/>
          <w:color w:val="auto"/>
        </w:rPr>
      </w:pPr>
    </w:p>
    <w:p>
      <w:pPr>
        <w:ind w:left="752" w:right="240"/>
        <w:spacing w:after="0" w:line="277" w:lineRule="auto"/>
        <w:rPr>
          <w:sz w:val="20"/>
          <w:szCs w:val="20"/>
          <w:color w:val="auto"/>
        </w:rPr>
      </w:pPr>
      <w:r>
        <w:rPr>
          <w:rFonts w:ascii="Times New Roman" w:cs="Times New Roman" w:eastAsia="Times New Roman" w:hAnsi="Times New Roman"/>
          <w:sz w:val="17"/>
          <w:szCs w:val="17"/>
          <w:color w:val="auto"/>
        </w:rPr>
        <w:t>RMB is not a freely convertible currency. The State Administration for Foreign Exchange, under the authority of the People’s Bank of China, controls the conversion of RMB into foreign currencies. The value of RMB is subject to changes in central government policies and to international economic and political developments affecting supply and demand in the China Foreign Exchange Trading System market. The cash and cash equivalents of the Group included aggregate amounts of RMB147,737 and RMB211,175, which were denominated in RMB at December 31, 2024 and 2025, representing 29.1% and 36.7% of the cash and cash equivalents at December 31, 2024 and 2025, respectively.</w:t>
      </w:r>
    </w:p>
    <w:p>
      <w:pPr>
        <w:spacing w:after="0" w:line="166"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54" w:lineRule="exact"/>
        <w:rPr>
          <w:sz w:val="20"/>
          <w:szCs w:val="20"/>
          <w:color w:val="auto"/>
        </w:rPr>
      </w:pPr>
    </w:p>
    <w:p>
      <w:pPr>
        <w:ind w:left="752" w:right="6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significant concentration of credit risk primarily consist of cash and cash equivalents, restricted cash, short-term investments and receivables from third party payment agencies. The Group places its cash and cash equivalents, restricted cash and short-term investments in financial institutions with high credit ratings.</w:t>
      </w:r>
    </w:p>
    <w:p>
      <w:pPr>
        <w:spacing w:after="0" w:line="203" w:lineRule="exact"/>
        <w:rPr>
          <w:sz w:val="20"/>
          <w:szCs w:val="20"/>
          <w:color w:val="auto"/>
        </w:rPr>
      </w:pPr>
    </w:p>
    <w:p>
      <w:pPr>
        <w:ind w:left="752" w:right="320"/>
        <w:spacing w:after="0" w:line="282" w:lineRule="auto"/>
        <w:rPr>
          <w:sz w:val="20"/>
          <w:szCs w:val="20"/>
          <w:color w:val="auto"/>
        </w:rPr>
      </w:pPr>
      <w:r>
        <w:rPr>
          <w:rFonts w:ascii="Times New Roman" w:cs="Times New Roman" w:eastAsia="Times New Roman" w:hAnsi="Times New Roman"/>
          <w:sz w:val="18"/>
          <w:szCs w:val="18"/>
          <w:color w:val="auto"/>
        </w:rPr>
        <w:t>There are no revenues from customers which individually represent greater than 10% of the total net revenues for any year of the three years period ended December 31.</w:t>
      </w:r>
    </w:p>
    <w:p>
      <w:pPr>
        <w:sectPr>
          <w:pgSz w:w="11900" w:h="16838" w:orient="portrait"/>
          <w:cols w:equalWidth="0" w:num="1">
            <w:col w:w="11192"/>
          </w:cols>
          <w:pgMar w:left="328" w:top="769" w:right="379" w:bottom="1440" w:gutter="0" w:footer="0" w:header="0"/>
        </w:sectPr>
      </w:pPr>
    </w:p>
    <w:p>
      <w:pPr>
        <w:spacing w:after="0" w:line="13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476885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769" w:right="379" w:bottom="1440" w:gutter="0" w:footer="0" w:header="0"/>
          <w:type w:val="continuous"/>
        </w:sectPr>
      </w:pPr>
    </w:p>
    <w:bookmarkStart w:id="146" w:name="page147"/>
    <w:bookmarkEnd w:id="146"/>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172" w:lineRule="exact"/>
        <w:rPr>
          <w:sz w:val="20"/>
          <w:szCs w:val="20"/>
          <w:color w:val="auto"/>
        </w:rPr>
      </w:pPr>
    </w:p>
    <w:p>
      <w:pPr>
        <w:ind w:left="760" w:hanging="752"/>
        <w:spacing w:after="0"/>
        <w:tabs>
          <w:tab w:leader="none" w:pos="7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 continued</w:t>
      </w:r>
    </w:p>
    <w:p>
      <w:pPr>
        <w:spacing w:after="0" w:line="130"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229" w:lineRule="exact"/>
        <w:rPr>
          <w:sz w:val="20"/>
          <w:szCs w:val="20"/>
          <w:color w:val="auto"/>
        </w:rPr>
      </w:pPr>
    </w:p>
    <w:p>
      <w:pPr>
        <w:ind w:left="760" w:right="260" w:hanging="14"/>
        <w:spacing w:after="0" w:line="254"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Improvements to Income Tax Disclosures (“ASU 2023-09”), which improves income tax disclosures. The amendments require the disclosure of specific categories in the rate reconciliation and additional information for reconciling items that meet a quantitative threshold. The amendments also require disaggregated information about the amount of income taxes paid, Income from continuing operations before income tax expense and Income tax expense from continuing operations. The new guidance is required to be applied either prospectively or retrospectively. This guidance is effective for the Group’s fiscal years beginning after December 15, 2024. Early adoption is permitted. Beginning January 1, 2025, the Group adopted ASU 2023-09 prospectively.The adoption did not have a material impact on the consolidated financial statements, and the required disclosures are included in Note 18.</w:t>
      </w:r>
    </w:p>
    <w:p>
      <w:pPr>
        <w:spacing w:after="0" w:line="1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ind w:left="760" w:right="20"/>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amendments in this ASU are intended to improve financial reporting by requiring that public business entities disclose additional information about specific expense categories in the notes to financial statements at interim and annual reporting periods. For interim and annual reporting periods, an entity shall disaggregate, in a tabular format disclosure in the notes to financial statements, all relevant expense captions presented on the face of the income statement in continuing operations into the purchases of inventory, employee compensation, depreciation, amortization, and depletion. This ASU is effective for annual reporting periods beginning after December 15, 2026, and interim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The Company is in the process of evaluating the impact of the adoption of this pronouncement on its consolidated financial statements.</w:t>
      </w:r>
    </w:p>
    <w:p>
      <w:pPr>
        <w:spacing w:after="0" w:line="194" w:lineRule="exact"/>
        <w:rPr>
          <w:sz w:val="20"/>
          <w:szCs w:val="20"/>
          <w:color w:val="auto"/>
        </w:rPr>
      </w:pPr>
    </w:p>
    <w:p>
      <w:pPr>
        <w:ind w:left="760" w:right="60"/>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(“ASU 2025-05”), which provide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An entity can elect a practical expedient to assume that the current conditions as of the balance sheet date will remain unchanged for the remaining life of the assets when estimating expected credit losses. ASU 2025-05 is effective for fiscal years beginning after December 15, 2025, and interim reporting periods within those fiscal years. Early adoption is permitted. This ASU should be applied prospectively. The Company is currently evaluating the impact of this new standard on its consolidated financial statements.</w:t>
      </w:r>
    </w:p>
    <w:p>
      <w:pPr>
        <w:spacing w:after="0" w:line="192" w:lineRule="exact"/>
        <w:rPr>
          <w:sz w:val="20"/>
          <w:szCs w:val="20"/>
          <w:color w:val="auto"/>
        </w:rPr>
      </w:pPr>
    </w:p>
    <w:p>
      <w:pPr>
        <w:ind w:left="760" w:right="80"/>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(“ASU 2025-10”), to improve generally accepted accounting principles by establishing authoritative guidance on the accounting for government grants received by business entities. The amendments establish the accounting for a government grant received by a business entity, including guidance for (1) a grant related to an asset and (2) a grant related to income. The guidance is effective for fiscal years beginning after December 15, 2028, with early adoption permitted, and it can be applied using one of the following approaches: (1) a modified prospective approach; (2) a modified retrospective approach and (3) a retrospective approach to all government grants. The Company is currently in the process of evaluating the disclosure impact of adopting ASU 2025-10.</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181717"/>
                <w:w w:val="88"/>
              </w:rPr>
              <w:t>3.</w:t>
            </w:r>
          </w:p>
        </w:tc>
        <w:tc>
          <w:tcPr>
            <w:tcW w:w="70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181717"/>
              </w:rPr>
              <w:t>SHORT-TERM INVESTMENTS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40" w:type="dxa"/>
            <w:vAlign w:val="bottom"/>
          </w:tcPr>
          <w:p>
            <w:pPr>
              <w:spacing w:after="0"/>
              <w:rPr>
                <w:sz w:val="24"/>
                <w:szCs w:val="24"/>
                <w:color w:val="auto"/>
              </w:rPr>
            </w:pPr>
          </w:p>
        </w:tc>
        <w:tc>
          <w:tcPr>
            <w:tcW w:w="7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181717"/>
              </w:rPr>
              <w:t>Short-term investments consisted of the following:</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As of December 31,</w:t>
            </w:r>
          </w:p>
        </w:tc>
        <w:tc>
          <w:tcPr>
            <w:tcW w:w="1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40" w:type="dxa"/>
            <w:vAlign w:val="bottom"/>
          </w:tcPr>
          <w:p>
            <w:pPr>
              <w:spacing w:after="0"/>
              <w:rPr>
                <w:sz w:val="18"/>
                <w:szCs w:val="18"/>
                <w:color w:val="auto"/>
              </w:rPr>
            </w:pPr>
          </w:p>
        </w:tc>
        <w:tc>
          <w:tcPr>
            <w:tcW w:w="5320" w:type="dxa"/>
            <w:vAlign w:val="bottom"/>
            <w:gridSpan w:val="2"/>
          </w:tcPr>
          <w:p>
            <w:pPr>
              <w:spacing w:after="0"/>
              <w:rPr>
                <w:sz w:val="18"/>
                <w:szCs w:val="18"/>
                <w:color w:val="auto"/>
              </w:rPr>
            </w:pPr>
          </w:p>
        </w:tc>
        <w:tc>
          <w:tcPr>
            <w:tcW w:w="17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r>
      <w:tr>
        <w:trPr>
          <w:trHeight w:val="209"/>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7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RMB</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Variable rate financial instruments</w:t>
            </w:r>
            <w:r>
              <w:rPr>
                <w:rFonts w:ascii="Times New Roman" w:cs="Times New Roman" w:eastAsia="Times New Roman" w:hAnsi="Times New Roman"/>
                <w:sz w:val="24"/>
                <w:szCs w:val="24"/>
                <w:color w:val="auto"/>
                <w:vertAlign w:val="superscript"/>
              </w:rPr>
              <w:t>(1)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254,459</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141,232</w:t>
            </w:r>
          </w:p>
        </w:tc>
        <w:tc>
          <w:tcPr>
            <w:tcW w:w="100" w:type="dxa"/>
            <w:vAlign w:val="bottom"/>
            <w:shd w:val="clear" w:color="auto" w:fill="CFF0FC"/>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Held-to-maturity investments</w:t>
            </w:r>
            <w:r>
              <w:rPr>
                <w:rFonts w:ascii="Times New Roman" w:cs="Times New Roman" w:eastAsia="Times New Roman" w:hAnsi="Times New Roman"/>
                <w:sz w:val="24"/>
                <w:szCs w:val="24"/>
                <w:color w:val="auto"/>
                <w:vertAlign w:val="superscript"/>
              </w:rPr>
              <w:t>(2)</w:t>
            </w:r>
          </w:p>
        </w:tc>
        <w:tc>
          <w:tcPr>
            <w:tcW w:w="1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21,570</w:t>
            </w:r>
          </w:p>
        </w:tc>
        <w:tc>
          <w:tcPr>
            <w:tcW w:w="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94,705</w:t>
            </w:r>
          </w:p>
        </w:tc>
        <w:tc>
          <w:tcPr>
            <w:tcW w:w="100" w:type="dxa"/>
            <w:vAlign w:val="bottom"/>
          </w:tcPr>
          <w:p>
            <w:pPr>
              <w:spacing w:after="0"/>
              <w:rPr>
                <w:sz w:val="18"/>
                <w:szCs w:val="18"/>
                <w:color w:val="auto"/>
              </w:rPr>
            </w:pPr>
          </w:p>
        </w:tc>
      </w:tr>
      <w:tr>
        <w:trPr>
          <w:trHeight w:val="209"/>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276,029</w:t>
            </w:r>
          </w:p>
        </w:tc>
        <w:tc>
          <w:tcPr>
            <w:tcW w:w="2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235,937</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-8255</wp:posOffset>
            </wp:positionV>
            <wp:extent cx="6032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181717"/>
        </w:rPr>
        <w:t>(1) Variable rate instruments represent financial products with variable interest rates and unsecured principal but no restriction on withdrawal.</w:t>
      </w:r>
    </w:p>
    <w:p>
      <w:pPr>
        <w:sectPr>
          <w:pgSz w:w="11900" w:h="16838" w:orient="portrait"/>
          <w:cols w:equalWidth="0" w:num="1">
            <w:col w:w="11240"/>
          </w:cols>
          <w:pgMar w:left="320" w:top="769"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47" w:name="page148"/>
    <w:bookmarkEnd w:id="147"/>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181717"/>
        </w:rPr>
        <w:t>(2) Held-to-maturity investments represent deposits in banks that earn fixed interest rate return only if the Group holds them to maturity.</w:t>
      </w:r>
    </w:p>
    <w:p>
      <w:pPr>
        <w:spacing w:after="0" w:line="261" w:lineRule="exact"/>
        <w:rPr>
          <w:sz w:val="20"/>
          <w:szCs w:val="20"/>
          <w:color w:val="auto"/>
        </w:rPr>
      </w:pPr>
    </w:p>
    <w:p>
      <w:pPr>
        <w:ind w:left="760" w:right="5540" w:hanging="752"/>
        <w:spacing w:after="0" w:line="549" w:lineRule="auto"/>
        <w:tabs>
          <w:tab w:leader="none" w:pos="760" w:val="left"/>
        </w:tabs>
        <w:numPr>
          <w:ilvl w:val="0"/>
          <w:numId w:val="78"/>
        </w:numPr>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7"/>
          <w:szCs w:val="17"/>
          <w:b w:val="1"/>
          <w:bCs w:val="1"/>
          <w:color w:val="181717"/>
        </w:rPr>
        <w:t xml:space="preserve">PREPAID EXPENSES AND OTHER CURRENT ASSETS </w:t>
      </w:r>
      <w:r>
        <w:rPr>
          <w:rFonts w:ascii="Times New Roman" w:cs="Times New Roman" w:eastAsia="Times New Roman" w:hAnsi="Times New Roman"/>
          <w:sz w:val="17"/>
          <w:szCs w:val="17"/>
          <w:color w:val="181717"/>
        </w:rPr>
        <w:t>Prepaid expenses and other current assets consisted of the following:</w:t>
      </w:r>
    </w:p>
    <w:p>
      <w:pPr>
        <w:spacing w:after="0" w:line="1"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27"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5460" w:type="dxa"/>
            <w:vAlign w:val="bottom"/>
          </w:tcPr>
          <w:p>
            <w:pPr>
              <w:spacing w:after="0"/>
              <w:rPr>
                <w:sz w:val="18"/>
                <w:szCs w:val="18"/>
                <w:color w:val="auto"/>
              </w:rPr>
            </w:pPr>
          </w:p>
        </w:tc>
        <w:tc>
          <w:tcPr>
            <w:tcW w:w="160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r>
      <w:tr>
        <w:trPr>
          <w:trHeight w:val="209"/>
        </w:trPr>
        <w:tc>
          <w:tcPr>
            <w:tcW w:w="5460" w:type="dxa"/>
            <w:vAlign w:val="bottom"/>
          </w:tcPr>
          <w:p>
            <w:pPr>
              <w:spacing w:after="0"/>
              <w:rPr>
                <w:sz w:val="18"/>
                <w:szCs w:val="18"/>
                <w:color w:val="auto"/>
              </w:rPr>
            </w:pPr>
          </w:p>
        </w:tc>
        <w:tc>
          <w:tcPr>
            <w:tcW w:w="160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RMB</w:t>
            </w: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r>
      <w:tr>
        <w:trPr>
          <w:trHeight w:val="216"/>
        </w:trPr>
        <w:tc>
          <w:tcPr>
            <w:tcW w:w="7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19,678</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17,938</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and input VAT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12,693</w:t>
            </w:r>
          </w:p>
        </w:tc>
        <w:tc>
          <w:tcPr>
            <w:tcW w:w="100" w:type="dxa"/>
            <w:vAlign w:val="bottom"/>
          </w:tcPr>
          <w:p>
            <w:pPr>
              <w:spacing w:after="0"/>
              <w:rPr>
                <w:sz w:val="18"/>
                <w:szCs w:val="18"/>
                <w:color w:val="auto"/>
              </w:rPr>
            </w:pPr>
          </w:p>
        </w:tc>
      </w:tr>
      <w:tr>
        <w:trPr>
          <w:trHeight w:val="216"/>
        </w:trPr>
        <w:tc>
          <w:tcPr>
            <w:tcW w:w="706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Deposits</w:t>
            </w:r>
            <w:r>
              <w:rPr>
                <w:rFonts w:ascii="Times New Roman" w:cs="Times New Roman" w:eastAsia="Times New Roman" w:hAnsi="Times New Roman"/>
                <w:sz w:val="24"/>
                <w:szCs w:val="24"/>
                <w:color w:val="auto"/>
                <w:vertAlign w:val="superscript"/>
              </w:rPr>
              <w:t>(1)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10,224</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from third-party payment agencies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100" w:type="dxa"/>
            <w:vAlign w:val="bottom"/>
          </w:tcPr>
          <w:p>
            <w:pPr>
              <w:spacing w:after="0"/>
              <w:rPr>
                <w:sz w:val="18"/>
                <w:szCs w:val="18"/>
                <w:color w:val="auto"/>
              </w:rPr>
            </w:pPr>
          </w:p>
        </w:tc>
      </w:tr>
      <w:tr>
        <w:trPr>
          <w:trHeight w:val="216"/>
        </w:trPr>
        <w:tc>
          <w:tcPr>
            <w:tcW w:w="706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Prepaid expenses</w:t>
            </w:r>
            <w:r>
              <w:rPr>
                <w:rFonts w:ascii="Times New Roman" w:cs="Times New Roman" w:eastAsia="Times New Roman" w:hAnsi="Times New Roman"/>
                <w:sz w:val="24"/>
                <w:szCs w:val="24"/>
                <w:color w:val="auto"/>
                <w:vertAlign w:val="superscript"/>
              </w:rPr>
              <w:t>(2)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marketing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100" w:type="dxa"/>
            <w:vAlign w:val="bottom"/>
          </w:tcPr>
          <w:p>
            <w:pPr>
              <w:spacing w:after="0"/>
              <w:rPr>
                <w:sz w:val="18"/>
                <w:szCs w:val="18"/>
                <w:color w:val="auto"/>
              </w:rPr>
            </w:pPr>
          </w:p>
        </w:tc>
      </w:tr>
      <w:tr>
        <w:trPr>
          <w:trHeight w:val="216"/>
        </w:trPr>
        <w:tc>
          <w:tcPr>
            <w:tcW w:w="7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receivables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00" w:type="dxa"/>
            <w:vAlign w:val="bottom"/>
          </w:tcPr>
          <w:p>
            <w:pPr>
              <w:spacing w:after="0"/>
              <w:rPr>
                <w:sz w:val="18"/>
                <w:szCs w:val="18"/>
                <w:color w:val="auto"/>
              </w:rPr>
            </w:pPr>
          </w:p>
        </w:tc>
      </w:tr>
      <w:tr>
        <w:trPr>
          <w:trHeight w:val="216"/>
        </w:trPr>
        <w:tc>
          <w:tcPr>
            <w:tcW w:w="7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Staff advances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240" w:type="dxa"/>
            <w:vAlign w:val="bottom"/>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18"/>
                <w:szCs w:val="18"/>
                <w:color w:val="auto"/>
              </w:rPr>
            </w:pPr>
          </w:p>
        </w:tc>
      </w:tr>
      <w:tr>
        <w:trPr>
          <w:trHeight w:val="209"/>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96,916</w:t>
            </w:r>
          </w:p>
        </w:tc>
        <w:tc>
          <w:tcPr>
            <w:tcW w:w="240" w:type="dxa"/>
            <w:vAlign w:val="bottom"/>
            <w:tcBorders>
              <w:bottom w:val="single" w:sz="8" w:color="CFF0FC"/>
            </w:tcBorders>
            <w:shd w:val="clear" w:color="auto" w:fill="CFF0FC"/>
          </w:tcPr>
          <w:p>
            <w:pPr>
              <w:spacing w:after="0"/>
              <w:rPr>
                <w:sz w:val="18"/>
                <w:szCs w:val="18"/>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82,566</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-8255</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ind w:left="1500" w:hanging="743"/>
        <w:spacing w:after="0"/>
        <w:tabs>
          <w:tab w:leader="none" w:pos="1500" w:val="left"/>
        </w:tabs>
        <w:numPr>
          <w:ilvl w:val="0"/>
          <w:numId w:val="79"/>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Represented rental deposits and deposits for online marketing activities which all being refundable within one year.</w:t>
      </w:r>
    </w:p>
    <w:p>
      <w:pPr>
        <w:spacing w:after="0" w:line="225" w:lineRule="exact"/>
        <w:rPr>
          <w:rFonts w:ascii="Times New Roman" w:cs="Times New Roman" w:eastAsia="Times New Roman" w:hAnsi="Times New Roman"/>
          <w:sz w:val="18"/>
          <w:szCs w:val="18"/>
          <w:color w:val="181717"/>
        </w:rPr>
      </w:pPr>
    </w:p>
    <w:p>
      <w:pPr>
        <w:ind w:left="1500" w:hanging="743"/>
        <w:spacing w:after="0"/>
        <w:tabs>
          <w:tab w:leader="none" w:pos="1500" w:val="left"/>
        </w:tabs>
        <w:numPr>
          <w:ilvl w:val="0"/>
          <w:numId w:val="79"/>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Represented the prepaid expenses for telecommunications, network, property management fee and software usage fee.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8" w:name="page149"/>
    <w:bookmarkEnd w:id="148"/>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172" w:lineRule="exact"/>
        <w:rPr>
          <w:sz w:val="20"/>
          <w:szCs w:val="20"/>
          <w:color w:val="auto"/>
        </w:rPr>
      </w:pPr>
    </w:p>
    <w:p>
      <w:pPr>
        <w:ind w:left="760" w:hanging="752"/>
        <w:spacing w:after="0"/>
        <w:tabs>
          <w:tab w:leader="none" w:pos="760" w:val="left"/>
        </w:tabs>
        <w:numPr>
          <w:ilvl w:val="0"/>
          <w:numId w:val="80"/>
        </w:numPr>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b w:val="1"/>
          <w:bCs w:val="1"/>
          <w:color w:val="181717"/>
        </w:rPr>
        <w:t>DEFERRED COSTS</w:t>
      </w:r>
    </w:p>
    <w:p>
      <w:pPr>
        <w:spacing w:after="0" w:line="229" w:lineRule="exact"/>
        <w:rPr>
          <w:rFonts w:ascii="Times New Roman" w:cs="Times New Roman" w:eastAsia="Times New Roman" w:hAnsi="Times New Roman"/>
          <w:sz w:val="18"/>
          <w:szCs w:val="18"/>
          <w:b w:val="1"/>
          <w:bCs w:val="1"/>
          <w:color w:val="181717"/>
        </w:rPr>
      </w:pPr>
    </w:p>
    <w:p>
      <w:pPr>
        <w:ind w:left="760" w:right="280"/>
        <w:spacing w:after="0" w:line="266"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181717"/>
        </w:rPr>
        <w:t>Deferred costs primarily consist of the incremental sales commission and service fee relating to obtaining of customers contract which is expected to be recovered and is capitalized pursuant to ASC 340-40 Other Assets and Deferred Cost relating to contracts with customers. The capitalized sales commission is amortized in the same manner the related revenue being recognized.</w:t>
      </w:r>
    </w:p>
    <w:p>
      <w:pPr>
        <w:spacing w:after="0" w:line="202" w:lineRule="exact"/>
        <w:rPr>
          <w:rFonts w:ascii="Times New Roman" w:cs="Times New Roman" w:eastAsia="Times New Roman" w:hAnsi="Times New Roman"/>
          <w:sz w:val="18"/>
          <w:szCs w:val="18"/>
          <w:b w:val="1"/>
          <w:bCs w:val="1"/>
          <w:color w:val="181717"/>
        </w:rPr>
      </w:pPr>
    </w:p>
    <w:p>
      <w:pPr>
        <w:ind w:left="760"/>
        <w:spacing w:after="0"/>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181717"/>
        </w:rPr>
        <w:t>The movements of deferred costs for the years ended December 31, 2024 and 2025 are as follows:</w:t>
      </w:r>
    </w:p>
    <w:p>
      <w:pPr>
        <w:spacing w:after="0" w:line="25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27"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5400" w:type="dxa"/>
            <w:vAlign w:val="bottom"/>
            <w:gridSpan w:val="2"/>
          </w:tcPr>
          <w:p>
            <w:pPr>
              <w:spacing w:after="0"/>
              <w:rPr>
                <w:sz w:val="18"/>
                <w:szCs w:val="18"/>
                <w:color w:val="auto"/>
              </w:rPr>
            </w:pPr>
          </w:p>
        </w:tc>
        <w:tc>
          <w:tcPr>
            <w:tcW w:w="158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36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RMB</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balances (current and non-current)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83,047</w:t>
            </w:r>
          </w:p>
        </w:tc>
        <w:tc>
          <w:tcPr>
            <w:tcW w:w="220" w:type="dxa"/>
            <w:vAlign w:val="bottom"/>
            <w:shd w:val="clear" w:color="auto" w:fill="CFF0FC"/>
          </w:tcPr>
          <w:p>
            <w:pPr>
              <w:spacing w:after="0"/>
              <w:rPr>
                <w:sz w:val="18"/>
                <w:szCs w:val="18"/>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60,796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14,267</w:t>
            </w:r>
          </w:p>
        </w:tc>
        <w:tc>
          <w:tcPr>
            <w:tcW w:w="2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Amortizations</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(32,360)</w:t>
            </w:r>
          </w:p>
        </w:tc>
        <w:tc>
          <w:tcPr>
            <w:tcW w:w="2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(39,207)</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5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(4,158)</w:t>
            </w:r>
          </w:p>
        </w:tc>
        <w:tc>
          <w:tcPr>
            <w:tcW w:w="2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r>
      <w:tr>
        <w:trPr>
          <w:trHeight w:val="209"/>
        </w:trPr>
        <w:tc>
          <w:tcPr>
            <w:tcW w:w="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balances (current and non-current)</w:t>
            </w:r>
          </w:p>
        </w:tc>
        <w:tc>
          <w:tcPr>
            <w:tcW w:w="158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60,796</w:t>
            </w:r>
          </w:p>
        </w:tc>
        <w:tc>
          <w:tcPr>
            <w:tcW w:w="220" w:type="dxa"/>
            <w:vAlign w:val="bottom"/>
            <w:tcBorders>
              <w:bottom w:val="single" w:sz="8" w:color="CFF0FC"/>
            </w:tcBorders>
            <w:shd w:val="clear" w:color="auto" w:fill="CFF0FC"/>
          </w:tcPr>
          <w:p>
            <w:pPr>
              <w:spacing w:after="0"/>
              <w:rPr>
                <w:sz w:val="18"/>
                <w:szCs w:val="18"/>
                <w:color w:val="auto"/>
              </w:rPr>
            </w:pPr>
          </w:p>
        </w:tc>
        <w:tc>
          <w:tcPr>
            <w:tcW w:w="2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Deferred costs</w:t>
            </w:r>
          </w:p>
        </w:tc>
        <w:tc>
          <w:tcPr>
            <w:tcW w:w="15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60,796</w:t>
            </w:r>
          </w:p>
        </w:tc>
        <w:tc>
          <w:tcPr>
            <w:tcW w:w="220" w:type="dxa"/>
            <w:vAlign w:val="bottom"/>
          </w:tcPr>
          <w:p>
            <w:pPr>
              <w:spacing w:after="0"/>
              <w:rPr>
                <w:sz w:val="18"/>
                <w:szCs w:val="18"/>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32,768</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220" w:type="dxa"/>
            <w:vAlign w:val="bottom"/>
            <w:shd w:val="clear" w:color="auto" w:fill="CFF0FC"/>
          </w:tcPr>
          <w:p>
            <w:pPr>
              <w:spacing w:after="0"/>
              <w:rPr>
                <w:sz w:val="18"/>
                <w:szCs w:val="18"/>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22,125</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-Non-current portion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56,657</w:t>
            </w:r>
          </w:p>
        </w:tc>
        <w:tc>
          <w:tcPr>
            <w:tcW w:w="2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-454025</wp:posOffset>
            </wp:positionV>
            <wp:extent cx="6032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76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 w:type="dxa"/>
            <w:vAlign w:val="bottom"/>
          </w:tcPr>
          <w:p>
            <w:pPr>
              <w:spacing w:after="0"/>
              <w:rPr>
                <w:sz w:val="24"/>
                <w:szCs w:val="24"/>
                <w:color w:val="auto"/>
              </w:rPr>
            </w:pPr>
          </w:p>
        </w:tc>
        <w:tc>
          <w:tcPr>
            <w:tcW w:w="76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As of December 31,</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320" w:type="dxa"/>
            <w:vAlign w:val="bottom"/>
            <w:gridSpan w:val="2"/>
          </w:tcPr>
          <w:p>
            <w:pPr>
              <w:spacing w:after="0"/>
              <w:rPr>
                <w:sz w:val="18"/>
                <w:szCs w:val="18"/>
                <w:color w:val="auto"/>
              </w:rPr>
            </w:pPr>
          </w:p>
        </w:tc>
        <w:tc>
          <w:tcPr>
            <w:tcW w:w="13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3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RMB</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865,447</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865,447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and buildings improvement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71,771</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Electronic and office equipment</w:t>
            </w:r>
          </w:p>
        </w:tc>
        <w:tc>
          <w:tcPr>
            <w:tcW w:w="13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37,066</w:t>
            </w:r>
          </w:p>
        </w:tc>
        <w:tc>
          <w:tcPr>
            <w:tcW w:w="2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1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974,284</w:t>
            </w:r>
          </w:p>
        </w:tc>
        <w:tc>
          <w:tcPr>
            <w:tcW w:w="2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(216,069)</w:t>
            </w:r>
          </w:p>
        </w:tc>
        <w:tc>
          <w:tcPr>
            <w:tcW w:w="7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(243,313)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96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596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Less: Accumulated impairment loss</w:t>
            </w:r>
            <w:r>
              <w:rPr>
                <w:rFonts w:ascii="Times New Roman" w:cs="Times New Roman" w:eastAsia="Times New Roman" w:hAnsi="Times New Roman"/>
                <w:sz w:val="24"/>
                <w:szCs w:val="24"/>
                <w:color w:val="auto"/>
                <w:vertAlign w:val="superscript"/>
              </w:rPr>
              <w:t>(1)</w:t>
            </w: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(67,931)</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758,215</w:t>
            </w:r>
          </w:p>
        </w:tc>
        <w:tc>
          <w:tcPr>
            <w:tcW w:w="2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662,178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-590550</wp:posOffset>
            </wp:positionV>
            <wp:extent cx="6032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-299720</wp:posOffset>
            </wp:positionV>
            <wp:extent cx="6032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032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1500" w:right="60" w:hanging="743"/>
        <w:spacing w:after="0" w:line="261" w:lineRule="auto"/>
        <w:tabs>
          <w:tab w:leader="none" w:pos="1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81717"/>
        </w:rPr>
        <w:t>During the year ended December 31, 2025, the Group identified impairment indicator for the building in Guangzhou due to its declining fair value and recognized an impairment loss of RMB67,931. The Group determined the fair value of the building using the significant other observable inputs based on a quoted market price for similar assets or liabilities in active market (Level 2). Please see Note 23.</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expenses were RMB29,125, RMB28,785 and RMB28,319 for the years ended December 31, 2023, 2024 and 2025, respectively.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9" w:name="page150"/>
    <w:bookmarkEnd w:id="149"/>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84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8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balance of intangible assets consisted of the following:</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color w:val="auto"/>
              </w:rPr>
              <w:t>As of 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40" w:type="dxa"/>
            <w:vAlign w:val="bottom"/>
          </w:tcPr>
          <w:p>
            <w:pPr>
              <w:spacing w:after="0"/>
              <w:rPr>
                <w:sz w:val="18"/>
                <w:szCs w:val="18"/>
                <w:color w:val="auto"/>
              </w:rPr>
            </w:pPr>
          </w:p>
        </w:tc>
        <w:tc>
          <w:tcPr>
            <w:tcW w:w="7500" w:type="dxa"/>
            <w:vAlign w:val="bottom"/>
            <w:gridSpan w:val="2"/>
          </w:tcPr>
          <w:p>
            <w:pPr>
              <w:spacing w:after="0"/>
              <w:rPr>
                <w:sz w:val="18"/>
                <w:szCs w:val="18"/>
                <w:color w:val="auto"/>
              </w:rPr>
            </w:pPr>
          </w:p>
        </w:tc>
        <w:tc>
          <w:tcPr>
            <w:tcW w:w="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2024</w:t>
            </w:r>
          </w:p>
        </w:tc>
        <w:tc>
          <w:tcPr>
            <w:tcW w:w="1700" w:type="dxa"/>
            <w:vAlign w:val="bottom"/>
            <w:gridSpan w:val="4"/>
          </w:tcPr>
          <w:p>
            <w:pPr>
              <w:ind w:left="128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9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RMB</w:t>
            </w: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RMB</w:t>
            </w: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8,393</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8,393</w:t>
            </w: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98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(8,450)</w:t>
            </w:r>
          </w:p>
        </w:tc>
        <w:tc>
          <w:tcPr>
            <w:tcW w:w="9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(8,923)</w:t>
            </w:r>
          </w:p>
        </w:tc>
      </w:tr>
      <w:tr>
        <w:trPr>
          <w:trHeight w:val="209"/>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9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 w:type="dxa"/>
            <w:vAlign w:val="bottom"/>
            <w:tcBorders>
              <w:top w:val="single" w:sz="8" w:color="CFF0FC"/>
              <w:bottom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-153670</wp:posOffset>
            </wp:positionV>
            <wp:extent cx="6032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Amortization expenses were RMB</w:t>
      </w:r>
      <w:r>
        <w:rPr>
          <w:rFonts w:ascii="Times New Roman" w:cs="Times New Roman" w:eastAsia="Times New Roman" w:hAnsi="Times New Roman"/>
          <w:sz w:val="18"/>
          <w:szCs w:val="18"/>
          <w:color w:val="181717"/>
        </w:rPr>
        <w:t>1,523</w:t>
      </w:r>
      <w:r>
        <w:rPr>
          <w:rFonts w:ascii="Times New Roman" w:cs="Times New Roman" w:eastAsia="Times New Roman" w:hAnsi="Times New Roman"/>
          <w:sz w:val="18"/>
          <w:szCs w:val="18"/>
          <w:color w:val="auto"/>
        </w:rPr>
        <w:t>, RMB682 and RMB473 for the years ended December 31, 2023, 2024 and 2025, respectively.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intangible assets amortization expenses for each of the following years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50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Amortization</w:t>
            </w:r>
          </w:p>
        </w:tc>
      </w:tr>
      <w:tr>
        <w:trPr>
          <w:trHeight w:val="209"/>
        </w:trPr>
        <w:tc>
          <w:tcPr>
            <w:tcW w:w="8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400" w:type="dxa"/>
            <w:vAlign w:val="bottom"/>
            <w:tcBorders>
              <w:top w:val="single" w:sz="8" w:color="auto"/>
            </w:tcBorders>
          </w:tcPr>
          <w:p>
            <w:pPr>
              <w:jc w:val="right"/>
              <w:ind w:right="191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00" w:type="dxa"/>
            <w:vAlign w:val="bottom"/>
          </w:tcPr>
          <w:p>
            <w:pPr>
              <w:spacing w:after="0"/>
              <w:rPr>
                <w:sz w:val="18"/>
                <w:szCs w:val="18"/>
                <w:color w:val="auto"/>
              </w:rPr>
            </w:pPr>
          </w:p>
        </w:tc>
        <w:tc>
          <w:tcPr>
            <w:tcW w:w="4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2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400" w:type="dxa"/>
            <w:vAlign w:val="bottom"/>
            <w:tcBorders>
              <w:bottom w:val="single" w:sz="8" w:color="CFF0FC"/>
            </w:tcBorders>
            <w:shd w:val="clear" w:color="auto" w:fill="CFF0FC"/>
          </w:tcPr>
          <w:p>
            <w:pPr>
              <w:spacing w:after="0"/>
              <w:rPr>
                <w:sz w:val="18"/>
                <w:szCs w:val="18"/>
                <w:color w:val="auto"/>
              </w:rPr>
            </w:pPr>
          </w:p>
        </w:tc>
        <w:tc>
          <w:tcPr>
            <w:tcW w:w="4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788"/>
        </w:trPr>
        <w:tc>
          <w:tcPr>
            <w:tcW w:w="8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900" w:type="dxa"/>
            <w:vAlign w:val="bottom"/>
            <w:gridSpan w:val="3"/>
          </w:tcPr>
          <w:p>
            <w:pPr>
              <w:ind w:left="2160"/>
              <w:spacing w:after="0"/>
              <w:rPr>
                <w:sz w:val="20"/>
                <w:szCs w:val="20"/>
                <w:color w:val="auto"/>
              </w:rPr>
            </w:pPr>
            <w:r>
              <w:rPr>
                <w:rFonts w:ascii="Times New Roman" w:cs="Times New Roman" w:eastAsia="Times New Roman" w:hAnsi="Times New Roman"/>
                <w:sz w:val="13"/>
                <w:szCs w:val="13"/>
                <w:color w:val="auto"/>
              </w:rPr>
              <w:t>F-25</w:t>
            </w:r>
          </w:p>
        </w:tc>
      </w:tr>
      <w:tr>
        <w:trPr>
          <w:trHeight w:val="752"/>
        </w:trPr>
        <w:tc>
          <w:tcPr>
            <w:tcW w:w="8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-1002665</wp:posOffset>
            </wp:positionV>
            <wp:extent cx="596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0" w:name="page151"/>
    <w:bookmarkEnd w:id="150"/>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820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w w:val="99"/>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40" w:type="dxa"/>
            <w:vAlign w:val="bottom"/>
          </w:tcPr>
          <w:p>
            <w:pPr>
              <w:spacing w:after="0"/>
              <w:rPr>
                <w:sz w:val="18"/>
                <w:szCs w:val="18"/>
                <w:color w:val="auto"/>
              </w:rPr>
            </w:pPr>
          </w:p>
        </w:tc>
        <w:tc>
          <w:tcPr>
            <w:tcW w:w="7020" w:type="dxa"/>
            <w:vAlign w:val="bottom"/>
            <w:gridSpan w:val="2"/>
          </w:tcPr>
          <w:p>
            <w:pPr>
              <w:spacing w:after="0"/>
              <w:rPr>
                <w:sz w:val="18"/>
                <w:szCs w:val="18"/>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9"/>
              </w:rPr>
              <w:t>2024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4"/>
              </w:rPr>
              <w:t>RMB</w:t>
            </w: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94"/>
              </w:rPr>
              <w:t>RMB</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40" w:type="dxa"/>
            <w:vAlign w:val="bottom"/>
            <w:gridSpan w:val="3"/>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Available-for-sale investments</w:t>
            </w:r>
            <w:r>
              <w:rPr>
                <w:rFonts w:ascii="Times New Roman" w:cs="Times New Roman" w:eastAsia="Times New Roman" w:hAnsi="Times New Roman"/>
                <w:sz w:val="24"/>
                <w:szCs w:val="24"/>
                <w:color w:val="auto"/>
                <w:vertAlign w:val="superscript"/>
              </w:rPr>
              <w:t>(1)</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189,422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193,148</w:t>
            </w:r>
          </w:p>
        </w:tc>
        <w:tc>
          <w:tcPr>
            <w:tcW w:w="100" w:type="dxa"/>
            <w:vAlign w:val="bottom"/>
            <w:shd w:val="clear" w:color="auto" w:fill="CFF0FC"/>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4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Equity method investments</w:t>
            </w:r>
            <w:r>
              <w:rPr>
                <w:rFonts w:ascii="Times New Roman" w:cs="Times New Roman" w:eastAsia="Times New Roman" w:hAnsi="Times New Roman"/>
                <w:sz w:val="24"/>
                <w:szCs w:val="24"/>
                <w:color w:val="auto"/>
                <w:vertAlign w:val="superscript"/>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22,933</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40" w:type="dxa"/>
            <w:vAlign w:val="bottom"/>
            <w:gridSpan w:val="3"/>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Held-to-maturity investments</w:t>
            </w:r>
            <w:r>
              <w:rPr>
                <w:rFonts w:ascii="Times New Roman" w:cs="Times New Roman" w:eastAsia="Times New Roman" w:hAnsi="Times New Roman"/>
                <w:sz w:val="24"/>
                <w:szCs w:val="24"/>
                <w:color w:val="auto"/>
                <w:vertAlign w:val="superscript"/>
              </w:rPr>
              <w:t>(3)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71,069</w:t>
            </w:r>
          </w:p>
        </w:tc>
        <w:tc>
          <w:tcPr>
            <w:tcW w:w="100" w:type="dxa"/>
            <w:vAlign w:val="bottom"/>
            <w:shd w:val="clear" w:color="auto" w:fill="CFF0FC"/>
          </w:tcPr>
          <w:p>
            <w:pPr>
              <w:spacing w:after="0"/>
              <w:rPr>
                <w:sz w:val="18"/>
                <w:szCs w:val="18"/>
                <w:color w:val="auto"/>
              </w:rPr>
            </w:pPr>
          </w:p>
        </w:tc>
      </w:tr>
      <w:tr>
        <w:trPr>
          <w:trHeight w:val="230"/>
        </w:trPr>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40" w:type="dxa"/>
            <w:vAlign w:val="bottom"/>
            <w:gridSpan w:val="3"/>
          </w:tcPr>
          <w:p>
            <w:pPr>
              <w:spacing w:after="0" w:line="229" w:lineRule="exact"/>
              <w:rPr>
                <w:sz w:val="20"/>
                <w:szCs w:val="20"/>
                <w:color w:val="auto"/>
              </w:rPr>
            </w:pPr>
            <w:r>
              <w:rPr>
                <w:rFonts w:ascii="Times New Roman" w:cs="Times New Roman" w:eastAsia="Times New Roman" w:hAnsi="Times New Roman"/>
                <w:sz w:val="18"/>
                <w:szCs w:val="18"/>
                <w:color w:val="auto"/>
              </w:rPr>
              <w:t>Equity securities with readily determinable fair values</w:t>
            </w:r>
            <w:r>
              <w:rPr>
                <w:rFonts w:ascii="Times New Roman" w:cs="Times New Roman" w:eastAsia="Times New Roman" w:hAnsi="Times New Roman"/>
                <w:sz w:val="24"/>
                <w:szCs w:val="24"/>
                <w:color w:val="auto"/>
                <w:vertAlign w:val="superscript"/>
              </w:rPr>
              <w:t>(4)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21,641</w:t>
            </w:r>
          </w:p>
        </w:tc>
        <w:tc>
          <w:tcPr>
            <w:tcW w:w="10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Equity securities without readily determinable fair values</w:t>
            </w:r>
            <w:r>
              <w:rPr>
                <w:rFonts w:ascii="Times New Roman" w:cs="Times New Roman" w:eastAsia="Times New Roman" w:hAnsi="Times New Roman"/>
                <w:sz w:val="24"/>
                <w:szCs w:val="24"/>
                <w:color w:val="auto"/>
                <w:vertAlign w:val="superscript"/>
              </w:rPr>
              <w:t>(5)</w:t>
            </w:r>
          </w:p>
        </w:tc>
        <w:tc>
          <w:tcPr>
            <w:tcW w:w="10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260,083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318,791</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-153670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-153670</wp:posOffset>
            </wp:positionV>
            <wp:extent cx="596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760" w:right="20" w:hanging="3"/>
        <w:spacing w:after="0" w:line="261" w:lineRule="auto"/>
        <w:tabs>
          <w:tab w:leader="none" w:pos="10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the Group purchased certain long-term notes issued by financial institutions at a cost of RMB213,505 and classified them as available-for-sale debt securities as they did not meet the criteria of either trading or held-to-maturity investments. The Group accounted for these long-term notes at fair value and recognized unrealized loss of RMB24,083 and unrealized gain of RMB11,685 through other comprehensive (loss)/income for the years ended December 31, 2024 and 2025.</w:t>
      </w:r>
    </w:p>
    <w:p>
      <w:pPr>
        <w:spacing w:after="0" w:line="179" w:lineRule="exact"/>
        <w:rPr>
          <w:rFonts w:ascii="Times New Roman" w:cs="Times New Roman" w:eastAsia="Times New Roman" w:hAnsi="Times New Roman"/>
          <w:sz w:val="18"/>
          <w:szCs w:val="18"/>
          <w:color w:val="auto"/>
        </w:rPr>
      </w:pPr>
    </w:p>
    <w:p>
      <w:pPr>
        <w:ind w:left="760" w:right="80" w:hanging="3"/>
        <w:spacing w:after="0" w:line="256" w:lineRule="auto"/>
        <w:tabs>
          <w:tab w:leader="none" w:pos="10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made investments in several limited partnerships and private companies, and accounted for these investments under the equity method because the Group has the ability to exercise significant influence but does not have control over the investees. The Group reviewed the investments for impairment whenever an event or circumstance indicates that an other-than-temporary impairment has occurred. The Group recorded its shares of loss of RMB10,084, RMB13,512 and RMB4,530 in these investments for the years ended December 31, 2023, 2024 and 2025, respectively. The Group recorded RMB61, nil, and nil in impairment loss for its equity method investments for the years ended December 31, 2023, 2024, and 2025, respectively.</w:t>
      </w:r>
    </w:p>
    <w:p>
      <w:pPr>
        <w:spacing w:after="0" w:line="187" w:lineRule="exact"/>
        <w:rPr>
          <w:rFonts w:ascii="Times New Roman" w:cs="Times New Roman" w:eastAsia="Times New Roman" w:hAnsi="Times New Roman"/>
          <w:sz w:val="18"/>
          <w:szCs w:val="18"/>
          <w:color w:val="auto"/>
        </w:rPr>
      </w:pPr>
    </w:p>
    <w:p>
      <w:pPr>
        <w:ind w:left="760" w:right="300" w:hanging="3"/>
        <w:spacing w:after="0" w:line="282" w:lineRule="auto"/>
        <w:tabs>
          <w:tab w:leader="none" w:pos="10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the deposits that earn fixed interest rate return only if the Group holds the securities to maturity and the original maturities of these deposits are greater than twelve months.</w:t>
      </w:r>
    </w:p>
    <w:p>
      <w:pPr>
        <w:spacing w:after="0" w:line="161" w:lineRule="exact"/>
        <w:rPr>
          <w:rFonts w:ascii="Times New Roman" w:cs="Times New Roman" w:eastAsia="Times New Roman" w:hAnsi="Times New Roman"/>
          <w:sz w:val="18"/>
          <w:szCs w:val="18"/>
          <w:color w:val="auto"/>
        </w:rPr>
      </w:pPr>
    </w:p>
    <w:p>
      <w:pPr>
        <w:ind w:left="760" w:right="20" w:hanging="3"/>
        <w:spacing w:after="0" w:line="261" w:lineRule="auto"/>
        <w:tabs>
          <w:tab w:leader="none" w:pos="10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from 2022, the Group made investments in several listed companies and accounted for these investments under equity securities with readily determinable fair values. The Group recognized income of RMB1,948, RMB1,608 and RMB2,027 due to the fair value changes for the years ended December 31, 2023, 2024 and 2025, respectively, and such fair value changes were recorded in other income, net in the consolidated statements of operations.</w:t>
      </w:r>
    </w:p>
    <w:p>
      <w:pPr>
        <w:spacing w:after="0" w:line="179" w:lineRule="exact"/>
        <w:rPr>
          <w:rFonts w:ascii="Times New Roman" w:cs="Times New Roman" w:eastAsia="Times New Roman" w:hAnsi="Times New Roman"/>
          <w:sz w:val="18"/>
          <w:szCs w:val="18"/>
          <w:color w:val="auto"/>
        </w:rPr>
      </w:pPr>
    </w:p>
    <w:p>
      <w:pPr>
        <w:ind w:left="760" w:right="60" w:hanging="3"/>
        <w:spacing w:after="0" w:line="266" w:lineRule="auto"/>
        <w:tabs>
          <w:tab w:leader="none" w:pos="10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the Group entered into an equity interest investment agreement with a third-party private company.Given the Group does not have the ability to exercise significant influence, and the investment has no readily determinable fair value, the Group accounted for this equity investment using the measurement alternative.</w:t>
      </w:r>
    </w:p>
    <w:p>
      <w:pPr>
        <w:spacing w:after="0" w:line="3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Group has no investment commitment as of December 31, 2025.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1" w:name="page152"/>
    <w:bookmarkEnd w:id="151"/>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59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40" w:type="dxa"/>
            <w:vAlign w:val="bottom"/>
          </w:tcPr>
          <w:p>
            <w:pPr>
              <w:spacing w:after="0"/>
              <w:rPr>
                <w:sz w:val="24"/>
                <w:szCs w:val="24"/>
                <w:color w:val="auto"/>
              </w:rPr>
            </w:pPr>
          </w:p>
        </w:tc>
        <w:tc>
          <w:tcPr>
            <w:tcW w:w="59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Other non-current assets consisted of the following:</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As of December 31,</w:t>
            </w:r>
          </w:p>
        </w:tc>
        <w:tc>
          <w:tcPr>
            <w:tcW w:w="2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40" w:type="dxa"/>
            <w:vAlign w:val="bottom"/>
          </w:tcPr>
          <w:p>
            <w:pPr>
              <w:spacing w:after="0"/>
              <w:rPr>
                <w:sz w:val="18"/>
                <w:szCs w:val="18"/>
                <w:color w:val="auto"/>
              </w:rPr>
            </w:pPr>
          </w:p>
        </w:tc>
        <w:tc>
          <w:tcPr>
            <w:tcW w:w="3640" w:type="dxa"/>
            <w:vAlign w:val="bottom"/>
            <w:gridSpan w:val="2"/>
          </w:tcPr>
          <w:p>
            <w:pPr>
              <w:spacing w:after="0"/>
              <w:rPr>
                <w:sz w:val="18"/>
                <w:szCs w:val="18"/>
                <w:color w:val="auto"/>
              </w:rPr>
            </w:pPr>
          </w:p>
        </w:tc>
        <w:tc>
          <w:tcPr>
            <w:tcW w:w="23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3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RMB</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34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Employee loans</w:t>
            </w:r>
            <w:r>
              <w:rPr>
                <w:rFonts w:ascii="Times New Roman" w:cs="Times New Roman" w:eastAsia="Times New Roman" w:hAnsi="Times New Roman"/>
                <w:sz w:val="24"/>
                <w:szCs w:val="24"/>
                <w:color w:val="auto"/>
                <w:vertAlign w:val="superscript"/>
              </w:rPr>
              <w:t>(1)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100" w:type="dxa"/>
            <w:vAlign w:val="bottom"/>
            <w:shd w:val="clear" w:color="auto" w:fill="CFF0FC"/>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Rental deposits</w:t>
            </w:r>
            <w:r>
              <w:rPr>
                <w:rFonts w:ascii="Times New Roman" w:cs="Times New Roman" w:eastAsia="Times New Roman" w:hAnsi="Times New Roman"/>
                <w:sz w:val="24"/>
                <w:szCs w:val="24"/>
                <w:color w:val="auto"/>
                <w:vertAlign w:val="superscript"/>
              </w:rPr>
              <w:t>(2)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2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4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26,319</w:t>
            </w:r>
          </w:p>
        </w:tc>
        <w:tc>
          <w:tcPr>
            <w:tcW w:w="4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19,750</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-153670</wp:posOffset>
            </wp:positionV>
            <wp:extent cx="6858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-153670</wp:posOffset>
            </wp:positionV>
            <wp:extent cx="596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left="1500" w:right="300" w:hanging="743"/>
        <w:spacing w:after="0" w:line="266" w:lineRule="auto"/>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 the Group approved an employee benefit program under which eligible employees can apply for loans from the Group at prevailing interest rates. Upon maturity, the loans can be repaid by cash or the Company's ordinary shares held by those employees based on prevailing market price at the settlement date.</w:t>
      </w:r>
    </w:p>
    <w:p>
      <w:pPr>
        <w:spacing w:after="0" w:line="175" w:lineRule="exact"/>
        <w:rPr>
          <w:rFonts w:ascii="Times New Roman" w:cs="Times New Roman" w:eastAsia="Times New Roman" w:hAnsi="Times New Roman"/>
          <w:sz w:val="18"/>
          <w:szCs w:val="18"/>
          <w:color w:val="auto"/>
        </w:rPr>
      </w:pPr>
    </w:p>
    <w:p>
      <w:pPr>
        <w:ind w:left="1500" w:right="180" w:hanging="743"/>
        <w:spacing w:after="0" w:line="282" w:lineRule="auto"/>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represented office and enrollment centers’ rental deposits under the lease contracts, which are not refundable within one year.</w:t>
      </w:r>
    </w:p>
    <w:p>
      <w:pPr>
        <w:spacing w:after="0" w:line="157" w:lineRule="exact"/>
        <w:rPr>
          <w:rFonts w:ascii="Times New Roman" w:cs="Times New Roman" w:eastAsia="Times New Roman" w:hAnsi="Times New Roman"/>
          <w:sz w:val="18"/>
          <w:szCs w:val="18"/>
          <w:color w:val="auto"/>
        </w:rPr>
      </w:pPr>
    </w:p>
    <w:p>
      <w:pPr>
        <w:ind w:left="760" w:right="5260" w:hanging="752"/>
        <w:spacing w:after="0" w:line="518" w:lineRule="auto"/>
        <w:tabs>
          <w:tab w:leader="none" w:pos="7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ACCRUED EXPENSES AND OTHER CURRENT LIABILITIES </w:t>
      </w:r>
      <w:r>
        <w:rPr>
          <w:rFonts w:ascii="Times New Roman" w:cs="Times New Roman" w:eastAsia="Times New Roman" w:hAnsi="Times New Roman"/>
          <w:sz w:val="18"/>
          <w:szCs w:val="18"/>
          <w:color w:val="auto"/>
        </w:rPr>
        <w:t>The components of accrued expenses and other liabilities are as follows:</w:t>
      </w:r>
    </w:p>
    <w:p>
      <w:pPr>
        <w:spacing w:after="0" w:line="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27"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5980" w:type="dxa"/>
            <w:vAlign w:val="bottom"/>
            <w:gridSpan w:val="2"/>
          </w:tcPr>
          <w:p>
            <w:pPr>
              <w:spacing w:after="0"/>
              <w:rPr>
                <w:sz w:val="18"/>
                <w:szCs w:val="18"/>
                <w:color w:val="auto"/>
              </w:rPr>
            </w:pPr>
          </w:p>
        </w:tc>
        <w:tc>
          <w:tcPr>
            <w:tcW w:w="136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36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RMB</w:t>
            </w: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Salary and welfare payables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137,842</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Refund liability</w:t>
            </w:r>
            <w:r>
              <w:rPr>
                <w:rFonts w:ascii="Times New Roman" w:cs="Times New Roman" w:eastAsia="Times New Roman" w:hAnsi="Times New Roman"/>
                <w:sz w:val="24"/>
                <w:szCs w:val="24"/>
                <w:color w:val="auto"/>
                <w:vertAlign w:val="superscript"/>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112,342</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tax liabilities</w:t>
            </w:r>
            <w:r>
              <w:rPr>
                <w:rFonts w:ascii="Times New Roman" w:cs="Times New Roman" w:eastAsia="Times New Roman" w:hAnsi="Times New Roman"/>
                <w:sz w:val="24"/>
                <w:szCs w:val="24"/>
                <w:color w:val="auto"/>
                <w:vertAlign w:val="superscript"/>
              </w:rPr>
              <w:t>(2)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36,739</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Advanced deposits</w:t>
            </w:r>
            <w:r>
              <w:rPr>
                <w:rFonts w:ascii="Times New Roman" w:cs="Times New Roman" w:eastAsia="Times New Roman" w:hAnsi="Times New Roman"/>
                <w:sz w:val="24"/>
                <w:szCs w:val="24"/>
                <w:color w:val="auto"/>
                <w:vertAlign w:val="superscript"/>
              </w:rPr>
              <w:t>(3)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28,822</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marketing expenses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40,934</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Accrued service fees</w:t>
            </w:r>
            <w:r>
              <w:rPr>
                <w:rFonts w:ascii="Times New Roman" w:cs="Times New Roman" w:eastAsia="Times New Roman" w:hAnsi="Times New Roman"/>
                <w:sz w:val="24"/>
                <w:szCs w:val="24"/>
                <w:color w:val="auto"/>
                <w:vertAlign w:val="superscript"/>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11,188</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Payables to educational institutions</w:t>
            </w:r>
            <w:r>
              <w:rPr>
                <w:rFonts w:ascii="Times New Roman" w:cs="Times New Roman" w:eastAsia="Times New Roman" w:hAnsi="Times New Roman"/>
                <w:sz w:val="24"/>
                <w:szCs w:val="24"/>
                <w:color w:val="auto"/>
                <w:vertAlign w:val="superscript"/>
              </w:rPr>
              <w:t>(5)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Payables for leasehold improvement and intangible assets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25,519</w:t>
            </w:r>
          </w:p>
        </w:tc>
        <w:tc>
          <w:tcPr>
            <w:tcW w:w="200" w:type="dxa"/>
            <w:vAlign w:val="bottom"/>
            <w:tcBorders>
              <w:bottom w:val="single" w:sz="8" w:color="CFF0FC"/>
            </w:tcBorders>
            <w:shd w:val="clear" w:color="auto" w:fill="CFF0FC"/>
          </w:tcPr>
          <w:p>
            <w:pPr>
              <w:spacing w:after="0"/>
              <w:rPr>
                <w:sz w:val="18"/>
                <w:szCs w:val="18"/>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404,865</w:t>
            </w:r>
          </w:p>
        </w:tc>
        <w:tc>
          <w:tcPr>
            <w:tcW w:w="200" w:type="dxa"/>
            <w:vAlign w:val="bottom"/>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366,011</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-153670</wp:posOffset>
            </wp:positionV>
            <wp:extent cx="596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1500" w:right="60" w:hanging="743"/>
        <w:spacing w:after="0" w:line="282" w:lineRule="auto"/>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 liability represented the tutoring fee collected by the Group which the Group estimates it will refund back to its customers as a result of its refund policy.</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represented accrued income tax payable and other tax liabilities in accordance with local tax laws.</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deposits primarily included down payments paid by prospective customers before contracts signing.</w:t>
      </w:r>
    </w:p>
    <w:p>
      <w:pPr>
        <w:spacing w:after="0" w:line="22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5"/>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The balance represented accrued expenses for outsourced service providers and other professional services.</w:t>
      </w:r>
    </w:p>
    <w:p>
      <w:pPr>
        <w:spacing w:after="0" w:line="225" w:lineRule="exact"/>
        <w:rPr>
          <w:rFonts w:ascii="Times New Roman" w:cs="Times New Roman" w:eastAsia="Times New Roman" w:hAnsi="Times New Roman"/>
          <w:sz w:val="18"/>
          <w:szCs w:val="18"/>
          <w:color w:val="181717"/>
        </w:rPr>
      </w:pPr>
    </w:p>
    <w:p>
      <w:pPr>
        <w:ind w:left="1500" w:hanging="743"/>
        <w:spacing w:after="0"/>
        <w:tabs>
          <w:tab w:leader="none" w:pos="1500" w:val="left"/>
        </w:tabs>
        <w:numPr>
          <w:ilvl w:val="0"/>
          <w:numId w:val="85"/>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The balance represented tuition fees collected from the students for their registrations with educational institutions.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2" w:name="page153"/>
    <w:bookmarkEnd w:id="152"/>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388" w:lineRule="exact"/>
        <w:rPr>
          <w:sz w:val="20"/>
          <w:szCs w:val="20"/>
          <w:color w:val="auto"/>
        </w:rPr>
      </w:pPr>
    </w:p>
    <w:p>
      <w:pPr>
        <w:ind w:left="760" w:hanging="752"/>
        <w:spacing w:after="0"/>
        <w:tabs>
          <w:tab w:leader="none" w:pos="7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AND DEFERRED REVENUE</w:t>
      </w:r>
    </w:p>
    <w:p>
      <w:pPr>
        <w:spacing w:after="0" w:line="256" w:lineRule="exact"/>
        <w:rPr>
          <w:rFonts w:ascii="Times New Roman" w:cs="Times New Roman" w:eastAsia="Times New Roman" w:hAnsi="Times New Roman"/>
          <w:sz w:val="18"/>
          <w:szCs w:val="18"/>
          <w:b w:val="1"/>
          <w:bCs w:val="1"/>
          <w:color w:val="auto"/>
        </w:rPr>
      </w:pPr>
    </w:p>
    <w:p>
      <w:pPr>
        <w:ind w:left="7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years ended December 31, 2023, 2024 and 2025, all of the Group’s revenues were generated in the PRC, and the disaggregated revenues by types were as follows:</w:t>
      </w:r>
    </w:p>
    <w:p>
      <w:pPr>
        <w:spacing w:after="0" w:line="189"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7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RMB</w:t>
            </w:r>
          </w:p>
        </w:tc>
        <w:tc>
          <w:tcPr>
            <w:tcW w:w="140" w:type="dxa"/>
            <w:vAlign w:val="bottom"/>
          </w:tcPr>
          <w:p>
            <w:pPr>
              <w:spacing w:after="0"/>
              <w:rPr>
                <w:sz w:val="18"/>
                <w:szCs w:val="18"/>
                <w:color w:val="auto"/>
              </w:rPr>
            </w:pPr>
          </w:p>
        </w:tc>
        <w:tc>
          <w:tcPr>
            <w:tcW w:w="19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RMB</w:t>
            </w:r>
          </w:p>
        </w:tc>
        <w:tc>
          <w:tcPr>
            <w:tcW w:w="17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760" w:type="dxa"/>
            <w:vAlign w:val="bottom"/>
            <w:gridSpan w:val="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Disaggregation of revenues</w:t>
            </w:r>
          </w:p>
        </w:tc>
        <w:tc>
          <w:tcPr>
            <w:tcW w:w="1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 by types:</w:t>
            </w:r>
          </w:p>
        </w:tc>
        <w:tc>
          <w:tcPr>
            <w:tcW w:w="2800" w:type="dxa"/>
            <w:vAlign w:val="bottom"/>
            <w:tcBorders>
              <w:top w:val="single" w:sz="8" w:color="CFF0FC"/>
            </w:tcBorders>
          </w:tcPr>
          <w:p>
            <w:pPr>
              <w:spacing w:after="0"/>
              <w:rPr>
                <w:sz w:val="18"/>
                <w:szCs w:val="18"/>
                <w:color w:val="auto"/>
              </w:rPr>
            </w:pPr>
          </w:p>
        </w:tc>
        <w:tc>
          <w:tcPr>
            <w:tcW w:w="17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7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7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revenues:</w:t>
            </w:r>
          </w:p>
        </w:tc>
        <w:tc>
          <w:tcPr>
            <w:tcW w:w="1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47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Interest, professional skills and</w:t>
            </w: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professional certification preparation courses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1,452,563</w:t>
            </w:r>
          </w:p>
        </w:tc>
        <w:tc>
          <w:tcPr>
            <w:tcW w:w="8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1,501,175</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1,503,292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Degree- or diploma-oriented post-secondary courses</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535,061</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205,991</w:t>
            </w:r>
          </w:p>
        </w:tc>
        <w:tc>
          <w:tcPr>
            <w:tcW w:w="2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 Online educational courses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1,987,624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1,707,166</w:t>
            </w:r>
          </w:p>
        </w:tc>
        <w:tc>
          <w:tcPr>
            <w:tcW w:w="22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1,776,116</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Sales of products</w:t>
            </w:r>
            <w:r>
              <w:rPr>
                <w:rFonts w:ascii="Times New Roman" w:cs="Times New Roman" w:eastAsia="Times New Roman" w:hAnsi="Times New Roman"/>
                <w:sz w:val="24"/>
                <w:szCs w:val="24"/>
                <w:color w:val="auto"/>
                <w:vertAlign w:val="superscript"/>
              </w:rPr>
              <w:t>(1)</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144,503</w:t>
            </w:r>
          </w:p>
        </w:tc>
        <w:tc>
          <w:tcPr>
            <w:tcW w:w="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245,423</w:t>
            </w: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213,872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41,756</w:t>
            </w:r>
          </w:p>
        </w:tc>
        <w:tc>
          <w:tcPr>
            <w:tcW w:w="22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34,778</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2,163,638</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1,994,345</w:t>
            </w:r>
          </w:p>
        </w:tc>
        <w:tc>
          <w:tcPr>
            <w:tcW w:w="2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2,024,766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VAT related surcharges</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(4,054)</w:t>
            </w:r>
          </w:p>
        </w:tc>
        <w:tc>
          <w:tcPr>
            <w:tcW w:w="2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(4,141)</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(4,885)</w:t>
            </w:r>
          </w:p>
        </w:tc>
      </w:tr>
      <w:tr>
        <w:trPr>
          <w:trHeight w:val="209"/>
        </w:trPr>
        <w:tc>
          <w:tcPr>
            <w:tcW w:w="20" w:type="dxa"/>
            <w:vAlign w:val="bottom"/>
          </w:tcPr>
          <w:p>
            <w:pPr>
              <w:spacing w:after="0"/>
              <w:rPr>
                <w:sz w:val="18"/>
                <w:szCs w:val="18"/>
                <w:color w:val="auto"/>
              </w:rPr>
            </w:pPr>
          </w:p>
        </w:tc>
        <w:tc>
          <w:tcPr>
            <w:tcW w:w="47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2,159,584</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1,990,204</w:t>
            </w:r>
          </w:p>
        </w:tc>
        <w:tc>
          <w:tcPr>
            <w:tcW w:w="2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2,019,881</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-873760</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-873760</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-873760</wp:posOffset>
            </wp:positionV>
            <wp:extent cx="596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-299720</wp:posOffset>
            </wp:positionV>
            <wp:extent cx="6858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-299720</wp:posOffset>
            </wp:positionV>
            <wp:extent cx="6858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-299720</wp:posOffset>
            </wp:positionV>
            <wp:extent cx="596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left="1500" w:right="60" w:hanging="743"/>
        <w:spacing w:after="0" w:line="282" w:lineRule="auto"/>
        <w:tabs>
          <w:tab w:leader="none" w:pos="15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sales of products for the years ended December 31, 2023 were previously included in other revenues for the respective years.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The movements of the deferred revenue for the years ended December 31, 2024 and 2025 were as follows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p>
      <w:pPr>
        <w:spacing w:after="0" w:line="190"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330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color w:val="auto"/>
              </w:rPr>
              <w:t>As of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5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RMB</w:t>
            </w:r>
          </w:p>
        </w:tc>
        <w:tc>
          <w:tcPr>
            <w:tcW w:w="200" w:type="dxa"/>
            <w:vAlign w:val="bottom"/>
          </w:tcPr>
          <w:p>
            <w:pPr>
              <w:spacing w:after="0"/>
              <w:rPr>
                <w:sz w:val="18"/>
                <w:szCs w:val="18"/>
                <w:color w:val="auto"/>
              </w:rPr>
            </w:pPr>
          </w:p>
        </w:tc>
        <w:tc>
          <w:tcPr>
            <w:tcW w:w="15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(current and non-current)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1,113,923</w:t>
            </w:r>
          </w:p>
        </w:tc>
        <w:tc>
          <w:tcPr>
            <w:tcW w:w="200" w:type="dxa"/>
            <w:vAlign w:val="bottom"/>
            <w:tcBorders>
              <w:left w:val="single" w:sz="8" w:color="CFF0FC"/>
            </w:tcBorders>
            <w:shd w:val="clear" w:color="auto" w:fill="CFF0FC"/>
          </w:tcPr>
          <w:p>
            <w:pPr>
              <w:spacing w:after="0"/>
              <w:rPr>
                <w:sz w:val="18"/>
                <w:szCs w:val="18"/>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916,510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1,583,346</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1,515,337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Deductions</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(1,780,759)</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(1,846,553)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(current and non-current)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916,510</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585,294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382,047</w:t>
            </w:r>
          </w:p>
        </w:tc>
        <w:tc>
          <w:tcPr>
            <w:tcW w:w="200" w:type="dxa"/>
            <w:vAlign w:val="bottom"/>
            <w:tcBorders>
              <w:left w:val="single" w:sz="8" w:color="CFF0FC"/>
            </w:tcBorders>
            <w:shd w:val="clear" w:color="auto" w:fill="CFF0FC"/>
          </w:tcPr>
          <w:p>
            <w:pPr>
              <w:spacing w:after="0"/>
              <w:rPr>
                <w:sz w:val="18"/>
                <w:szCs w:val="18"/>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384,334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534,463</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-453390</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-453390</wp:posOffset>
            </wp:positionV>
            <wp:extent cx="596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left="1500" w:hanging="743"/>
        <w:spacing w:after="0"/>
        <w:tabs>
          <w:tab w:leader="none" w:pos="1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are inclusive of VAT (see VAT in Note 2).</w:t>
      </w:r>
    </w:p>
    <w:p>
      <w:pPr>
        <w:spacing w:after="0" w:line="252" w:lineRule="exact"/>
        <w:rPr>
          <w:sz w:val="20"/>
          <w:szCs w:val="20"/>
          <w:color w:val="auto"/>
        </w:rPr>
      </w:pPr>
    </w:p>
    <w:p>
      <w:pPr>
        <w:ind w:left="760" w:right="60"/>
        <w:spacing w:after="0" w:line="261" w:lineRule="auto"/>
        <w:rPr>
          <w:sz w:val="20"/>
          <w:szCs w:val="20"/>
          <w:color w:val="auto"/>
        </w:rPr>
      </w:pPr>
      <w:r>
        <w:rPr>
          <w:rFonts w:ascii="Times New Roman" w:cs="Times New Roman" w:eastAsia="Times New Roman" w:hAnsi="Times New Roman"/>
          <w:sz w:val="18"/>
          <w:szCs w:val="18"/>
          <w:color w:val="181717"/>
        </w:rPr>
        <w:t>Deferred revenue primarily consists of educational service fees received from customers for which the Group’s revenue recognition criteria have not been met. Deferred revenue balance will be recognized as revenue once the criteria for revenue recognition are met. The current portion of deferred revenue as of January 1, 2024 and January 1, 2025 were substantially all recognized as revenue during the years ended December 31, 2024 and 2025, respectively.</w:t>
      </w:r>
    </w:p>
    <w:p>
      <w:pPr>
        <w:spacing w:after="0" w:line="234" w:lineRule="exact"/>
        <w:rPr>
          <w:sz w:val="20"/>
          <w:szCs w:val="20"/>
          <w:color w:val="auto"/>
        </w:rPr>
      </w:pPr>
    </w:p>
    <w:p>
      <w:pPr>
        <w:ind w:left="760" w:right="220"/>
        <w:spacing w:after="0" w:line="261" w:lineRule="auto"/>
        <w:rPr>
          <w:sz w:val="20"/>
          <w:szCs w:val="20"/>
          <w:color w:val="auto"/>
        </w:rPr>
      </w:pPr>
      <w:r>
        <w:rPr>
          <w:rFonts w:ascii="Times New Roman" w:cs="Times New Roman" w:eastAsia="Times New Roman" w:hAnsi="Times New Roman"/>
          <w:sz w:val="18"/>
          <w:szCs w:val="18"/>
          <w:color w:val="181717"/>
        </w:rPr>
        <w:t>The Group’s remaining performance obligations, representing the amount of the transaction price for which service has not been provided, are included in the deferred revenue account on the consolidated financial statements and the related disclosures. As of December 31, 2025, the deferred revenue balance was RMB585,294, of which RMB384,334 and RMB89,421 will be recognized as revenue over the next 12 and 24 months, respectively, with the remainder of RMB111,539 recognized thereafter.</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3" w:name="page154"/>
    <w:bookmarkEnd w:id="153"/>
    <w:p>
      <w:pPr>
        <w:jc w:val="center"/>
        <w:ind w:left="360" w:right="272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388" w:lineRule="exact"/>
        <w:rPr>
          <w:sz w:val="20"/>
          <w:szCs w:val="20"/>
          <w:color w:val="auto"/>
        </w:rPr>
      </w:pPr>
    </w:p>
    <w:p>
      <w:pPr>
        <w:ind w:left="752" w:hanging="752"/>
        <w:spacing w:after="0"/>
        <w:tabs>
          <w:tab w:leader="none" w:pos="752" w:val="left"/>
        </w:tabs>
        <w:numPr>
          <w:ilvl w:val="0"/>
          <w:numId w:val="89"/>
        </w:numPr>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b w:val="1"/>
          <w:bCs w:val="1"/>
          <w:color w:val="181717"/>
        </w:rPr>
        <w:t>LONG-TERM DEBT</w:t>
      </w:r>
    </w:p>
    <w:p>
      <w:pPr>
        <w:spacing w:after="0" w:line="229" w:lineRule="exact"/>
        <w:rPr>
          <w:rFonts w:ascii="Times New Roman" w:cs="Times New Roman" w:eastAsia="Times New Roman" w:hAnsi="Times New Roman"/>
          <w:sz w:val="18"/>
          <w:szCs w:val="18"/>
          <w:b w:val="1"/>
          <w:bCs w:val="1"/>
          <w:color w:val="181717"/>
        </w:rPr>
      </w:pPr>
    </w:p>
    <w:p>
      <w:pPr>
        <w:jc w:val="both"/>
        <w:ind w:left="752" w:right="140"/>
        <w:spacing w:after="0" w:line="257"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181717"/>
        </w:rPr>
        <w:t>O</w:t>
      </w:r>
      <w:r>
        <w:rPr>
          <w:rFonts w:ascii="Times New Roman" w:cs="Times New Roman" w:eastAsia="Times New Roman" w:hAnsi="Times New Roman"/>
          <w:sz w:val="18"/>
          <w:szCs w:val="18"/>
          <w:color w:val="000000"/>
        </w:rPr>
        <w:t>n August 29 and November 21, 2018, the Group entered into</w:t>
      </w:r>
      <w:r>
        <w:rPr>
          <w:rFonts w:ascii="Times New Roman" w:cs="Times New Roman" w:eastAsia="Times New Roman" w:hAnsi="Times New Roman"/>
          <w:sz w:val="18"/>
          <w:szCs w:val="18"/>
          <w:color w:val="181717"/>
        </w:rPr>
        <w:t xml:space="preserve"> two </w:t>
      </w:r>
      <w:r>
        <w:rPr>
          <w:rFonts w:ascii="Times New Roman" w:cs="Times New Roman" w:eastAsia="Times New Roman" w:hAnsi="Times New Roman"/>
          <w:sz w:val="18"/>
          <w:szCs w:val="18"/>
          <w:color w:val="000000"/>
        </w:rPr>
        <w:t>loan agreement</w:t>
      </w:r>
      <w:r>
        <w:rPr>
          <w:rFonts w:ascii="Times New Roman" w:cs="Times New Roman" w:eastAsia="Times New Roman" w:hAnsi="Times New Roman"/>
          <w:sz w:val="18"/>
          <w:szCs w:val="18"/>
          <w:color w:val="181717"/>
        </w:rPr>
        <w:t xml:space="preserve">s </w:t>
      </w:r>
      <w:r>
        <w:rPr>
          <w:rFonts w:ascii="Times New Roman" w:cs="Times New Roman" w:eastAsia="Times New Roman" w:hAnsi="Times New Roman"/>
          <w:sz w:val="18"/>
          <w:szCs w:val="18"/>
          <w:color w:val="000000"/>
        </w:rPr>
        <w:t>with a PRC bank to obtain mortgage bank loans totaling to</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RMB260,000 for the purchase of Building A and Building D in Wuhan. The loans are secured by pledging Building A and Building D and will be repaid in equal installment every three months with maturity term of 8 years. The annual interest rate is 1.472% prior to April 15, 2021,</w:t>
      </w:r>
    </w:p>
    <w:p>
      <w:pPr>
        <w:spacing w:after="0" w:line="1" w:lineRule="exact"/>
        <w:rPr>
          <w:rFonts w:ascii="Times New Roman" w:cs="Times New Roman" w:eastAsia="Times New Roman" w:hAnsi="Times New Roman"/>
          <w:sz w:val="18"/>
          <w:szCs w:val="18"/>
          <w:b w:val="1"/>
          <w:bCs w:val="1"/>
          <w:color w:val="181717"/>
        </w:rPr>
      </w:pPr>
    </w:p>
    <w:p>
      <w:pPr>
        <w:ind w:left="752" w:right="200"/>
        <w:spacing w:after="0" w:line="255"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auto"/>
        </w:rPr>
        <w:t>1.25% from April 16, 2021 to August 25, 2023 and 0.7% after August 25, 2023 on top of base rate of one-year interest rate released by the People's Bank of China. During the year ended December 31, 2024, the Group had fully repaid the outstanding loan principals before maturity dates for these two loans relating to the purchase of Building A and Building D in Wuhan.</w:t>
      </w:r>
    </w:p>
    <w:p>
      <w:pPr>
        <w:spacing w:after="0" w:line="212" w:lineRule="exact"/>
        <w:rPr>
          <w:rFonts w:ascii="Times New Roman" w:cs="Times New Roman" w:eastAsia="Times New Roman" w:hAnsi="Times New Roman"/>
          <w:sz w:val="18"/>
          <w:szCs w:val="18"/>
          <w:b w:val="1"/>
          <w:bCs w:val="1"/>
          <w:color w:val="181717"/>
        </w:rPr>
      </w:pPr>
    </w:p>
    <w:p>
      <w:pPr>
        <w:ind w:left="752" w:right="100"/>
        <w:spacing w:after="0" w:line="258"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181717"/>
        </w:rPr>
        <w:t xml:space="preserve">In July 2021, the Group entered into another loan agreement with a PRC bank to obtain a mortgage bank loan amounting to RMB61,540 for the purchase of Building B in Wuhan. The loan is secured by pledging Building B and will be repaid in equal installment every three months with maturity term of 10 years. The annual interest rate is 1.05% prior to July 1, 2022 and 0.75% after July 1, 2022 on top of base rate of one-year interest rate released by the People's Bank of China. </w:t>
      </w:r>
      <w:r>
        <w:rPr>
          <w:rFonts w:ascii="Times New Roman" w:cs="Times New Roman" w:eastAsia="Times New Roman" w:hAnsi="Times New Roman"/>
          <w:sz w:val="18"/>
          <w:szCs w:val="18"/>
          <w:color w:val="000000"/>
        </w:rPr>
        <w:t>During the year ended December 31, 2025</w:t>
      </w:r>
      <w:r>
        <w:rPr>
          <w:rFonts w:ascii="Times New Roman" w:cs="Times New Roman" w:eastAsia="Times New Roman" w:hAnsi="Times New Roman"/>
          <w:sz w:val="18"/>
          <w:szCs w:val="18"/>
          <w:color w:val="181717"/>
        </w:rPr>
        <w:t>, the Group had fully repaid the outstanding loan principals before maturity dates for the loan relating to the purchase of Building B in Wuhan.</w:t>
      </w:r>
    </w:p>
    <w:p>
      <w:pPr>
        <w:spacing w:after="0" w:line="183" w:lineRule="exact"/>
        <w:rPr>
          <w:rFonts w:ascii="Times New Roman" w:cs="Times New Roman" w:eastAsia="Times New Roman" w:hAnsi="Times New Roman"/>
          <w:sz w:val="18"/>
          <w:szCs w:val="18"/>
          <w:b w:val="1"/>
          <w:bCs w:val="1"/>
          <w:color w:val="181717"/>
        </w:rPr>
      </w:pPr>
    </w:p>
    <w:p>
      <w:pPr>
        <w:ind w:left="752" w:right="140"/>
        <w:spacing w:after="0" w:line="282"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181717"/>
        </w:rPr>
        <w:t>The Group repaid RMB38,654, RMB101,779 and RMB41,540 for the principals of loans during the years ended December 31, 2023, 2024 and 2025, respectively.</w:t>
      </w:r>
    </w:p>
    <w:p>
      <w:pPr>
        <w:spacing w:after="0" w:line="373" w:lineRule="exact"/>
        <w:rPr>
          <w:rFonts w:ascii="Times New Roman" w:cs="Times New Roman" w:eastAsia="Times New Roman" w:hAnsi="Times New Roman"/>
          <w:sz w:val="18"/>
          <w:szCs w:val="18"/>
          <w:b w:val="1"/>
          <w:bCs w:val="1"/>
          <w:color w:val="181717"/>
        </w:rPr>
      </w:pPr>
    </w:p>
    <w:p>
      <w:pPr>
        <w:ind w:left="752" w:hanging="752"/>
        <w:spacing w:after="0"/>
        <w:tabs>
          <w:tab w:leader="none" w:pos="752" w:val="left"/>
        </w:tabs>
        <w:numPr>
          <w:ilvl w:val="0"/>
          <w:numId w:val="89"/>
        </w:numPr>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b w:val="1"/>
          <w:bCs w:val="1"/>
          <w:color w:val="181717"/>
        </w:rPr>
        <w:t>ORDINARY SHARES</w:t>
      </w:r>
    </w:p>
    <w:p>
      <w:pPr>
        <w:spacing w:after="0" w:line="229" w:lineRule="exact"/>
        <w:rPr>
          <w:rFonts w:ascii="Times New Roman" w:cs="Times New Roman" w:eastAsia="Times New Roman" w:hAnsi="Times New Roman"/>
          <w:sz w:val="18"/>
          <w:szCs w:val="18"/>
          <w:b w:val="1"/>
          <w:bCs w:val="1"/>
          <w:color w:val="181717"/>
        </w:rPr>
      </w:pPr>
    </w:p>
    <w:p>
      <w:pPr>
        <w:ind w:left="752" w:right="100"/>
        <w:spacing w:after="0" w:line="282"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181717"/>
        </w:rPr>
        <w:t>On September 18, 2015, the Company authorized 1,000,000,000 shares of a par value of US$0.00005 (equivalent to RMB0.0003) per share and issued 1 ordinary share at par value at incorporation.</w:t>
      </w:r>
    </w:p>
    <w:p>
      <w:pPr>
        <w:spacing w:after="0" w:line="161" w:lineRule="exact"/>
        <w:rPr>
          <w:rFonts w:ascii="Times New Roman" w:cs="Times New Roman" w:eastAsia="Times New Roman" w:hAnsi="Times New Roman"/>
          <w:sz w:val="18"/>
          <w:szCs w:val="18"/>
          <w:b w:val="1"/>
          <w:bCs w:val="1"/>
          <w:color w:val="181717"/>
        </w:rPr>
      </w:pPr>
    </w:p>
    <w:p>
      <w:pPr>
        <w:ind w:left="752" w:right="200"/>
        <w:spacing w:after="0" w:line="258"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181717"/>
        </w:rPr>
        <w:t>The ordinary shares of the Company are classified as Class A, Class B and Class C ordinary shares. Holders of Class A, Class B and Class C ordinary shares have the same rights except for voting and conversion rights. Each Class A ordinary share is entitled to one vote and is not convertible. Each Class B ordinary share is entitled to seven votes and is solely convertible into one Class A ordinary share, at any time by the holder thereof. Each Class C ordinary share is entitled to ten votes and is solely convertible into one Class A ordinary share, at any time by the holder thereof.</w:t>
      </w:r>
    </w:p>
    <w:p>
      <w:pPr>
        <w:spacing w:after="0" w:line="183" w:lineRule="exact"/>
        <w:rPr>
          <w:rFonts w:ascii="Times New Roman" w:cs="Times New Roman" w:eastAsia="Times New Roman" w:hAnsi="Times New Roman"/>
          <w:sz w:val="18"/>
          <w:szCs w:val="18"/>
          <w:b w:val="1"/>
          <w:bCs w:val="1"/>
          <w:color w:val="181717"/>
        </w:rPr>
      </w:pPr>
    </w:p>
    <w:p>
      <w:pPr>
        <w:ind w:left="752"/>
        <w:spacing w:after="0" w:line="253"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181717"/>
        </w:rPr>
        <w:t>On August 29, 2018, the Company’s Board of Directors approved a share repurchase program under which the Company was authorized to repurchase up to US$50,000 of its Class A ordinary shares in the form of ADSs over the following 12 months. On November 18, 2019, the Company’s Board of Directors approved the extension of the repurchase program to August 23, 2020. On December 6, 2021, the Company’s Board of Directors approved a share repurchase program under which the Company was authorized to repurchase up to US$15,000 of its Class A ordinary shares in the form of ADSs over the following 24 months. On December 1, 2023, the Company’s Board of Directors approved the extension of the repurchase program to December 5, 2025. In 2023, 2024 and 2025, the Company transferred RMB4,750, RMB10,949 and RMB6,168, respectively, to the designated account for share repurchase. 130,931 ADSs, 203,489 ADSs and 125,464 ADSs (equivalent to 65,466, 101,744 and 62,732 Class A ordinary shares, respectively) were repurchased during the years ended December 31, 2023, 2024 and 2025 at a total consideration of RMB4,698, RMB10,661 and RMB6,828, respectively. The repurchased shares were presented as treasury stock, using the par value method on the consolidated balance sheets as of December 31, 2024 and 2025.</w:t>
      </w:r>
    </w:p>
    <w:p>
      <w:pPr>
        <w:spacing w:after="0" w:line="194" w:lineRule="exact"/>
        <w:rPr>
          <w:sz w:val="20"/>
          <w:szCs w:val="20"/>
          <w:color w:val="auto"/>
        </w:rPr>
      </w:pPr>
    </w:p>
    <w:p>
      <w:pPr>
        <w:ind w:left="752"/>
        <w:spacing w:after="0" w:line="282" w:lineRule="auto"/>
        <w:rPr>
          <w:sz w:val="20"/>
          <w:szCs w:val="20"/>
          <w:color w:val="auto"/>
        </w:rPr>
      </w:pPr>
      <w:r>
        <w:rPr>
          <w:rFonts w:ascii="Times New Roman" w:cs="Times New Roman" w:eastAsia="Times New Roman" w:hAnsi="Times New Roman"/>
          <w:sz w:val="18"/>
          <w:szCs w:val="18"/>
          <w:color w:val="181717"/>
        </w:rPr>
        <w:t>During the years ended December 31, 2023, 2024 and 2025, 149,291, nil and nil Class C ordinary shares were converted into 149,291, nil and nil Class A ordinary shares, respectively.</w:t>
      </w:r>
    </w:p>
    <w:p>
      <w:pPr>
        <w:spacing w:after="0" w:line="13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69" w:right="359" w:bottom="1440" w:gutter="0" w:footer="0" w:header="0"/>
        </w:sectPr>
      </w:pPr>
    </w:p>
    <w:bookmarkStart w:id="154" w:name="page155"/>
    <w:bookmarkEnd w:id="154"/>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388" w:lineRule="exact"/>
        <w:rPr>
          <w:sz w:val="20"/>
          <w:szCs w:val="20"/>
          <w:color w:val="auto"/>
        </w:rPr>
      </w:pPr>
    </w:p>
    <w:p>
      <w:pPr>
        <w:ind w:left="760" w:hanging="752"/>
        <w:spacing w:after="0"/>
        <w:tabs>
          <w:tab w:leader="none" w:pos="760" w:val="left"/>
        </w:tabs>
        <w:numPr>
          <w:ilvl w:val="0"/>
          <w:numId w:val="90"/>
        </w:numPr>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b w:val="1"/>
          <w:bCs w:val="1"/>
          <w:color w:val="181717"/>
        </w:rPr>
        <w:t>FAIR VALUE MEASUREMENT</w:t>
      </w:r>
    </w:p>
    <w:p>
      <w:pPr>
        <w:spacing w:after="0" w:line="252" w:lineRule="exact"/>
        <w:rPr>
          <w:rFonts w:ascii="Times New Roman" w:cs="Times New Roman" w:eastAsia="Times New Roman" w:hAnsi="Times New Roman"/>
          <w:sz w:val="18"/>
          <w:szCs w:val="18"/>
          <w:b w:val="1"/>
          <w:bCs w:val="1"/>
          <w:color w:val="181717"/>
        </w:rPr>
      </w:pPr>
    </w:p>
    <w:p>
      <w:pPr>
        <w:ind w:left="760"/>
        <w:spacing w:after="0"/>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b w:val="1"/>
          <w:bCs w:val="1"/>
          <w:i w:val="1"/>
          <w:iCs w:val="1"/>
          <w:color w:val="181717"/>
        </w:rPr>
        <w:t>Measured or disclosed at fair value on a recurring basis</w:t>
      </w:r>
    </w:p>
    <w:p>
      <w:pPr>
        <w:spacing w:after="0" w:line="256" w:lineRule="exact"/>
        <w:rPr>
          <w:rFonts w:ascii="Times New Roman" w:cs="Times New Roman" w:eastAsia="Times New Roman" w:hAnsi="Times New Roman"/>
          <w:sz w:val="18"/>
          <w:szCs w:val="18"/>
          <w:b w:val="1"/>
          <w:bCs w:val="1"/>
          <w:color w:val="181717"/>
        </w:rPr>
      </w:pPr>
    </w:p>
    <w:p>
      <w:pPr>
        <w:jc w:val="both"/>
        <w:ind w:left="760" w:right="20"/>
        <w:spacing w:after="0" w:line="261"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181717"/>
        </w:rPr>
        <w:t>The Group measures variable rate financial instruments, available-for-sale investments and equity securities with readily determinable fair values at fair value on a recurring basis in accordance with ASC 820-10. Equity securities with readily determinable fair value classified within Level 1 are valued using quoted market prices currently available. Variable rate financial instruments and available-for-sale investments classified within Level 2 are valued using directly or indirectly observable inputs in the market place.</w:t>
      </w:r>
    </w:p>
    <w:p>
      <w:pPr>
        <w:spacing w:after="0" w:line="179" w:lineRule="exact"/>
        <w:rPr>
          <w:rFonts w:ascii="Times New Roman" w:cs="Times New Roman" w:eastAsia="Times New Roman" w:hAnsi="Times New Roman"/>
          <w:sz w:val="18"/>
          <w:szCs w:val="18"/>
          <w:b w:val="1"/>
          <w:bCs w:val="1"/>
          <w:color w:val="181717"/>
        </w:rPr>
      </w:pPr>
    </w:p>
    <w:p>
      <w:pPr>
        <w:ind w:left="760" w:right="380"/>
        <w:spacing w:after="0" w:line="282"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181717"/>
        </w:rPr>
        <w:t>As of December 31, 2024 and 2025, information about inputs for the fair value measurements of the Group’s assets that are measured at fair value on a recurring basis in periods subsequent to their initial recognition is as follows:</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Fair value</w:t>
            </w:r>
          </w:p>
        </w:tc>
        <w:tc>
          <w:tcPr>
            <w:tcW w:w="4760" w:type="dxa"/>
            <w:vAlign w:val="bottom"/>
            <w:gridSpan w:val="10"/>
          </w:tcPr>
          <w:p>
            <w:pPr>
              <w:jc w:val="center"/>
              <w:ind w:right="100"/>
              <w:spacing w:after="0"/>
              <w:rPr>
                <w:sz w:val="20"/>
                <w:szCs w:val="20"/>
                <w:color w:val="auto"/>
              </w:rPr>
            </w:pPr>
            <w:r>
              <w:rPr>
                <w:rFonts w:ascii="Times New Roman" w:cs="Times New Roman" w:eastAsia="Times New Roman" w:hAnsi="Times New Roman"/>
                <w:sz w:val="14"/>
                <w:szCs w:val="14"/>
                <w:color w:val="auto"/>
              </w:rPr>
              <w:t>Fair Value Measurement at Reporting Date Using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144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Quoted Prices in</w:t>
            </w: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20"/>
              <w:spacing w:after="0" w:line="119" w:lineRule="exact"/>
              <w:rPr>
                <w:sz w:val="20"/>
                <w:szCs w:val="20"/>
                <w:color w:val="auto"/>
              </w:rPr>
            </w:pPr>
            <w:r>
              <w:rPr>
                <w:rFonts w:ascii="Times New Roman" w:cs="Times New Roman" w:eastAsia="Times New Roman" w:hAnsi="Times New Roman"/>
                <w:sz w:val="13"/>
                <w:szCs w:val="13"/>
                <w:color w:val="auto"/>
              </w:rPr>
              <w:t>Significant Other</w:t>
            </w: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as of</w:t>
            </w: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Active Market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Observable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 Identical</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71"/>
        </w:trPr>
        <w:tc>
          <w:tcPr>
            <w:tcW w:w="3900" w:type="dxa"/>
            <w:vAlign w:val="bottom"/>
            <w:gridSpan w:val="3"/>
            <w:vMerge w:val="continue"/>
          </w:tcPr>
          <w:p>
            <w:pPr>
              <w:spacing w:after="0"/>
              <w:rPr>
                <w:sz w:val="14"/>
                <w:szCs w:val="14"/>
                <w:color w:val="auto"/>
              </w:rPr>
            </w:pPr>
          </w:p>
        </w:tc>
        <w:tc>
          <w:tcPr>
            <w:tcW w:w="1500" w:type="dxa"/>
            <w:vAlign w:val="bottom"/>
            <w:gridSpan w:val="3"/>
          </w:tcPr>
          <w:p>
            <w:pPr>
              <w:jc w:val="center"/>
              <w:ind w:left="96"/>
              <w:spacing w:after="0"/>
              <w:rPr>
                <w:sz w:val="20"/>
                <w:szCs w:val="20"/>
                <w:color w:val="auto"/>
              </w:rPr>
            </w:pPr>
            <w:r>
              <w:rPr>
                <w:rFonts w:ascii="Times New Roman" w:cs="Times New Roman" w:eastAsia="Times New Roman" w:hAnsi="Times New Roman"/>
                <w:sz w:val="14"/>
                <w:szCs w:val="14"/>
                <w:color w:val="auto"/>
                <w:w w:val="99"/>
              </w:rPr>
              <w:t>2024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Assets (Level 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Variable rate financial instruments</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254,459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254,459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189,422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189,422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gridSpan w:val="2"/>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Equity securities with readily determinable fair</w:t>
            </w:r>
          </w:p>
        </w:tc>
        <w:tc>
          <w:tcPr>
            <w:tcW w:w="120" w:type="dxa"/>
            <w:vAlign w:val="bottom"/>
            <w:gridSpan w:val="2"/>
            <w:vMerge w:val="restart"/>
            <w:shd w:val="clear" w:color="auto" w:fill="CFF0FC"/>
          </w:tcPr>
          <w:p>
            <w:pPr>
              <w:spacing w:after="0"/>
              <w:rPr>
                <w:sz w:val="17"/>
                <w:szCs w:val="17"/>
                <w:color w:val="auto"/>
              </w:rPr>
            </w:pPr>
          </w:p>
        </w:tc>
        <w:tc>
          <w:tcPr>
            <w:tcW w:w="14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19,700</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19,700</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0" w:type="dxa"/>
            <w:vAlign w:val="bottom"/>
            <w:vMerge w:val="restart"/>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vMerge w:val="restart"/>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values</w:t>
            </w:r>
          </w:p>
        </w:tc>
        <w:tc>
          <w:tcPr>
            <w:tcW w:w="120" w:type="dxa"/>
            <w:vAlign w:val="bottom"/>
            <w:tcBorders>
              <w:bottom w:val="single" w:sz="8" w:color="CFF0FC"/>
            </w:tcBorders>
            <w:gridSpan w:val="2"/>
            <w:vMerge w:val="continue"/>
            <w:shd w:val="clear" w:color="auto" w:fill="CFF0FC"/>
          </w:tcPr>
          <w:p>
            <w:pPr>
              <w:spacing w:after="0"/>
              <w:rPr>
                <w:sz w:val="19"/>
                <w:szCs w:val="19"/>
                <w:color w:val="auto"/>
              </w:rPr>
            </w:pPr>
          </w:p>
        </w:tc>
        <w:tc>
          <w:tcPr>
            <w:tcW w:w="1440" w:type="dxa"/>
            <w:vAlign w:val="bottom"/>
            <w:tcBorders>
              <w:bottom w:val="single" w:sz="8" w:color="auto"/>
            </w:tcBorders>
            <w:gridSpan w:val="2"/>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gridSpan w:val="2"/>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gridSpan w:val="2"/>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gridSpan w:val="2"/>
          </w:tcPr>
          <w:p>
            <w:pPr>
              <w:spacing w:after="0"/>
              <w:rPr>
                <w:sz w:val="18"/>
                <w:szCs w:val="18"/>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463,581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19,700</w:t>
            </w:r>
          </w:p>
        </w:tc>
        <w:tc>
          <w:tcPr>
            <w:tcW w:w="220" w:type="dxa"/>
            <w:vAlign w:val="bottom"/>
            <w:gridSpan w:val="2"/>
          </w:tcPr>
          <w:p>
            <w:pPr>
              <w:spacing w:after="0"/>
              <w:rPr>
                <w:sz w:val="18"/>
                <w:szCs w:val="18"/>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443,881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Fair value</w:t>
            </w:r>
          </w:p>
        </w:tc>
        <w:tc>
          <w:tcPr>
            <w:tcW w:w="40" w:type="dxa"/>
            <w:vAlign w:val="bottom"/>
          </w:tcPr>
          <w:p>
            <w:pPr>
              <w:spacing w:after="0"/>
              <w:rPr>
                <w:sz w:val="24"/>
                <w:szCs w:val="24"/>
                <w:color w:val="auto"/>
              </w:rPr>
            </w:pPr>
          </w:p>
        </w:tc>
        <w:tc>
          <w:tcPr>
            <w:tcW w:w="4760" w:type="dxa"/>
            <w:vAlign w:val="bottom"/>
            <w:gridSpan w:val="10"/>
          </w:tcPr>
          <w:p>
            <w:pPr>
              <w:ind w:left="860"/>
              <w:spacing w:after="0"/>
              <w:rPr>
                <w:sz w:val="20"/>
                <w:szCs w:val="20"/>
                <w:color w:val="auto"/>
              </w:rPr>
            </w:pPr>
            <w:r>
              <w:rPr>
                <w:rFonts w:ascii="Times New Roman" w:cs="Times New Roman" w:eastAsia="Times New Roman" w:hAnsi="Times New Roman"/>
                <w:sz w:val="14"/>
                <w:szCs w:val="14"/>
                <w:color w:val="auto"/>
              </w:rPr>
              <w:t>Fair Value Measurement at Reporting Date Using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100"/>
              <w:spacing w:after="0" w:line="119" w:lineRule="exact"/>
              <w:rPr>
                <w:sz w:val="20"/>
                <w:szCs w:val="20"/>
                <w:color w:val="auto"/>
              </w:rPr>
            </w:pPr>
            <w:r>
              <w:rPr>
                <w:rFonts w:ascii="Times New Roman" w:cs="Times New Roman" w:eastAsia="Times New Roman" w:hAnsi="Times New Roman"/>
                <w:sz w:val="13"/>
                <w:szCs w:val="13"/>
                <w:color w:val="auto"/>
              </w:rPr>
              <w:t>Quoted Prices in</w:t>
            </w: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60"/>
              <w:spacing w:after="0" w:line="119" w:lineRule="exact"/>
              <w:rPr>
                <w:sz w:val="20"/>
                <w:szCs w:val="20"/>
                <w:color w:val="auto"/>
              </w:rPr>
            </w:pPr>
            <w:r>
              <w:rPr>
                <w:rFonts w:ascii="Times New Roman" w:cs="Times New Roman" w:eastAsia="Times New Roman" w:hAnsi="Times New Roman"/>
                <w:sz w:val="13"/>
                <w:szCs w:val="13"/>
                <w:color w:val="auto"/>
              </w:rPr>
              <w:t>Significant Other</w:t>
            </w: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as of</w:t>
            </w: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Active Market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Observable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8"/>
        </w:trPr>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for Identical</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71"/>
        </w:trPr>
        <w:tc>
          <w:tcPr>
            <w:tcW w:w="3900" w:type="dxa"/>
            <w:vAlign w:val="bottom"/>
            <w:gridSpan w:val="3"/>
            <w:vMerge w:val="continue"/>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Assets (Level 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40" w:type="dxa"/>
            <w:vAlign w:val="bottom"/>
            <w:gridSpan w:val="2"/>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ind w:right="1"/>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Variable rate financial instruments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141,232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141,232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193,148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193,148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gridSpan w:val="2"/>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Equity securities with readily determinable fair</w:t>
            </w:r>
          </w:p>
        </w:tc>
        <w:tc>
          <w:tcPr>
            <w:tcW w:w="60" w:type="dxa"/>
            <w:vAlign w:val="bottom"/>
            <w:vMerge w:val="restart"/>
            <w:shd w:val="clear" w:color="auto" w:fill="CFF0FC"/>
          </w:tcPr>
          <w:p>
            <w:pPr>
              <w:spacing w:after="0"/>
              <w:rPr>
                <w:sz w:val="17"/>
                <w:szCs w:val="17"/>
                <w:color w:val="auto"/>
              </w:rPr>
            </w:pPr>
          </w:p>
        </w:tc>
        <w:tc>
          <w:tcPr>
            <w:tcW w:w="14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21,641</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21,641</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restart"/>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0" w:type="dxa"/>
            <w:vAlign w:val="bottom"/>
            <w:vMerge w:val="restart"/>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vMerge w:val="restart"/>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values</w:t>
            </w:r>
          </w:p>
        </w:tc>
        <w:tc>
          <w:tcPr>
            <w:tcW w:w="60" w:type="dxa"/>
            <w:vAlign w:val="bottom"/>
            <w:tcBorders>
              <w:bottom w:val="single" w:sz="8" w:color="CFF0FC"/>
            </w:tcBorders>
            <w:vMerge w:val="continue"/>
            <w:shd w:val="clear" w:color="auto" w:fill="CFF0FC"/>
          </w:tcPr>
          <w:p>
            <w:pPr>
              <w:spacing w:after="0"/>
              <w:rPr>
                <w:sz w:val="19"/>
                <w:szCs w:val="19"/>
                <w:color w:val="auto"/>
              </w:rPr>
            </w:pPr>
          </w:p>
        </w:tc>
        <w:tc>
          <w:tcPr>
            <w:tcW w:w="1440" w:type="dxa"/>
            <w:vAlign w:val="bottom"/>
            <w:tcBorders>
              <w:bottom w:val="single" w:sz="8" w:color="auto"/>
            </w:tcBorders>
            <w:gridSpan w:val="2"/>
            <w:vMerge w:val="continue"/>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vMerge w:val="continue"/>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vMerge w:val="continue"/>
            <w:shd w:val="clear" w:color="auto" w:fill="CFF0FC"/>
          </w:tcPr>
          <w:p>
            <w:pPr>
              <w:spacing w:after="0"/>
              <w:rPr>
                <w:sz w:val="19"/>
                <w:szCs w:val="19"/>
                <w:color w:val="auto"/>
              </w:rPr>
            </w:pPr>
          </w:p>
        </w:tc>
        <w:tc>
          <w:tcPr>
            <w:tcW w:w="2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356,021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334,380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-1859915</wp:posOffset>
            </wp:positionV>
            <wp:extent cx="6858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-1859915</wp:posOffset>
            </wp:positionV>
            <wp:extent cx="6858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-1859915</wp:posOffset>
            </wp:positionV>
            <wp:extent cx="6032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-1859915</wp:posOffset>
            </wp:positionV>
            <wp:extent cx="596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-153670</wp:posOffset>
            </wp:positionV>
            <wp:extent cx="6858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-153670</wp:posOffset>
            </wp:positionV>
            <wp:extent cx="6858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-153670</wp:posOffset>
            </wp:positionV>
            <wp:extent cx="6032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-153670</wp:posOffset>
            </wp:positionV>
            <wp:extent cx="596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181717"/>
        </w:rPr>
        <w:t>Measured or disclosed at fair value on a non-recurring basis</w:t>
      </w:r>
    </w:p>
    <w:p>
      <w:pPr>
        <w:spacing w:after="0" w:line="256" w:lineRule="exact"/>
        <w:rPr>
          <w:sz w:val="20"/>
          <w:szCs w:val="20"/>
          <w:color w:val="auto"/>
        </w:rPr>
      </w:pPr>
    </w:p>
    <w:p>
      <w:pPr>
        <w:ind w:left="760"/>
        <w:spacing w:after="0" w:line="289" w:lineRule="auto"/>
        <w:rPr>
          <w:sz w:val="20"/>
          <w:szCs w:val="20"/>
          <w:color w:val="auto"/>
        </w:rPr>
      </w:pPr>
      <w:r>
        <w:rPr>
          <w:rFonts w:ascii="Times New Roman" w:cs="Times New Roman" w:eastAsia="Times New Roman" w:hAnsi="Times New Roman"/>
          <w:sz w:val="17"/>
          <w:szCs w:val="17"/>
          <w:color w:val="181717"/>
        </w:rPr>
        <w:t>The Group measures its property and equipment at fair value on a non-recurring basis annually or whenever events or changes in circumstances indicate that the carrying amount exceeds its fair value. The Group determined the fair value of property and equipment that were subject to impairment using the significant other observable inputs based on a quoted market price for similar assets or liabilities in active market (Level 2).</w:t>
      </w:r>
    </w:p>
    <w:p>
      <w:pPr>
        <w:spacing w:after="0" w:line="158"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18"/>
          <w:szCs w:val="18"/>
          <w:color w:val="181717"/>
        </w:rPr>
        <w:t>Long-term investments that are accounted for as equity method investments or using the measurement alternative are reviewed periodically for impairment using fair value measurement. In determining the fair value of these investments when the Group identified impairment indicators, income approach or market approach was used, if applicable, which requires management to use unobservable inputs (Level 3), mainly including the estimates of future cash flows, discount rate, terminal growth rate, selection of comparable companies and multiples and estimated discount for lack of marketability.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5" w:name="page156"/>
    <w:bookmarkEnd w:id="155"/>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388" w:lineRule="exact"/>
        <w:rPr>
          <w:sz w:val="20"/>
          <w:szCs w:val="20"/>
          <w:color w:val="auto"/>
        </w:rPr>
      </w:pPr>
    </w:p>
    <w:p>
      <w:pPr>
        <w:ind w:left="760" w:hanging="752"/>
        <w:spacing w:after="0"/>
        <w:tabs>
          <w:tab w:leader="none" w:pos="7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DISPOSAL OF SUBSIDIARIES</w:t>
      </w:r>
    </w:p>
    <w:p>
      <w:pPr>
        <w:spacing w:after="0" w:line="256" w:lineRule="exact"/>
        <w:rPr>
          <w:rFonts w:ascii="Times New Roman" w:cs="Times New Roman" w:eastAsia="Times New Roman" w:hAnsi="Times New Roman"/>
          <w:sz w:val="18"/>
          <w:szCs w:val="18"/>
          <w:b w:val="1"/>
          <w:bCs w:val="1"/>
          <w:color w:val="auto"/>
        </w:rPr>
      </w:pPr>
    </w:p>
    <w:p>
      <w:pPr>
        <w:ind w:left="7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181717"/>
        </w:rPr>
        <w:t>The Group disposed certain consolidated entities during each of the year ended December 31, 2023 and 2024. These transactions were not a strategic shift of the business and did not have a material impact on the Group’s business. As such, the disposals did not qualify as discontinued operations. The Group received disposal consideration of nil and nil in 2023 and 2024, respectively and recorded gain of RMB43,715 and loss of RMB838 in disposals of subsidiaries for the years ended December 31, 2023 and 2024, respectively.</w:t>
      </w:r>
    </w:p>
    <w:p>
      <w:pPr>
        <w:spacing w:after="0" w:line="391" w:lineRule="exact"/>
        <w:rPr>
          <w:rFonts w:ascii="Times New Roman" w:cs="Times New Roman" w:eastAsia="Times New Roman" w:hAnsi="Times New Roman"/>
          <w:sz w:val="18"/>
          <w:szCs w:val="18"/>
          <w:b w:val="1"/>
          <w:bCs w:val="1"/>
          <w:color w:val="auto"/>
        </w:rPr>
      </w:pPr>
    </w:p>
    <w:p>
      <w:pPr>
        <w:ind w:left="760" w:right="8260" w:hanging="752"/>
        <w:spacing w:after="0" w:line="549" w:lineRule="auto"/>
        <w:tabs>
          <w:tab w:leader="none" w:pos="760"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INCENTIVE PLAN </w:t>
      </w:r>
      <w:r>
        <w:rPr>
          <w:rFonts w:ascii="Times New Roman" w:cs="Times New Roman" w:eastAsia="Times New Roman" w:hAnsi="Times New Roman"/>
          <w:sz w:val="17"/>
          <w:szCs w:val="17"/>
          <w:u w:val="single" w:color="auto"/>
          <w:color w:val="auto"/>
        </w:rPr>
        <w:t>2017 Share Incentive Plan</w:t>
      </w:r>
    </w:p>
    <w:p>
      <w:pPr>
        <w:ind w:left="760" w:right="2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In October 2017, the shareholders of the Company approved the 2017 Share Incentive Plan (the “2017 ESOP”) under which the Company can grant a maximum of 483,846 </w:t>
      </w:r>
      <w:r>
        <w:rPr>
          <w:rFonts w:ascii="Times New Roman" w:cs="Times New Roman" w:eastAsia="Times New Roman" w:hAnsi="Times New Roman"/>
          <w:sz w:val="18"/>
          <w:szCs w:val="18"/>
          <w:color w:val="181717"/>
        </w:rPr>
        <w:t>ordinary shares. On August 24, 2018, the Company further approved an additional 345,503 ordinary shares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717"/>
        </w:rPr>
        <w:t>issuance, and therefore, 829,349 ordinary shares were reserved for issuance under the 2017 ESOP.</w:t>
      </w:r>
    </w:p>
    <w:p>
      <w:pPr>
        <w:spacing w:after="0" w:line="175" w:lineRule="exact"/>
        <w:rPr>
          <w:rFonts w:ascii="Times New Roman" w:cs="Times New Roman" w:eastAsia="Times New Roman" w:hAnsi="Times New Roman"/>
          <w:sz w:val="17"/>
          <w:szCs w:val="17"/>
          <w:b w:val="1"/>
          <w:bCs w:val="1"/>
          <w:color w:val="auto"/>
        </w:rPr>
      </w:pPr>
    </w:p>
    <w:p>
      <w:pPr>
        <w:ind w:left="7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u w:val="single" w:color="auto"/>
          <w:color w:val="181717"/>
        </w:rPr>
        <w:t>Options</w:t>
      </w:r>
    </w:p>
    <w:p>
      <w:pPr>
        <w:spacing w:after="0" w:line="225" w:lineRule="exact"/>
        <w:rPr>
          <w:rFonts w:ascii="Times New Roman" w:cs="Times New Roman" w:eastAsia="Times New Roman" w:hAnsi="Times New Roman"/>
          <w:sz w:val="17"/>
          <w:szCs w:val="17"/>
          <w:b w:val="1"/>
          <w:bCs w:val="1"/>
          <w:color w:val="auto"/>
        </w:rPr>
      </w:pPr>
    </w:p>
    <w:p>
      <w:pPr>
        <w:ind w:left="7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was no option activity during the year ended December 31, 2025.</w:t>
      </w:r>
    </w:p>
    <w:p>
      <w:pPr>
        <w:spacing w:after="0" w:line="252"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Weighted-</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average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Weighted-</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remaining</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Aggregated</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average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Number of</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average</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contractual</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intrinsic</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234"/>
        </w:trPr>
        <w:tc>
          <w:tcPr>
            <w:tcW w:w="3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 options</w:t>
            </w:r>
          </w:p>
        </w:tc>
        <w:tc>
          <w:tcPr>
            <w:tcW w:w="12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shares</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exercise price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term(years)</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value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18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31,550</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560.95</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142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271.90</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3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vMerge w:val="continue"/>
          </w:tcPr>
          <w:p>
            <w:pPr>
              <w:spacing w:after="0"/>
              <w:rPr>
                <w:sz w:val="17"/>
                <w:szCs w:val="17"/>
                <w:color w:val="auto"/>
              </w:rPr>
            </w:pPr>
          </w:p>
        </w:tc>
        <w:tc>
          <w:tcPr>
            <w:tcW w:w="3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4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vMerge w:val="continue"/>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31,550</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560.95</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420" w:type="dxa"/>
            <w:vAlign w:val="bottom"/>
            <w:gridSpan w:val="2"/>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271.90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Group did not recognize any share-based compensation expense of share-based awards granted to</w:t>
            </w:r>
          </w:p>
        </w:tc>
        <w:tc>
          <w:tcPr>
            <w:tcW w:w="2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employees, certain directors and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-607695</wp:posOffset>
            </wp:positionV>
            <wp:extent cx="6858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-590550</wp:posOffset>
            </wp:positionV>
            <wp:extent cx="685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-607695</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-590550</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-607695</wp:posOffset>
            </wp:positionV>
            <wp:extent cx="685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-590550</wp:posOffset>
            </wp:positionV>
            <wp:extent cx="685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-607695</wp:posOffset>
            </wp:positionV>
            <wp:extent cx="6032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-590550</wp:posOffset>
            </wp:positionV>
            <wp:extent cx="6032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-607695</wp:posOffset>
            </wp:positionV>
            <wp:extent cx="596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-590550</wp:posOffset>
            </wp:positionV>
            <wp:extent cx="596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-299720</wp:posOffset>
            </wp:positionV>
            <wp:extent cx="6858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-281940</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-299720</wp:posOffset>
            </wp:positionV>
            <wp:extent cx="6858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-281940</wp:posOffset>
            </wp:positionV>
            <wp:extent cx="6858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-299720</wp:posOffset>
            </wp:positionV>
            <wp:extent cx="6858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-281940</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-299720</wp:posOffset>
            </wp:positionV>
            <wp:extent cx="6032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-281940</wp:posOffset>
            </wp:positionV>
            <wp:extent cx="6032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-299720</wp:posOffset>
            </wp:positionV>
            <wp:extent cx="596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-281940</wp:posOffset>
            </wp:positionV>
            <wp:extent cx="596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management for the years ended December 31, 2023, 2024 and 2025.</w:t>
      </w:r>
    </w:p>
    <w:p>
      <w:pPr>
        <w:spacing w:after="0" w:line="2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2025, there were no unrecognized share-based compensation expenses related to share options.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6" w:name="page157"/>
    <w:bookmarkEnd w:id="156"/>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388" w:lineRule="exact"/>
        <w:rPr>
          <w:sz w:val="20"/>
          <w:szCs w:val="20"/>
          <w:color w:val="auto"/>
        </w:rPr>
      </w:pPr>
    </w:p>
    <w:p>
      <w:pPr>
        <w:ind w:left="760" w:right="9240" w:hanging="752"/>
        <w:spacing w:after="0" w:line="503" w:lineRule="auto"/>
        <w:tabs>
          <w:tab w:leader="none" w:pos="760" w:val="left"/>
        </w:tabs>
        <w:numPr>
          <w:ilvl w:val="0"/>
          <w:numId w:val="92"/>
        </w:numPr>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b w:val="1"/>
          <w:bCs w:val="1"/>
          <w:color w:val="181717"/>
        </w:rPr>
        <w:t xml:space="preserve">LEASES </w:t>
      </w:r>
      <w:r>
        <w:rPr>
          <w:rFonts w:ascii="Times New Roman" w:cs="Times New Roman" w:eastAsia="Times New Roman" w:hAnsi="Times New Roman"/>
          <w:sz w:val="18"/>
          <w:szCs w:val="18"/>
          <w:b w:val="1"/>
          <w:bCs w:val="1"/>
          <w:i w:val="1"/>
          <w:iCs w:val="1"/>
          <w:color w:val="181717"/>
        </w:rPr>
        <w:t>Operating leases</w:t>
      </w:r>
    </w:p>
    <w:p>
      <w:pPr>
        <w:ind w:left="760" w:right="140"/>
        <w:spacing w:after="0" w:line="261"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181717"/>
        </w:rPr>
        <w:t>The Group's leases consist of operating leases for office spaces in different cities in the PRC. For leases with terms greater than 12 months, the Group records the related asset and lease liability at the present value of lease payments over the term. As of December 31, 2025, the Group did not have additional operating leases that have not yet commenced. As of December 31, 2025, the Group had no long-term leases that were classified as a financing lease. Short-term lease cost for the year ended December 31, 2025 was immaterial.</w:t>
      </w:r>
    </w:p>
    <w:p>
      <w:pPr>
        <w:spacing w:after="0" w:line="179" w:lineRule="exact"/>
        <w:rPr>
          <w:rFonts w:ascii="Times New Roman" w:cs="Times New Roman" w:eastAsia="Times New Roman" w:hAnsi="Times New Roman"/>
          <w:sz w:val="18"/>
          <w:szCs w:val="18"/>
          <w:b w:val="1"/>
          <w:bCs w:val="1"/>
          <w:color w:val="181717"/>
        </w:rPr>
      </w:pPr>
    </w:p>
    <w:p>
      <w:pPr>
        <w:ind w:left="760"/>
        <w:spacing w:after="0"/>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181717"/>
        </w:rPr>
        <w:t>For the years ended December 31, 2024 and 2025, no variable lease cost was recognized in the consolidated financial statements of the Group.</w:t>
      </w:r>
    </w:p>
    <w:p>
      <w:pPr>
        <w:spacing w:after="0" w:line="252"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260" w:type="dxa"/>
            <w:vAlign w:val="bottom"/>
            <w:tcBorders>
              <w:bottom w:val="single" w:sz="8" w:color="auto"/>
            </w:tcBorders>
            <w:gridSpan w:val="5"/>
          </w:tcPr>
          <w:p>
            <w:pPr>
              <w:jc w:val="center"/>
              <w:ind w:left="91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r>
      <w:tr>
        <w:trPr>
          <w:trHeight w:val="210"/>
        </w:trPr>
        <w:tc>
          <w:tcPr>
            <w:tcW w:w="3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RMB</w:t>
            </w: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RMB</w:t>
            </w:r>
          </w:p>
        </w:tc>
        <w:tc>
          <w:tcPr>
            <w:tcW w:w="180" w:type="dxa"/>
            <w:vAlign w:val="bottom"/>
          </w:tcPr>
          <w:p>
            <w:pPr>
              <w:spacing w:after="0"/>
              <w:rPr>
                <w:sz w:val="18"/>
                <w:szCs w:val="18"/>
                <w:color w:val="auto"/>
              </w:rPr>
            </w:pPr>
          </w:p>
        </w:tc>
      </w:tr>
      <w:tr>
        <w:trPr>
          <w:trHeight w:val="216"/>
        </w:trPr>
        <w:tc>
          <w:tcPr>
            <w:tcW w:w="74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26,704</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80" w:type="dxa"/>
            <w:vAlign w:val="bottom"/>
          </w:tcPr>
          <w:p>
            <w:pPr>
              <w:spacing w:after="0"/>
              <w:rPr>
                <w:sz w:val="18"/>
                <w:szCs w:val="18"/>
                <w:color w:val="auto"/>
              </w:rPr>
            </w:pPr>
          </w:p>
        </w:tc>
      </w:tr>
      <w:tr>
        <w:trPr>
          <w:trHeight w:val="198"/>
        </w:trPr>
        <w:tc>
          <w:tcPr>
            <w:tcW w:w="33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Non-cash changes in right-of-use assets from</w:t>
            </w:r>
          </w:p>
        </w:tc>
        <w:tc>
          <w:tcPr>
            <w:tcW w:w="4180" w:type="dxa"/>
            <w:vAlign w:val="bottom"/>
            <w:gridSpan w:val="3"/>
            <w:shd w:val="clear" w:color="auto" w:fill="CFF0FC"/>
          </w:tcPr>
          <w:p>
            <w:pPr>
              <w:jc w:val="right"/>
              <w:ind w:right="1880"/>
              <w:spacing w:after="0" w:line="198" w:lineRule="exact"/>
              <w:rPr>
                <w:sz w:val="20"/>
                <w:szCs w:val="20"/>
                <w:color w:val="auto"/>
              </w:rPr>
            </w:pPr>
            <w:r>
              <w:rPr>
                <w:rFonts w:ascii="Times New Roman" w:cs="Times New Roman" w:eastAsia="Times New Roman" w:hAnsi="Times New Roman"/>
                <w:sz w:val="18"/>
                <w:szCs w:val="18"/>
                <w:color w:val="auto"/>
              </w:rPr>
              <w:t>new lease obligations and lease</w:t>
            </w: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27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6"/>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80" w:type="dxa"/>
            <w:vAlign w:val="bottom"/>
          </w:tcPr>
          <w:p>
            <w:pPr>
              <w:spacing w:after="0"/>
              <w:rPr>
                <w:sz w:val="18"/>
                <w:szCs w:val="18"/>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7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7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 years</w:t>
            </w:r>
          </w:p>
        </w:tc>
        <w:tc>
          <w:tcPr>
            <w:tcW w:w="17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10.4 years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 years</w:t>
            </w: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7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bl>
    <w:p>
      <w:pPr>
        <w:spacing w:after="0" w:line="206" w:lineRule="exact"/>
        <w:rPr>
          <w:sz w:val="20"/>
          <w:szCs w:val="20"/>
          <w:color w:val="auto"/>
        </w:rPr>
      </w:pPr>
    </w:p>
    <w:p>
      <w:pPr>
        <w:ind w:left="760" w:right="260"/>
        <w:spacing w:after="0" w:line="256" w:lineRule="auto"/>
        <w:rPr>
          <w:sz w:val="20"/>
          <w:szCs w:val="20"/>
          <w:color w:val="auto"/>
        </w:rPr>
      </w:pPr>
      <w:r>
        <w:rPr>
          <w:rFonts w:ascii="Times New Roman" w:cs="Times New Roman" w:eastAsia="Times New Roman" w:hAnsi="Times New Roman"/>
          <w:sz w:val="18"/>
          <w:szCs w:val="18"/>
          <w:color w:val="auto"/>
        </w:rPr>
        <w:t>In 2023, 2024 and 2025, certain leases for office space were partially terminated before the expiration of the lease term for cost savings. The relevant carrying amount of the right-of-use assets totaling RMB131,726, RMB1,155 and RMB468, in 2023, 2024 and 2025, respectively and the corresponding carrying amount of operating lease liabilities totaling RMB158,902, RMB2,465 and RMB820 in 2023, 2024 and 2025, respectively were derecognized upon the effectiveness of the early termination. The gain of RMB27,176, RMB1,310 and RMB352 from early termination of the operating lease was recognized in the statements of operations for the years ended December 31, 2023, 2024 and 2025, respectively.</w:t>
      </w:r>
    </w:p>
    <w:p>
      <w:pPr>
        <w:spacing w:after="0" w:line="187"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181717"/>
              </w:rPr>
              <w:t>The following is a maturity analysis of the annual undiscounted cash flows for lease liabilities as of December 31, 2025:</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RMB</w:t>
            </w:r>
          </w:p>
        </w:tc>
      </w:tr>
      <w:tr>
        <w:trPr>
          <w:trHeight w:val="216"/>
        </w:trPr>
        <w:tc>
          <w:tcPr>
            <w:tcW w:w="40" w:type="dxa"/>
            <w:vAlign w:val="bottom"/>
          </w:tcPr>
          <w:p>
            <w:pPr>
              <w:spacing w:after="0"/>
              <w:rPr>
                <w:sz w:val="18"/>
                <w:szCs w:val="18"/>
                <w:color w:val="auto"/>
              </w:rPr>
            </w:pPr>
          </w:p>
        </w:tc>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10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18,802</w:t>
            </w:r>
          </w:p>
        </w:tc>
        <w:tc>
          <w:tcPr>
            <w:tcW w:w="1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19,435</w:t>
            </w:r>
          </w:p>
        </w:tc>
        <w:tc>
          <w:tcPr>
            <w:tcW w:w="10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1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19,220</w:t>
            </w:r>
          </w:p>
        </w:tc>
        <w:tc>
          <w:tcPr>
            <w:tcW w:w="10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94,979</w:t>
            </w:r>
          </w:p>
        </w:tc>
        <w:tc>
          <w:tcPr>
            <w:tcW w:w="1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8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51,743</w:t>
            </w:r>
          </w:p>
        </w:tc>
        <w:tc>
          <w:tcPr>
            <w:tcW w:w="10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8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4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138,668</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-299720</wp:posOffset>
            </wp:positionV>
            <wp:extent cx="596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left="760" w:right="80"/>
        <w:spacing w:after="0" w:line="261" w:lineRule="auto"/>
        <w:rPr>
          <w:sz w:val="20"/>
          <w:szCs w:val="20"/>
          <w:color w:val="auto"/>
        </w:rPr>
      </w:pPr>
      <w:r>
        <w:rPr>
          <w:rFonts w:ascii="Times New Roman" w:cs="Times New Roman" w:eastAsia="Times New Roman" w:hAnsi="Times New Roman"/>
          <w:sz w:val="18"/>
          <w:szCs w:val="18"/>
          <w:color w:val="181717"/>
        </w:rPr>
        <w:t>Payments under operating leases are expensed on the straight-line basis over the periods of their respective leases. The terms of the leases do not contain rent escalation or contingent rents. For the years ended December 31, 2023, 2024 and 2025, the total rental expenses for all operating leases amounted to RMB407, RMB18,951 and RMB19,528, respectively, and recorded in cost of revenues, selling expenses, research and development expenses and general and administrative expenses on the consolidated statements of operations.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7" w:name="page158"/>
    <w:bookmarkEnd w:id="157"/>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388" w:lineRule="exact"/>
        <w:rPr>
          <w:sz w:val="20"/>
          <w:szCs w:val="20"/>
          <w:color w:val="auto"/>
        </w:rPr>
      </w:pPr>
    </w:p>
    <w:p>
      <w:pPr>
        <w:ind w:left="760" w:right="9080" w:hanging="752"/>
        <w:spacing w:after="0" w:line="565" w:lineRule="auto"/>
        <w:tabs>
          <w:tab w:leader="none" w:pos="760" w:val="left"/>
        </w:tabs>
        <w:numPr>
          <w:ilvl w:val="0"/>
          <w:numId w:val="93"/>
        </w:numPr>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7"/>
          <w:szCs w:val="17"/>
          <w:b w:val="1"/>
          <w:bCs w:val="1"/>
          <w:color w:val="181717"/>
        </w:rPr>
        <w:t xml:space="preserve">INCOME TAXES </w:t>
      </w:r>
      <w:r>
        <w:rPr>
          <w:rFonts w:ascii="Times New Roman" w:cs="Times New Roman" w:eastAsia="Times New Roman" w:hAnsi="Times New Roman"/>
          <w:sz w:val="17"/>
          <w:szCs w:val="17"/>
          <w:b w:val="1"/>
          <w:bCs w:val="1"/>
          <w:i w:val="1"/>
          <w:iCs w:val="1"/>
          <w:color w:val="181717"/>
        </w:rPr>
        <w:t>Cayman Islands</w:t>
      </w:r>
    </w:p>
    <w:p>
      <w:pPr>
        <w:spacing w:after="0" w:line="1" w:lineRule="exact"/>
        <w:rPr>
          <w:rFonts w:ascii="Times New Roman" w:cs="Times New Roman" w:eastAsia="Times New Roman" w:hAnsi="Times New Roman"/>
          <w:sz w:val="17"/>
          <w:szCs w:val="17"/>
          <w:b w:val="1"/>
          <w:bCs w:val="1"/>
          <w:color w:val="181717"/>
        </w:rPr>
      </w:pPr>
    </w:p>
    <w:p>
      <w:pPr>
        <w:ind w:left="760" w:right="480"/>
        <w:spacing w:after="0" w:line="282" w:lineRule="auto"/>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color w:val="181717"/>
        </w:rPr>
        <w:t>Under current law of Cayman Islands, the Company is not subject to income or capital gains taxes. In addition, dividends payments are not subject to tax withholding in the Cayman Islands.</w:t>
      </w:r>
    </w:p>
    <w:p>
      <w:pPr>
        <w:spacing w:after="0" w:line="157" w:lineRule="exact"/>
        <w:rPr>
          <w:rFonts w:ascii="Times New Roman" w:cs="Times New Roman" w:eastAsia="Times New Roman" w:hAnsi="Times New Roman"/>
          <w:sz w:val="17"/>
          <w:szCs w:val="17"/>
          <w:b w:val="1"/>
          <w:bCs w:val="1"/>
          <w:color w:val="181717"/>
        </w:rPr>
      </w:pPr>
    </w:p>
    <w:p>
      <w:pPr>
        <w:ind w:left="760"/>
        <w:spacing w:after="0"/>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b w:val="1"/>
          <w:bCs w:val="1"/>
          <w:i w:val="1"/>
          <w:iCs w:val="1"/>
          <w:color w:val="181717"/>
        </w:rPr>
        <w:t>Singapore</w:t>
      </w:r>
    </w:p>
    <w:p>
      <w:pPr>
        <w:spacing w:after="0" w:line="229" w:lineRule="exact"/>
        <w:rPr>
          <w:rFonts w:ascii="Times New Roman" w:cs="Times New Roman" w:eastAsia="Times New Roman" w:hAnsi="Times New Roman"/>
          <w:sz w:val="17"/>
          <w:szCs w:val="17"/>
          <w:b w:val="1"/>
          <w:bCs w:val="1"/>
          <w:color w:val="181717"/>
        </w:rPr>
      </w:pPr>
    </w:p>
    <w:p>
      <w:pPr>
        <w:jc w:val="both"/>
        <w:ind w:left="760" w:right="20"/>
        <w:spacing w:after="0" w:line="261" w:lineRule="auto"/>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color w:val="181717"/>
        </w:rPr>
        <w:t>The Company's subsidiaries, Sunlands Online Education Singapore Pte.Ltd is incorporated in Singapore and are subject to Singapore Profits Tax on the taxable income as reported in its statutory financial statements adjusted in accordance with relevant Singapore tax laws. The profits earned by Singapore entities will be taxed at 17%, with 75% of the first SGD$10,000 taxable income and 50% of the next SGD$190,000 taxable income are exempted from income tax.</w:t>
      </w:r>
    </w:p>
    <w:p>
      <w:pPr>
        <w:spacing w:after="0" w:line="175" w:lineRule="exact"/>
        <w:rPr>
          <w:rFonts w:ascii="Times New Roman" w:cs="Times New Roman" w:eastAsia="Times New Roman" w:hAnsi="Times New Roman"/>
          <w:sz w:val="17"/>
          <w:szCs w:val="17"/>
          <w:b w:val="1"/>
          <w:bCs w:val="1"/>
          <w:color w:val="181717"/>
        </w:rPr>
      </w:pPr>
    </w:p>
    <w:p>
      <w:pPr>
        <w:ind w:left="760"/>
        <w:spacing w:after="0"/>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b w:val="1"/>
          <w:bCs w:val="1"/>
          <w:i w:val="1"/>
          <w:iCs w:val="1"/>
          <w:color w:val="181717"/>
        </w:rPr>
        <w:t>Hong Kong</w:t>
      </w:r>
    </w:p>
    <w:p>
      <w:pPr>
        <w:spacing w:after="0" w:line="256" w:lineRule="exact"/>
        <w:rPr>
          <w:rFonts w:ascii="Times New Roman" w:cs="Times New Roman" w:eastAsia="Times New Roman" w:hAnsi="Times New Roman"/>
          <w:sz w:val="17"/>
          <w:szCs w:val="17"/>
          <w:b w:val="1"/>
          <w:bCs w:val="1"/>
          <w:color w:val="181717"/>
        </w:rPr>
      </w:pPr>
    </w:p>
    <w:p>
      <w:pPr>
        <w:ind w:left="760"/>
        <w:spacing w:after="0" w:line="256" w:lineRule="auto"/>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color w:val="181717"/>
        </w:rPr>
        <w:t>The Company’s subsidiaries, Sunlands HK and FireSky Investment HK Limited are located in Hong Kong and are subject to a two-tiered income tax rate for taxable income earned in Hong Kong with effect from April 1, 2018. The first HK$2 million of profits earned by HK entity will be taxed at 8.25%, while the remaining profits will continue to be taxed at the existing 16.5% tax rate. In addition, to avoid abuse of the two-tiered income tax rate regime, each group of connected entities can nominate only one entity to benefit from the two-tiered income tax rate. No provision for Hong Kong profits tax has been made in the consolidated financial statements as it has no assessable income for the years ended December 31, 2023, 2024 and 2025.</w:t>
      </w:r>
    </w:p>
    <w:p>
      <w:pPr>
        <w:spacing w:after="0" w:line="210" w:lineRule="exact"/>
        <w:rPr>
          <w:rFonts w:ascii="Times New Roman" w:cs="Times New Roman" w:eastAsia="Times New Roman" w:hAnsi="Times New Roman"/>
          <w:sz w:val="17"/>
          <w:szCs w:val="17"/>
          <w:b w:val="1"/>
          <w:bCs w:val="1"/>
          <w:color w:val="181717"/>
        </w:rPr>
      </w:pPr>
    </w:p>
    <w:p>
      <w:pPr>
        <w:ind w:left="760"/>
        <w:spacing w:after="0"/>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b w:val="1"/>
          <w:bCs w:val="1"/>
          <w:i w:val="1"/>
          <w:iCs w:val="1"/>
          <w:color w:val="181717"/>
        </w:rPr>
        <w:t>China</w:t>
      </w:r>
    </w:p>
    <w:p>
      <w:pPr>
        <w:spacing w:after="0" w:line="229" w:lineRule="exact"/>
        <w:rPr>
          <w:rFonts w:ascii="Times New Roman" w:cs="Times New Roman" w:eastAsia="Times New Roman" w:hAnsi="Times New Roman"/>
          <w:sz w:val="17"/>
          <w:szCs w:val="17"/>
          <w:b w:val="1"/>
          <w:bCs w:val="1"/>
          <w:color w:val="181717"/>
        </w:rPr>
      </w:pPr>
    </w:p>
    <w:p>
      <w:pPr>
        <w:ind w:left="760"/>
        <w:spacing w:after="0"/>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color w:val="181717"/>
        </w:rPr>
        <w:t>The Group’s subsidiaries, VIEs and VIEs’ subsidiaries incorporated in the PRC are generally subject to a corporate income tax rate of 25%.</w:t>
      </w:r>
    </w:p>
    <w:p>
      <w:pPr>
        <w:spacing w:after="0" w:line="225" w:lineRule="exact"/>
        <w:rPr>
          <w:rFonts w:ascii="Times New Roman" w:cs="Times New Roman" w:eastAsia="Times New Roman" w:hAnsi="Times New Roman"/>
          <w:sz w:val="17"/>
          <w:szCs w:val="17"/>
          <w:b w:val="1"/>
          <w:bCs w:val="1"/>
          <w:color w:val="181717"/>
        </w:rPr>
      </w:pPr>
    </w:p>
    <w:p>
      <w:pPr>
        <w:ind w:left="760" w:right="120"/>
        <w:spacing w:after="0" w:line="282" w:lineRule="auto"/>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color w:val="181717"/>
        </w:rPr>
        <w:t>The Enterprise Income Tax Law (the “EIT Law”) of the PRC, effective since January 1, 2008, applies a uniform 25% enterprise income tax rate to all resident enterprises in China, including foreign invested enterprises.</w:t>
      </w:r>
    </w:p>
    <w:p>
      <w:pPr>
        <w:spacing w:after="0" w:line="161" w:lineRule="exact"/>
        <w:rPr>
          <w:rFonts w:ascii="Times New Roman" w:cs="Times New Roman" w:eastAsia="Times New Roman" w:hAnsi="Times New Roman"/>
          <w:sz w:val="17"/>
          <w:szCs w:val="17"/>
          <w:b w:val="1"/>
          <w:bCs w:val="1"/>
          <w:color w:val="181717"/>
        </w:rPr>
      </w:pPr>
    </w:p>
    <w:p>
      <w:pPr>
        <w:ind w:left="760" w:right="200"/>
        <w:spacing w:after="0" w:line="266" w:lineRule="auto"/>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color w:val="181717"/>
        </w:rPr>
        <w:t>The local tax bureau in Guangdong exempted 40% of the EIT based on the statutory tax rate of 25% for the enterprises located in certain autonomous regions from 2018 to 2035. Therefore, Qingyuan Qisi Information Technology Consulting Co., Ltd. ("Qingyuan Qisi"), located in the region, enjoyed a preferential income tax rate of 15% in 2025 and will enjoy a rate of 15% from 2026 to 2035.</w:t>
      </w:r>
    </w:p>
    <w:p>
      <w:pPr>
        <w:spacing w:after="0" w:line="175" w:lineRule="exact"/>
        <w:rPr>
          <w:rFonts w:ascii="Times New Roman" w:cs="Times New Roman" w:eastAsia="Times New Roman" w:hAnsi="Times New Roman"/>
          <w:sz w:val="17"/>
          <w:szCs w:val="17"/>
          <w:b w:val="1"/>
          <w:bCs w:val="1"/>
          <w:color w:val="181717"/>
        </w:rPr>
      </w:pPr>
    </w:p>
    <w:p>
      <w:pPr>
        <w:ind w:left="760"/>
        <w:spacing w:after="0"/>
        <w:rPr>
          <w:rFonts w:ascii="Times New Roman" w:cs="Times New Roman" w:eastAsia="Times New Roman" w:hAnsi="Times New Roman"/>
          <w:sz w:val="17"/>
          <w:szCs w:val="17"/>
          <w:b w:val="1"/>
          <w:bCs w:val="1"/>
          <w:color w:val="181717"/>
        </w:rPr>
      </w:pPr>
      <w:r>
        <w:rPr>
          <w:rFonts w:ascii="Times New Roman" w:cs="Times New Roman" w:eastAsia="Times New Roman" w:hAnsi="Times New Roman"/>
          <w:sz w:val="18"/>
          <w:szCs w:val="18"/>
          <w:color w:val="181717"/>
        </w:rPr>
        <w:t>The reconciliation of the effective tax rate and the statutory income tax rate applicable to PRC operations was as follows:</w:t>
      </w:r>
    </w:p>
    <w:p>
      <w:pPr>
        <w:spacing w:after="0" w:line="2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gridSpan w:val="2"/>
          </w:tcPr>
          <w:p>
            <w:pPr>
              <w:spacing w:after="0"/>
              <w:rPr>
                <w:sz w:val="18"/>
                <w:szCs w:val="18"/>
                <w:color w:val="auto"/>
              </w:rPr>
            </w:pPr>
          </w:p>
        </w:tc>
        <w:tc>
          <w:tcPr>
            <w:tcW w:w="152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3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5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RMB</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 expenses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676,081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356,894</w:t>
            </w:r>
          </w:p>
        </w:tc>
        <w:tc>
          <w:tcPr>
            <w:tcW w:w="100" w:type="dxa"/>
            <w:vAlign w:val="bottom"/>
            <w:shd w:val="clear" w:color="auto" w:fill="CFF0FC"/>
          </w:tcPr>
          <w:p>
            <w:pPr>
              <w:spacing w:after="0"/>
              <w:rPr>
                <w:sz w:val="18"/>
                <w:szCs w:val="18"/>
                <w:color w:val="auto"/>
              </w:rPr>
            </w:pPr>
          </w:p>
        </w:tc>
      </w:tr>
      <w:tr>
        <w:trPr>
          <w:trHeight w:val="198"/>
        </w:trPr>
        <w:tc>
          <w:tcPr>
            <w:tcW w:w="800" w:type="dxa"/>
            <w:vAlign w:val="bottom"/>
          </w:tcPr>
          <w:p>
            <w:pPr>
              <w:spacing w:after="0"/>
              <w:rPr>
                <w:sz w:val="17"/>
                <w:szCs w:val="17"/>
                <w:color w:val="auto"/>
              </w:rPr>
            </w:pPr>
          </w:p>
        </w:tc>
        <w:tc>
          <w:tcPr>
            <w:tcW w:w="6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expenses computed at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 w:type="dxa"/>
            <w:vAlign w:val="bottom"/>
          </w:tcPr>
          <w:p>
            <w:pPr>
              <w:spacing w:after="0"/>
              <w:rPr>
                <w:sz w:val="20"/>
                <w:szCs w:val="20"/>
                <w:color w:val="auto"/>
              </w:rPr>
            </w:pPr>
          </w:p>
        </w:tc>
        <w:tc>
          <w:tcPr>
            <w:tcW w:w="6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applicable tax rates of 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89,224</w:t>
            </w:r>
          </w:p>
        </w:tc>
        <w:tc>
          <w:tcPr>
            <w:tcW w:w="100" w:type="dxa"/>
            <w:vAlign w:val="bottom"/>
          </w:tcPr>
          <w:p>
            <w:pPr>
              <w:spacing w:after="0"/>
              <w:rPr>
                <w:sz w:val="20"/>
                <w:szCs w:val="20"/>
                <w:color w:val="auto"/>
              </w:rPr>
            </w:pPr>
          </w:p>
        </w:tc>
      </w:tr>
      <w:tr>
        <w:trPr>
          <w:trHeight w:val="216"/>
        </w:trPr>
        <w:tc>
          <w:tcPr>
            <w:tcW w:w="800" w:type="dxa"/>
            <w:vAlign w:val="bottom"/>
          </w:tcPr>
          <w:p>
            <w:pPr>
              <w:spacing w:after="0"/>
              <w:rPr>
                <w:sz w:val="18"/>
                <w:szCs w:val="18"/>
                <w:color w:val="auto"/>
              </w:rPr>
            </w:pPr>
          </w:p>
        </w:tc>
        <w:tc>
          <w:tcPr>
            <w:tcW w:w="6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and super deduction expenses</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(18,314)</w:t>
            </w:r>
          </w:p>
        </w:tc>
        <w:tc>
          <w:tcPr>
            <w:tcW w:w="160" w:type="dxa"/>
            <w:vAlign w:val="bottom"/>
            <w:shd w:val="clear" w:color="auto" w:fill="CFF0FC"/>
          </w:tcPr>
          <w:p>
            <w:pPr>
              <w:spacing w:after="0"/>
              <w:rPr>
                <w:sz w:val="18"/>
                <w:szCs w:val="18"/>
                <w:color w:val="auto"/>
              </w:rPr>
            </w:pPr>
          </w:p>
        </w:tc>
        <w:tc>
          <w:tcPr>
            <w:tcW w:w="2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(4,054)</w:t>
            </w:r>
          </w:p>
        </w:tc>
      </w:tr>
      <w:tr>
        <w:trPr>
          <w:trHeight w:val="216"/>
        </w:trPr>
        <w:tc>
          <w:tcPr>
            <w:tcW w:w="80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tax holidays and tax rate difference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(126,795)</w:t>
            </w:r>
          </w:p>
        </w:tc>
        <w:tc>
          <w:tcPr>
            <w:tcW w:w="160" w:type="dxa"/>
            <w:vAlign w:val="bottom"/>
            <w:shd w:val="clear" w:color="auto" w:fill="CFF0FC"/>
          </w:tcPr>
          <w:p>
            <w:pPr>
              <w:spacing w:after="0"/>
              <w:rPr>
                <w:sz w:val="18"/>
                <w:szCs w:val="18"/>
                <w:color w:val="auto"/>
              </w:rPr>
            </w:pPr>
          </w:p>
        </w:tc>
        <w:tc>
          <w:tcPr>
            <w:tcW w:w="2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(96,220)</w:t>
            </w:r>
          </w:p>
        </w:tc>
      </w:tr>
      <w:tr>
        <w:trPr>
          <w:trHeight w:val="209"/>
        </w:trPr>
        <w:tc>
          <w:tcPr>
            <w:tcW w:w="800" w:type="dxa"/>
            <w:vAlign w:val="bottom"/>
          </w:tcPr>
          <w:p>
            <w:pPr>
              <w:spacing w:after="0"/>
              <w:rPr>
                <w:sz w:val="18"/>
                <w:szCs w:val="18"/>
                <w:color w:val="auto"/>
              </w:rPr>
            </w:pPr>
          </w:p>
        </w:tc>
        <w:tc>
          <w:tcPr>
            <w:tcW w:w="5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5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25,166</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top w:val="single" w:sz="8" w:color="CFF0FC"/>
            </w:tcBorders>
          </w:tcPr>
          <w:p>
            <w:pPr>
              <w:spacing w:after="0"/>
              <w:rPr>
                <w:sz w:val="18"/>
                <w:szCs w:val="18"/>
                <w:color w:val="auto"/>
              </w:rPr>
            </w:pPr>
          </w:p>
        </w:tc>
      </w:tr>
      <w:tr>
        <w:trPr>
          <w:trHeight w:val="544"/>
        </w:trPr>
        <w:tc>
          <w:tcPr>
            <w:tcW w:w="800" w:type="dxa"/>
            <w:vAlign w:val="bottom"/>
          </w:tcPr>
          <w:p>
            <w:pPr>
              <w:spacing w:after="0"/>
              <w:rPr>
                <w:sz w:val="24"/>
                <w:szCs w:val="24"/>
                <w:color w:val="auto"/>
              </w:rPr>
            </w:pPr>
          </w:p>
        </w:tc>
        <w:tc>
          <w:tcPr>
            <w:tcW w:w="6960" w:type="dxa"/>
            <w:vAlign w:val="bottom"/>
            <w:gridSpan w:val="2"/>
          </w:tcPr>
          <w:p>
            <w:pPr>
              <w:ind w:left="4700"/>
              <w:spacing w:after="0"/>
              <w:rPr>
                <w:sz w:val="20"/>
                <w:szCs w:val="20"/>
                <w:color w:val="auto"/>
              </w:rPr>
            </w:pPr>
            <w:r>
              <w:rPr>
                <w:rFonts w:ascii="Times New Roman" w:cs="Times New Roman" w:eastAsia="Times New Roman" w:hAnsi="Times New Roman"/>
                <w:sz w:val="13"/>
                <w:szCs w:val="13"/>
                <w:color w:val="auto"/>
              </w:rPr>
              <w:t>F-33</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2"/>
        </w:trPr>
        <w:tc>
          <w:tcPr>
            <w:tcW w:w="80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-993775</wp:posOffset>
            </wp:positionV>
            <wp:extent cx="685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-993775</wp:posOffset>
            </wp:positionV>
            <wp:extent cx="596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8" w:name="page159"/>
    <w:bookmarkEnd w:id="158"/>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388" w:lineRule="exact"/>
        <w:rPr>
          <w:sz w:val="20"/>
          <w:szCs w:val="20"/>
          <w:color w:val="auto"/>
        </w:rPr>
      </w:pPr>
    </w:p>
    <w:p>
      <w:pPr>
        <w:ind w:left="820" w:right="8220" w:hanging="812"/>
        <w:spacing w:after="0" w:line="503" w:lineRule="auto"/>
        <w:tabs>
          <w:tab w:leader="none" w:pos="766" w:val="left"/>
        </w:tabs>
        <w:numPr>
          <w:ilvl w:val="0"/>
          <w:numId w:val="94"/>
        </w:numPr>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b w:val="1"/>
          <w:bCs w:val="1"/>
          <w:color w:val="181717"/>
        </w:rPr>
        <w:t xml:space="preserve">INCOME TAXES </w:t>
      </w:r>
      <w:r>
        <w:rPr>
          <w:rFonts w:ascii="Times New Roman" w:cs="Times New Roman" w:eastAsia="Times New Roman" w:hAnsi="Times New Roman"/>
          <w:sz w:val="18"/>
          <w:szCs w:val="18"/>
          <w:color w:val="000000"/>
        </w:rPr>
        <w:t>- continued</w:t>
      </w:r>
      <w:r>
        <w:rPr>
          <w:rFonts w:ascii="Times New Roman" w:cs="Times New Roman" w:eastAsia="Times New Roman" w:hAnsi="Times New Roman"/>
          <w:sz w:val="18"/>
          <w:szCs w:val="18"/>
          <w:b w:val="1"/>
          <w:bCs w:val="1"/>
          <w:color w:val="181717"/>
        </w:rPr>
        <w:t xml:space="preserve"> </w:t>
      </w:r>
      <w:r>
        <w:rPr>
          <w:rFonts w:ascii="Times New Roman" w:cs="Times New Roman" w:eastAsia="Times New Roman" w:hAnsi="Times New Roman"/>
          <w:sz w:val="18"/>
          <w:szCs w:val="18"/>
          <w:b w:val="1"/>
          <w:bCs w:val="1"/>
          <w:i w:val="1"/>
          <w:iCs w:val="1"/>
          <w:color w:val="181717"/>
        </w:rPr>
        <w:t xml:space="preserve">China - </w:t>
      </w:r>
      <w:r>
        <w:rPr>
          <w:rFonts w:ascii="Times New Roman" w:cs="Times New Roman" w:eastAsia="Times New Roman" w:hAnsi="Times New Roman"/>
          <w:sz w:val="18"/>
          <w:szCs w:val="18"/>
          <w:i w:val="1"/>
          <w:iCs w:val="1"/>
          <w:color w:val="181717"/>
        </w:rPr>
        <w:t>continued</w:t>
      </w:r>
    </w:p>
    <w:p>
      <w:pPr>
        <w:ind w:left="760"/>
        <w:spacing w:after="0" w:line="261" w:lineRule="auto"/>
        <w:rPr>
          <w:sz w:val="20"/>
          <w:szCs w:val="20"/>
          <w:color w:val="auto"/>
        </w:rPr>
      </w:pPr>
      <w:r>
        <w:rPr>
          <w:rFonts w:ascii="Times New Roman" w:cs="Times New Roman" w:eastAsia="Times New Roman" w:hAnsi="Times New Roman"/>
          <w:sz w:val="18"/>
          <w:szCs w:val="18"/>
          <w:color w:val="181717"/>
        </w:rPr>
        <w:t>For the year ended December 31, 2025, the Group generated income of RMB417,123 from its Chinese mainland operations and RMB12,335 from its non-Chinese mainland operations, resulting in a total income before tax of RMB429,458. Total income tax expenses amounted to RMB59,297, comprising current tax expenses of RMB51,736 and deferred tax expenses of RMB7,561, were allocated as RMB51,810 in Chinese mainland and RMB7,487 in jurisdictions outside Chinese mainland.</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660" w:type="dxa"/>
            <w:vAlign w:val="bottom"/>
            <w:gridSpan w:val="5"/>
          </w:tcPr>
          <w:p>
            <w:pPr>
              <w:ind w:left="1140"/>
              <w:spacing w:after="0"/>
              <w:rPr>
                <w:sz w:val="20"/>
                <w:szCs w:val="20"/>
                <w:color w:val="auto"/>
              </w:rPr>
            </w:pPr>
            <w:r>
              <w:rPr>
                <w:rFonts w:ascii="Times New Roman" w:cs="Times New Roman" w:eastAsia="Times New Roman" w:hAnsi="Times New Roman"/>
                <w:sz w:val="18"/>
                <w:szCs w:val="18"/>
                <w:color w:val="auto"/>
              </w:rPr>
              <w:t>Years ended December 31,</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4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Percent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3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RMB</w:t>
            </w: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expenses computed at applicable tax rates of 25%</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107,365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Foreign tax effect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Cayman</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Statutory tax rate difference between PRC and other jurisdictions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 of changes in tax laws or rates enacted in the current year</w:t>
            </w:r>
          </w:p>
        </w:tc>
        <w:tc>
          <w:tcPr>
            <w:tcW w:w="2340" w:type="dxa"/>
            <w:vAlign w:val="bottom"/>
            <w:gridSpan w:val="4"/>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 in valuation allowance</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(59,357)</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Non-taxable income</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expense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tax holidays in PRC</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PRC withholding taxes</w:t>
            </w:r>
          </w:p>
        </w:tc>
        <w:tc>
          <w:tcPr>
            <w:tcW w:w="13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expenses</w:t>
            </w:r>
          </w:p>
        </w:tc>
        <w:tc>
          <w:tcPr>
            <w:tcW w:w="1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59,297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-153670</wp:posOffset>
            </wp:positionV>
            <wp:extent cx="6032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-153670</wp:posOffset>
            </wp:positionV>
            <wp:extent cx="12890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8" w:lineRule="exact"/>
        <w:rPr>
          <w:sz w:val="20"/>
          <w:szCs w:val="20"/>
          <w:color w:val="auto"/>
        </w:rPr>
      </w:pPr>
    </w:p>
    <w:p>
      <w:pPr>
        <w:ind w:left="760" w:right="100"/>
        <w:spacing w:after="0" w:line="261" w:lineRule="auto"/>
        <w:rPr>
          <w:sz w:val="20"/>
          <w:szCs w:val="20"/>
          <w:color w:val="auto"/>
        </w:rPr>
      </w:pPr>
      <w:r>
        <w:rPr>
          <w:rFonts w:ascii="Times New Roman" w:cs="Times New Roman" w:eastAsia="Times New Roman" w:hAnsi="Times New Roman"/>
          <w:sz w:val="18"/>
          <w:szCs w:val="18"/>
          <w:color w:val="181717"/>
        </w:rPr>
        <w:t>If the tax holidays were not available, the Group’s income tax expenses would have been RMB21,967 and RMB61,607 for the years ended December 31, 2023 and 2025, respectively and would have changed to income tax benefit of RMB5,938 for the year ended December 31, 2024. The basic and diluted net income per ordinary share attributable to the Group would have been RMB93.34 and RMB51.18 and RMB53.93, respectively, for the years ended December 31, 2023, 2024 and 2025.</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9" w:name="page160"/>
    <w:bookmarkEnd w:id="159"/>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388" w:lineRule="exact"/>
        <w:rPr>
          <w:sz w:val="20"/>
          <w:szCs w:val="20"/>
          <w:color w:val="auto"/>
        </w:rPr>
      </w:pPr>
    </w:p>
    <w:p>
      <w:pPr>
        <w:ind w:left="820" w:right="8220" w:hanging="812"/>
        <w:spacing w:after="0" w:line="518" w:lineRule="auto"/>
        <w:tabs>
          <w:tab w:leader="none" w:pos="766" w:val="left"/>
        </w:tabs>
        <w:numPr>
          <w:ilvl w:val="0"/>
          <w:numId w:val="95"/>
        </w:numPr>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b w:val="1"/>
          <w:bCs w:val="1"/>
          <w:color w:val="181717"/>
        </w:rPr>
        <w:t xml:space="preserve">INCOME TAXES </w:t>
      </w:r>
      <w:r>
        <w:rPr>
          <w:rFonts w:ascii="Times New Roman" w:cs="Times New Roman" w:eastAsia="Times New Roman" w:hAnsi="Times New Roman"/>
          <w:sz w:val="18"/>
          <w:szCs w:val="18"/>
          <w:color w:val="000000"/>
        </w:rPr>
        <w:t>- continued</w:t>
      </w:r>
      <w:r>
        <w:rPr>
          <w:rFonts w:ascii="Times New Roman" w:cs="Times New Roman" w:eastAsia="Times New Roman" w:hAnsi="Times New Roman"/>
          <w:sz w:val="18"/>
          <w:szCs w:val="18"/>
          <w:b w:val="1"/>
          <w:bCs w:val="1"/>
          <w:color w:val="181717"/>
        </w:rPr>
        <w:t xml:space="preserve"> </w:t>
      </w:r>
      <w:r>
        <w:rPr>
          <w:rFonts w:ascii="Times New Roman" w:cs="Times New Roman" w:eastAsia="Times New Roman" w:hAnsi="Times New Roman"/>
          <w:sz w:val="18"/>
          <w:szCs w:val="18"/>
          <w:b w:val="1"/>
          <w:bCs w:val="1"/>
          <w:i w:val="1"/>
          <w:iCs w:val="1"/>
          <w:color w:val="181717"/>
        </w:rPr>
        <w:t xml:space="preserve">China - </w:t>
      </w:r>
      <w:r>
        <w:rPr>
          <w:rFonts w:ascii="Times New Roman" w:cs="Times New Roman" w:eastAsia="Times New Roman" w:hAnsi="Times New Roman"/>
          <w:sz w:val="18"/>
          <w:szCs w:val="18"/>
          <w:i w:val="1"/>
          <w:iCs w:val="1"/>
          <w:color w:val="181717"/>
        </w:rPr>
        <w:t>continued</w:t>
      </w:r>
    </w:p>
    <w:p>
      <w:pPr>
        <w:spacing w:after="0" w:line="2" w:lineRule="exact"/>
        <w:rPr>
          <w:sz w:val="20"/>
          <w:szCs w:val="20"/>
          <w:color w:val="auto"/>
        </w:rPr>
      </w:pPr>
    </w:p>
    <w:p>
      <w:pPr>
        <w:ind w:left="760" w:right="520"/>
        <w:spacing w:after="0" w:line="282" w:lineRule="auto"/>
        <w:rPr>
          <w:sz w:val="20"/>
          <w:szCs w:val="20"/>
          <w:color w:val="auto"/>
        </w:rPr>
      </w:pPr>
      <w:r>
        <w:rPr>
          <w:rFonts w:ascii="Times New Roman" w:cs="Times New Roman" w:eastAsia="Times New Roman" w:hAnsi="Times New Roman"/>
          <w:sz w:val="18"/>
          <w:szCs w:val="18"/>
          <w:color w:val="181717"/>
        </w:rPr>
        <w:t>Deferred taxes reflect the tax effects of temporary differences between the carrying amounts of assets and liabilities for financial reporting purposes and the amounts used for income tax purposes. The components of deferred taxes are as follows:</w:t>
      </w:r>
    </w:p>
    <w:p>
      <w:pPr>
        <w:spacing w:after="0" w:line="18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27"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5300" w:type="dxa"/>
            <w:vAlign w:val="bottom"/>
            <w:gridSpan w:val="2"/>
          </w:tcPr>
          <w:p>
            <w:pPr>
              <w:spacing w:after="0"/>
              <w:rPr>
                <w:sz w:val="18"/>
                <w:szCs w:val="18"/>
                <w:color w:val="auto"/>
              </w:rPr>
            </w:pPr>
          </w:p>
        </w:tc>
        <w:tc>
          <w:tcPr>
            <w:tcW w:w="15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2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5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RMB</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2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24,699</w:t>
            </w:r>
          </w:p>
        </w:tc>
        <w:tc>
          <w:tcPr>
            <w:tcW w:w="220" w:type="dxa"/>
            <w:vAlign w:val="bottom"/>
            <w:shd w:val="clear" w:color="auto" w:fill="CFF0FC"/>
          </w:tcPr>
          <w:p>
            <w:pPr>
              <w:spacing w:after="0"/>
              <w:rPr>
                <w:sz w:val="18"/>
                <w:szCs w:val="18"/>
                <w:color w:val="auto"/>
              </w:rPr>
            </w:pP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389,550</w:t>
            </w:r>
          </w:p>
        </w:tc>
        <w:tc>
          <w:tcPr>
            <w:tcW w:w="220" w:type="dxa"/>
            <w:vAlign w:val="bottom"/>
          </w:tcPr>
          <w:p>
            <w:pPr>
              <w:spacing w:after="0"/>
              <w:rPr>
                <w:sz w:val="18"/>
                <w:szCs w:val="18"/>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443,723</w:t>
            </w:r>
          </w:p>
        </w:tc>
        <w:tc>
          <w:tcPr>
            <w:tcW w:w="220" w:type="dxa"/>
            <w:vAlign w:val="bottom"/>
            <w:shd w:val="clear" w:color="auto" w:fill="CFF0FC"/>
          </w:tcPr>
          <w:p>
            <w:pPr>
              <w:spacing w:after="0"/>
              <w:rPr>
                <w:sz w:val="18"/>
                <w:szCs w:val="18"/>
                <w:color w:val="auto"/>
              </w:rPr>
            </w:pP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5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(419,024)</w:t>
            </w:r>
          </w:p>
        </w:tc>
        <w:tc>
          <w:tcPr>
            <w:tcW w:w="2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(349,785)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56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24,699</w:t>
            </w:r>
          </w:p>
        </w:tc>
        <w:tc>
          <w:tcPr>
            <w:tcW w:w="220" w:type="dxa"/>
            <w:vAlign w:val="bottom"/>
            <w:tcBorders>
              <w:bottom w:val="single" w:sz="8" w:color="CFF0FC"/>
            </w:tcBorders>
            <w:shd w:val="clear" w:color="auto" w:fill="CFF0FC"/>
          </w:tcPr>
          <w:p>
            <w:pPr>
              <w:spacing w:after="0"/>
              <w:rPr>
                <w:sz w:val="18"/>
                <w:szCs w:val="18"/>
                <w:color w:val="auto"/>
              </w:rPr>
            </w:pPr>
          </w:p>
        </w:tc>
        <w:tc>
          <w:tcPr>
            <w:tcW w:w="2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costs</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(2,029)</w:t>
            </w:r>
          </w:p>
        </w:tc>
        <w:tc>
          <w:tcPr>
            <w:tcW w:w="2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Withholding tax on undistributed earnings</w:t>
            </w:r>
          </w:p>
        </w:tc>
        <w:tc>
          <w:tcPr>
            <w:tcW w:w="15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(3,695)</w:t>
            </w:r>
          </w:p>
        </w:tc>
        <w:tc>
          <w:tcPr>
            <w:tcW w:w="2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5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(5,724)</w:t>
            </w:r>
          </w:p>
        </w:tc>
        <w:tc>
          <w:tcPr>
            <w:tcW w:w="2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-574040</wp:posOffset>
            </wp:positionV>
            <wp:extent cx="6032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-574040</wp:posOffset>
            </wp:positionV>
            <wp:extent cx="596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032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ind w:left="760" w:right="160"/>
        <w:spacing w:after="0" w:line="282" w:lineRule="auto"/>
        <w:rPr>
          <w:sz w:val="20"/>
          <w:szCs w:val="20"/>
          <w:color w:val="auto"/>
        </w:rPr>
      </w:pPr>
      <w:r>
        <w:rPr>
          <w:rFonts w:ascii="Times New Roman" w:cs="Times New Roman" w:eastAsia="Times New Roman" w:hAnsi="Times New Roman"/>
          <w:sz w:val="18"/>
          <w:szCs w:val="18"/>
          <w:color w:val="181717"/>
        </w:rPr>
        <w:t>As of December 31, 2025, the Company’ subsidiaries, the VIEs and VIEs’ subsidiaries registered in the PRC have total net operating loss carry forwards of RMB1,377,602, which would expire on various dates through December 31, 2026 to December 31, 2030.</w:t>
      </w:r>
    </w:p>
    <w:p>
      <w:pPr>
        <w:spacing w:after="0" w:line="162" w:lineRule="exact"/>
        <w:rPr>
          <w:sz w:val="20"/>
          <w:szCs w:val="20"/>
          <w:color w:val="auto"/>
        </w:rPr>
      </w:pPr>
    </w:p>
    <w:p>
      <w:pPr>
        <w:ind w:left="760" w:right="80"/>
        <w:spacing w:after="0" w:line="256" w:lineRule="auto"/>
        <w:rPr>
          <w:sz w:val="20"/>
          <w:szCs w:val="20"/>
          <w:color w:val="auto"/>
        </w:rPr>
      </w:pPr>
      <w:r>
        <w:rPr>
          <w:rFonts w:ascii="Times New Roman" w:cs="Times New Roman" w:eastAsia="Times New Roman" w:hAnsi="Times New Roman"/>
          <w:sz w:val="18"/>
          <w:szCs w:val="18"/>
          <w:color w:val="181717"/>
        </w:rPr>
        <w:t>The authoritative guidance requires that the Group recognizes the impact of a tax position in the financial statements if that position is more likely than not of being sustained upon audit by the tax authority, based on the technical merits of the position. Under PRC laws and regulations, arrangements and transactions among related parties may be subject to examination by the PRC tax authorities. If the PRC tax authorities determine that the contractual arrangements among related companies do not represent a price under normal commercial terms, they may make adjustments to the companies’ income and expenses. A transfer pricing adjustment could result in additional tax liabilities. The Group did not have any significant unrecognized uncertain tax positions as of and for the years ended December 31, 2023, 2024 and 2025.</w:t>
      </w:r>
    </w:p>
    <w:p>
      <w:pPr>
        <w:spacing w:after="0" w:line="214" w:lineRule="exact"/>
        <w:rPr>
          <w:sz w:val="20"/>
          <w:szCs w:val="20"/>
          <w:color w:val="auto"/>
        </w:rPr>
      </w:pPr>
    </w:p>
    <w:p>
      <w:pPr>
        <w:ind w:left="760" w:right="120"/>
        <w:spacing w:after="0" w:line="254" w:lineRule="auto"/>
        <w:rPr>
          <w:sz w:val="20"/>
          <w:szCs w:val="20"/>
          <w:color w:val="auto"/>
        </w:rPr>
      </w:pPr>
      <w:r>
        <w:rPr>
          <w:rFonts w:ascii="Times New Roman" w:cs="Times New Roman" w:eastAsia="Times New Roman" w:hAnsi="Times New Roman"/>
          <w:sz w:val="18"/>
          <w:szCs w:val="18"/>
          <w:color w:val="181717"/>
        </w:rPr>
        <w:t>In addition, uncertainties exist with respect to how the current income tax law in the PRC applies to the Group’s overall operations, and more specifically, with regard to tax residency status. The New EIT Law includes a provision specifying that legal entities organized outside of the PRC will be considered residents for Chinese income tax purposes if the place of effective management or control is within the PRC. The implementation rules to the New EIT Law provide that non-resident legal entities will be considered PRC residents if substantial and overall management and control over the manufacturing and business operations, personnel, accounting and properties, occurs within the PRC. Despite the present uncertainties resulting from the limited PRC tax guidance on the issue, the Group does not believe that the legal entities organized outside of the PRC within the Group should be treated as residents for EIT law purposes. If the PRC tax authorities subsequently determine that the Company and its subsidiaries registered outside the PRC should be deemed resident enterprises, the Company and its subsidiaries registered outside the PRC will be subject to the PRC income taxes, at a rate of 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0" w:name="page161"/>
    <w:bookmarkEnd w:id="160"/>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388" w:lineRule="exact"/>
        <w:rPr>
          <w:sz w:val="20"/>
          <w:szCs w:val="20"/>
          <w:color w:val="auto"/>
        </w:rPr>
      </w:pPr>
    </w:p>
    <w:p>
      <w:pPr>
        <w:ind w:left="752" w:hanging="752"/>
        <w:spacing w:after="0"/>
        <w:tabs>
          <w:tab w:leader="none" w:pos="752" w:val="left"/>
        </w:tabs>
        <w:numPr>
          <w:ilvl w:val="0"/>
          <w:numId w:val="96"/>
        </w:numPr>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b w:val="1"/>
          <w:bCs w:val="1"/>
          <w:color w:val="181717"/>
        </w:rPr>
        <w:t xml:space="preserve">INCOME TAXES </w:t>
      </w:r>
      <w:r>
        <w:rPr>
          <w:rFonts w:ascii="Times New Roman" w:cs="Times New Roman" w:eastAsia="Times New Roman" w:hAnsi="Times New Roman"/>
          <w:sz w:val="18"/>
          <w:szCs w:val="18"/>
          <w:color w:val="000000"/>
        </w:rPr>
        <w:t>- continued</w:t>
      </w:r>
    </w:p>
    <w:p>
      <w:pPr>
        <w:spacing w:after="0" w:line="229" w:lineRule="exact"/>
        <w:rPr>
          <w:rFonts w:ascii="Times New Roman" w:cs="Times New Roman" w:eastAsia="Times New Roman" w:hAnsi="Times New Roman"/>
          <w:sz w:val="18"/>
          <w:szCs w:val="18"/>
          <w:b w:val="1"/>
          <w:bCs w:val="1"/>
          <w:color w:val="181717"/>
        </w:rPr>
      </w:pPr>
    </w:p>
    <w:p>
      <w:pPr>
        <w:ind w:left="752" w:right="120"/>
        <w:spacing w:after="0" w:line="254"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181717"/>
        </w:rPr>
        <w:t>The EIT Law also imposes a withholding income tax of 10% on dividends distributed by a Foreign Investment Enterprise (“FIE”) to its immediate holding company outside of the Chinese mainland, if such immediate holding company is considered as a non-resident enterprise without any establishment or place within the Chinese mainland or if the received dividends have no connection with the establishment or place of such immediate holding company within the Chinese mainland, unless such immediate holding company’s jurisdiction of incorporation has a tax treaty with the Chinese mainland that provides for a different withholding arrangement. According to the arrangement between the Chinese mainland and Hong Kong Special Administrative Region on the Avoidance of Double Taxation and Prevention of Fiscal Evasion in August 2006, dividends paid by a FIE in the Chinese mainland to its immediate holding company in Hong Kong will be subject to withholding tax at a rate of no more than 5% (if the FIE satisfies the criteria for “beneficial owner” under Circular No. 9, which was issued by the STA in February 2018, and the foreign investor owns directly at least 25% of the shares of the FIE).</w:t>
      </w:r>
    </w:p>
    <w:p>
      <w:pPr>
        <w:spacing w:after="0" w:line="188" w:lineRule="exact"/>
        <w:rPr>
          <w:rFonts w:ascii="Times New Roman" w:cs="Times New Roman" w:eastAsia="Times New Roman" w:hAnsi="Times New Roman"/>
          <w:sz w:val="18"/>
          <w:szCs w:val="18"/>
          <w:b w:val="1"/>
          <w:bCs w:val="1"/>
          <w:color w:val="181717"/>
        </w:rPr>
      </w:pPr>
    </w:p>
    <w:p>
      <w:pPr>
        <w:jc w:val="both"/>
        <w:ind w:left="752" w:right="200"/>
        <w:spacing w:after="0" w:line="266"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auto"/>
        </w:rPr>
        <w:t>Before 2024, the Group did not record any dividend withholding tax on the retained earnings of its FIEs in the Chinese mainland, as the Group intended to reinvest all earnings from its FIEs in the Chinese mainland to further expand its business in the Chinese mainland, and its FIEs did not intend to declare dividends on the retained earnings to their immediate foreign holding companies.</w:t>
      </w:r>
    </w:p>
    <w:p>
      <w:pPr>
        <w:spacing w:after="0" w:line="175" w:lineRule="exact"/>
        <w:rPr>
          <w:rFonts w:ascii="Times New Roman" w:cs="Times New Roman" w:eastAsia="Times New Roman" w:hAnsi="Times New Roman"/>
          <w:sz w:val="18"/>
          <w:szCs w:val="18"/>
          <w:b w:val="1"/>
          <w:bCs w:val="1"/>
          <w:color w:val="181717"/>
        </w:rPr>
      </w:pPr>
    </w:p>
    <w:p>
      <w:pPr>
        <w:ind w:left="752" w:right="100"/>
        <w:spacing w:after="0" w:line="282"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auto"/>
        </w:rPr>
        <w:t>During the year ended December 31, 2025, Wuhan Zhibo declared cash dividends of RMB38,000 to its sole shareholder, Sunlands HK and paid RMB1,904 withholding tax when the cash dividends were fully paid to its parent company.</w:t>
      </w:r>
    </w:p>
    <w:p>
      <w:pPr>
        <w:spacing w:after="0" w:line="161" w:lineRule="exact"/>
        <w:rPr>
          <w:rFonts w:ascii="Times New Roman" w:cs="Times New Roman" w:eastAsia="Times New Roman" w:hAnsi="Times New Roman"/>
          <w:sz w:val="18"/>
          <w:szCs w:val="18"/>
          <w:b w:val="1"/>
          <w:bCs w:val="1"/>
          <w:color w:val="181717"/>
        </w:rPr>
      </w:pPr>
    </w:p>
    <w:p>
      <w:pPr>
        <w:ind w:left="752"/>
        <w:spacing w:after="0" w:line="261"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auto"/>
        </w:rPr>
        <w:t>For the years ended December 31, 2024 and 2025, the Group accrued RMB3,695 and RMB2,672 withholding tax expenses associated with its earnings expected to be distributed from its FIEs in the Chinese mainland to countries or regions other than the Chinese mainland. As of December 31, 2024 and 2025, the Group had accrued withholding tax liabilities associated with all of its earnings expected to be distributed from its FIEs in the Chinese mainland to countries or regions other than the Chinese mainland.</w:t>
      </w:r>
    </w:p>
    <w:p>
      <w:pPr>
        <w:spacing w:after="0" w:line="36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469900</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769" w:right="339" w:bottom="1440" w:gutter="0" w:footer="0" w:header="0"/>
        </w:sectPr>
      </w:pPr>
    </w:p>
    <w:bookmarkStart w:id="161" w:name="page162"/>
    <w:bookmarkEnd w:id="161"/>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181717"/>
                <w:w w:val="97"/>
              </w:rPr>
              <w:t>19.</w:t>
            </w:r>
          </w:p>
        </w:tc>
        <w:tc>
          <w:tcPr>
            <w:tcW w:w="64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181717"/>
              </w:rPr>
              <w:t>NET INCOME PER SHARE</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As of December 31,</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3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RMB</w:t>
            </w:r>
          </w:p>
        </w:tc>
        <w:tc>
          <w:tcPr>
            <w:tcW w:w="120" w:type="dxa"/>
            <w:vAlign w:val="bottom"/>
          </w:tcPr>
          <w:p>
            <w:pPr>
              <w:spacing w:after="0"/>
              <w:rPr>
                <w:sz w:val="18"/>
                <w:szCs w:val="18"/>
                <w:color w:val="auto"/>
              </w:rPr>
            </w:pPr>
          </w:p>
        </w:tc>
        <w:tc>
          <w:tcPr>
            <w:tcW w:w="12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RMB</w:t>
            </w:r>
          </w:p>
        </w:tc>
        <w:tc>
          <w:tcPr>
            <w:tcW w:w="200" w:type="dxa"/>
            <w:vAlign w:val="bottom"/>
          </w:tcPr>
          <w:p>
            <w:pPr>
              <w:spacing w:after="0"/>
              <w:rPr>
                <w:sz w:val="18"/>
                <w:szCs w:val="18"/>
                <w:color w:val="auto"/>
              </w:rPr>
            </w:pPr>
          </w:p>
        </w:tc>
        <w:tc>
          <w:tcPr>
            <w:tcW w:w="13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3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Sunlands Technology Group</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used in basic and diluted net income per share:</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ordinary shareholders</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640,830</w:t>
            </w:r>
          </w:p>
        </w:tc>
        <w:tc>
          <w:tcPr>
            <w:tcW w:w="15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342,082</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365,631</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ordinary shares outstanding used in computing</w:t>
            </w:r>
          </w:p>
        </w:tc>
        <w:tc>
          <w:tcPr>
            <w:tcW w:w="13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6,899,456</w:t>
            </w:r>
          </w:p>
        </w:tc>
        <w:tc>
          <w:tcPr>
            <w:tcW w:w="156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6,824,824</w:t>
            </w:r>
          </w:p>
        </w:tc>
        <w:tc>
          <w:tcPr>
            <w:tcW w:w="14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6,736,373</w:t>
            </w: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 per share</w:t>
            </w:r>
          </w:p>
        </w:tc>
        <w:tc>
          <w:tcPr>
            <w:tcW w:w="1300" w:type="dxa"/>
            <w:vAlign w:val="bottom"/>
            <w:tcBorders>
              <w:right w:val="single" w:sz="8" w:color="CFF0FC"/>
            </w:tcBorders>
            <w:vMerge w:val="continue"/>
            <w:shd w:val="clear" w:color="auto" w:fill="CFF0FC"/>
          </w:tcPr>
          <w:p>
            <w:pPr>
              <w:spacing w:after="0"/>
              <w:rPr>
                <w:sz w:val="19"/>
                <w:szCs w:val="19"/>
                <w:color w:val="auto"/>
              </w:rPr>
            </w:pPr>
          </w:p>
        </w:tc>
        <w:tc>
          <w:tcPr>
            <w:tcW w:w="1560" w:type="dxa"/>
            <w:vAlign w:val="bottom"/>
            <w:gridSpan w:val="3"/>
            <w:vMerge w:val="continue"/>
            <w:shd w:val="clear" w:color="auto" w:fill="CFF0FC"/>
          </w:tcPr>
          <w:p>
            <w:pPr>
              <w:spacing w:after="0"/>
              <w:rPr>
                <w:sz w:val="19"/>
                <w:szCs w:val="19"/>
                <w:color w:val="auto"/>
              </w:rPr>
            </w:pPr>
          </w:p>
        </w:tc>
        <w:tc>
          <w:tcPr>
            <w:tcW w:w="14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50.12</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54.28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180" w:type="dxa"/>
            <w:vAlign w:val="bottom"/>
            <w:shd w:val="clear" w:color="auto" w:fill="CFF0FC"/>
          </w:tcPr>
          <w:p>
            <w:pPr>
              <w:spacing w:after="0" w:line="20" w:lineRule="exact"/>
              <w:rPr>
                <w:sz w:val="1"/>
                <w:szCs w:val="1"/>
                <w:color w:val="auto"/>
              </w:rPr>
            </w:pPr>
          </w:p>
        </w:tc>
        <w:tc>
          <w:tcPr>
            <w:tcW w:w="13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-702310</wp:posOffset>
            </wp:positionV>
            <wp:extent cx="6032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-702310</wp:posOffset>
            </wp:positionV>
            <wp:extent cx="6032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-290830</wp:posOffset>
            </wp:positionV>
            <wp:extent cx="6032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-290830</wp:posOffset>
            </wp:positionV>
            <wp:extent cx="6032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032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032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31,550, 31,550 and 31,550 share options were not considered in the computation of diluted net income per share for the years ended December</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31, 2023, 2024 and 2025, respectively, as the effect of potential issuances of shares for share options was anti-dilutive.</w:t>
      </w:r>
    </w:p>
    <w:p>
      <w:pPr>
        <w:spacing w:after="0" w:line="203" w:lineRule="exact"/>
        <w:rPr>
          <w:sz w:val="20"/>
          <w:szCs w:val="20"/>
          <w:color w:val="auto"/>
        </w:rPr>
      </w:pPr>
    </w:p>
    <w:p>
      <w:pPr>
        <w:ind w:left="760" w:right="7040" w:hanging="752"/>
        <w:spacing w:after="0" w:line="503" w:lineRule="auto"/>
        <w:tabs>
          <w:tab w:leader="none" w:pos="7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181717"/>
        </w:rPr>
        <w:t>Contingencies</w:t>
      </w: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the Group is subject to legal proceedings and claims incidental to the conduct of its business. The Group accrues the liability when the loss is probable and reasonably estimable.</w:t>
      </w:r>
    </w:p>
    <w:p>
      <w:pPr>
        <w:spacing w:after="0" w:line="158" w:lineRule="exact"/>
        <w:rPr>
          <w:sz w:val="20"/>
          <w:szCs w:val="20"/>
          <w:color w:val="auto"/>
        </w:rPr>
      </w:pPr>
    </w:p>
    <w:p>
      <w:pPr>
        <w:ind w:left="760" w:hanging="752"/>
        <w:spacing w:after="0"/>
        <w:tabs>
          <w:tab w:leader="none" w:pos="7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rFonts w:ascii="Times New Roman" w:cs="Times New Roman" w:eastAsia="Times New Roman" w:hAnsi="Times New Roman"/>
          <w:sz w:val="18"/>
          <w:szCs w:val="18"/>
          <w:b w:val="1"/>
          <w:bCs w:val="1"/>
          <w:color w:val="auto"/>
        </w:rPr>
      </w:pPr>
    </w:p>
    <w:p>
      <w:pPr>
        <w:ind w:left="7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chief operating decision maker (“CODM”) has been identified as the Chief Executive Officer of the Group, who reviews financial information of operating segments when making decisions about allocating resources and assessing performance of the Group. An operating segment is a component of the Group that engages in business activities from which it may earn revenues and incur expenses, and is identified on the basis of the internal financial reports that are provided to and regularly reviewed by the Group’s CODM.</w:t>
      </w:r>
    </w:p>
    <w:p>
      <w:pPr>
        <w:spacing w:after="0" w:line="206" w:lineRule="exact"/>
        <w:rPr>
          <w:rFonts w:ascii="Times New Roman" w:cs="Times New Roman" w:eastAsia="Times New Roman" w:hAnsi="Times New Roman"/>
          <w:sz w:val="18"/>
          <w:szCs w:val="18"/>
          <w:b w:val="1"/>
          <w:bCs w:val="1"/>
          <w:color w:val="auto"/>
        </w:rPr>
      </w:pPr>
    </w:p>
    <w:p>
      <w:pPr>
        <w:ind w:left="760" w:right="1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years ended December 31, 2023, 2024 and 2025, the Group’s CODM managed the Group’s business activities as a single operating and reportable segment at the consolidated level. Accordingly, the Group’s CODM used consolidated net income in the annual budget and forecasting process to measure segment profit or loss, allocated resources and assessed performance. Significant segment expenses were the same as those presented under the cost of revenue and operating expenses in the consolidated statements of operations. Other segment items included in consolidated net income were interest income, interest expense, other income, net and income tax expenses in the accompanying consolidated statements of operations.</w:t>
      </w:r>
    </w:p>
    <w:p>
      <w:pPr>
        <w:spacing w:after="0" w:line="187"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primarily operates in the PRC and the majority of the Group’s long-lived assets are located in the PRC.</w:t>
      </w:r>
    </w:p>
    <w:p>
      <w:pPr>
        <w:spacing w:after="0" w:line="221"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DEFINED CONTRIBUTION PLAN</w:t>
      </w:r>
    </w:p>
    <w:p>
      <w:pPr>
        <w:spacing w:after="0" w:line="256" w:lineRule="exact"/>
        <w:rPr>
          <w:rFonts w:ascii="Times New Roman" w:cs="Times New Roman" w:eastAsia="Times New Roman" w:hAnsi="Times New Roman"/>
          <w:sz w:val="18"/>
          <w:szCs w:val="18"/>
          <w:b w:val="1"/>
          <w:bCs w:val="1"/>
          <w:color w:val="auto"/>
        </w:rPr>
      </w:pPr>
    </w:p>
    <w:p>
      <w:pPr>
        <w:ind w:left="7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Full time employees of the Group in the PRC participate in a government mandated defined contribution plan, pursuant to which certain pension benefits, medical care, employee housing fund and other welfare benefits are provided to employees. Chinese labor regulations require that the PRC subsidiaries of the Group make contributions to the government for these benefits based on certain percentages of the employees’ salaries. The Group has no legal obligation for the benefits beyond the contributions made. The total amounts for such employee benefits, which were expensed as incurred, were RMB90,470, RMB85,184 and RMB80,870, for the years ended December 31, 2023, 2024 and 2025, respectively.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2" w:name="page163"/>
    <w:bookmarkEnd w:id="162"/>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60" w:hanging="752"/>
        <w:spacing w:after="0"/>
        <w:tabs>
          <w:tab w:leader="none" w:pos="7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NET ASSETS</w:t>
      </w:r>
    </w:p>
    <w:p>
      <w:pPr>
        <w:spacing w:after="0" w:line="256" w:lineRule="exact"/>
        <w:rPr>
          <w:rFonts w:ascii="Times New Roman" w:cs="Times New Roman" w:eastAsia="Times New Roman" w:hAnsi="Times New Roman"/>
          <w:sz w:val="18"/>
          <w:szCs w:val="18"/>
          <w:b w:val="1"/>
          <w:bCs w:val="1"/>
          <w:color w:val="auto"/>
        </w:rPr>
      </w:pPr>
    </w:p>
    <w:p>
      <w:pPr>
        <w:ind w:left="7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Relevant PRC statutory laws and regulations permit payments of dividends by the Group’s PRC subsidiaries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Company’s subsidiaries.</w:t>
      </w:r>
    </w:p>
    <w:p>
      <w:pPr>
        <w:spacing w:after="0" w:line="184" w:lineRule="exact"/>
        <w:rPr>
          <w:rFonts w:ascii="Times New Roman" w:cs="Times New Roman" w:eastAsia="Times New Roman" w:hAnsi="Times New Roman"/>
          <w:sz w:val="18"/>
          <w:szCs w:val="18"/>
          <w:b w:val="1"/>
          <w:bCs w:val="1"/>
          <w:color w:val="auto"/>
        </w:rPr>
      </w:pPr>
    </w:p>
    <w:p>
      <w:pPr>
        <w:ind w:left="760"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Regulations on Enterprises with Foreign Investment of China and their articles of association, a foreign invested enterprise established in the PRC is required to provide certain statutory reserves, namely general reserve fund, the enterprise expansion fund and staff welfare and bonus fund which are appropriated from net profit as reported in the enterprise’s PRC statutory accounts, which is included in retained earnings accounts in equity section of the consolidated balance sheets. A wholly-owned foreign invested enterprise is required to allocate at least 10% of its annual after-tax profit to the general reserve until such reserve reaches 50% of its respective registered capital based on the enterprise’s PRC statutory accounts. Appropriations to the enterprise expansion fund and staff welfare and bonus fund are at the discretion of the board of directors for all foreign invested enterprises. The aforementioned reserves can only be used for specific purposes and are not distributable as cash dividends. If any PRC subsidiary incur debt on its own behalf in the future, the instruments governing the debt may restrict their ability to pay dividends or make other payments to the Group. Any limitation on the ability of the PRC subsidiaries to distribute dividends or other payments to their respective shareholders could materially and adversely limit the ability to grow, make investments or acquisitions that could be beneficial to pay dividends.</w:t>
      </w:r>
    </w:p>
    <w:p>
      <w:pPr>
        <w:spacing w:after="0" w:line="218" w:lineRule="exact"/>
        <w:rPr>
          <w:rFonts w:ascii="Times New Roman" w:cs="Times New Roman" w:eastAsia="Times New Roman" w:hAnsi="Times New Roman"/>
          <w:sz w:val="18"/>
          <w:szCs w:val="18"/>
          <w:b w:val="1"/>
          <w:bCs w:val="1"/>
          <w:color w:val="auto"/>
        </w:rPr>
      </w:pPr>
    </w:p>
    <w:p>
      <w:pPr>
        <w:ind w:left="760" w:right="1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in accordance with the Company Law of the PRC, a domestic enterprise is required to provide statutory common reserve at least 10% of its annual after-tax profit until such reserve reaches 50% of its respective registered capital based on the enterprise’s PRC statutory accounts. The Group’s provision for the statutory common reserve is in compliance with the aforementioned requirement of the Company Law. A domestic enterprise is also required to provide for discretionary surplus reserve, at the discretion of the board of directors, from the profits determined in accordance with the enterprise’s PRC statutory accounts. The aforementioned reserves can only be used for specific purposes and are not distributable as cash dividends.</w:t>
      </w:r>
    </w:p>
    <w:p>
      <w:pPr>
        <w:spacing w:after="0" w:line="214" w:lineRule="exact"/>
        <w:rPr>
          <w:rFonts w:ascii="Times New Roman" w:cs="Times New Roman" w:eastAsia="Times New Roman" w:hAnsi="Times New Roman"/>
          <w:sz w:val="18"/>
          <w:szCs w:val="18"/>
          <w:b w:val="1"/>
          <w:bCs w:val="1"/>
          <w:color w:val="auto"/>
        </w:rPr>
      </w:pPr>
    </w:p>
    <w:p>
      <w:pPr>
        <w:ind w:left="760" w:right="6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Because the Group’s entities in the PRC can only be paid out of distributable profits reported in accordance with PRC accounting standards, the Group’s entities in the PRC are restricted from transferring a portion of their net assets to the Company. The restricted amounts include the paid-in capital and statutory reserves of the Group’s entities in the PRC. The aggregate amount of paid-in capital and statutory reserves, which is the amount of net assets of the Group’s entities in the PRC (mainland) not available for distribution, were RMB1,652,022 as of December 31, 2025.</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3" w:name="page164"/>
    <w:bookmarkEnd w:id="163"/>
    <w:p>
      <w:pPr>
        <w:jc w:val="center"/>
        <w:ind w:left="400" w:right="2680"/>
        <w:spacing w:after="0" w:line="266" w:lineRule="auto"/>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2023, 2024 AND 2025 (Amounts in thousands, except for share and per share data, or otherwise noted)</w:t>
      </w:r>
    </w:p>
    <w:p>
      <w:pPr>
        <w:spacing w:after="0" w:line="388" w:lineRule="exact"/>
        <w:rPr>
          <w:sz w:val="20"/>
          <w:szCs w:val="20"/>
          <w:color w:val="auto"/>
        </w:rPr>
      </w:pPr>
    </w:p>
    <w:p>
      <w:pPr>
        <w:ind w:left="752" w:hanging="752"/>
        <w:spacing w:after="0"/>
        <w:tabs>
          <w:tab w:leader="none" w:pos="75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75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23, 2026, the Group entered into an agreement to transfer all of the equity interests in Guangzhou Shangzhi Side Technology Co., Ltd., a subsidiary wholly-owned by the Group, to a third party buyer for total cash consideration of RMB126,000. As of December 31, 2025, the disposed asset group primarily consisted of a building located in Guangzhou and did not meet the criteria to be classified as held for sale and continued to be accounted for as held for use. The Group is currently evaluating the impact of this transaction on its consolidated financial statements.</w:t>
      </w:r>
    </w:p>
    <w:p>
      <w:pPr>
        <w:spacing w:after="0" w:line="157"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769" w:right="39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color w:val="181717"/>
        </w:rPr>
        <w:t>ADDITIONAL INFORMATION—FINANCIAL STATEMENT SCHEDULE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81717"/>
        </w:rPr>
        <w:t>CONDENSED FINANCIAL INFORMATION OF PARENT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81717"/>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81717"/>
        </w:rPr>
        <w:t>(Amounts in thousands, except for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As of December 31,</w:t>
            </w:r>
          </w:p>
        </w:tc>
        <w:tc>
          <w:tcPr>
            <w:tcW w:w="1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6120" w:type="dxa"/>
            <w:vAlign w:val="bottom"/>
          </w:tcPr>
          <w:p>
            <w:pPr>
              <w:spacing w:after="0"/>
              <w:rPr>
                <w:sz w:val="18"/>
                <w:szCs w:val="18"/>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r>
      <w:tr>
        <w:trPr>
          <w:trHeight w:val="209"/>
        </w:trPr>
        <w:tc>
          <w:tcPr>
            <w:tcW w:w="6120" w:type="dxa"/>
            <w:vAlign w:val="bottom"/>
          </w:tcPr>
          <w:p>
            <w:pPr>
              <w:spacing w:after="0"/>
              <w:rPr>
                <w:sz w:val="18"/>
                <w:szCs w:val="18"/>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RMB</w:t>
            </w:r>
          </w:p>
        </w:tc>
        <w:tc>
          <w:tcPr>
            <w:tcW w:w="220" w:type="dxa"/>
            <w:vAlign w:val="bottom"/>
          </w:tcPr>
          <w:p>
            <w:pPr>
              <w:spacing w:after="0"/>
              <w:rPr>
                <w:sz w:val="18"/>
                <w:szCs w:val="18"/>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RMB</w:t>
            </w:r>
          </w:p>
        </w:tc>
        <w:tc>
          <w:tcPr>
            <w:tcW w:w="220" w:type="dxa"/>
            <w:vAlign w:val="bottom"/>
          </w:tcPr>
          <w:p>
            <w:pPr>
              <w:spacing w:after="0"/>
              <w:rPr>
                <w:sz w:val="18"/>
                <w:szCs w:val="18"/>
                <w:color w:val="auto"/>
              </w:rPr>
            </w:pPr>
          </w:p>
        </w:tc>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328,460</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198,933</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120" w:type="dxa"/>
            <w:vAlign w:val="bottom"/>
            <w:shd w:val="clear" w:color="auto" w:fill="CFF0FC"/>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2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348,444</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210,431</w:t>
            </w:r>
          </w:p>
        </w:tc>
        <w:tc>
          <w:tcPr>
            <w:tcW w:w="2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30,091</w:t>
            </w:r>
          </w:p>
        </w:tc>
        <w:tc>
          <w:tcPr>
            <w:tcW w:w="120" w:type="dxa"/>
            <w:vAlign w:val="bottom"/>
          </w:tcPr>
          <w:p>
            <w:pPr>
              <w:spacing w:after="0"/>
              <w:rPr>
                <w:sz w:val="18"/>
                <w:szCs w:val="18"/>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investments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21,641</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Pr>
          <w:p>
            <w:pPr>
              <w:spacing w:after="0"/>
              <w:rPr>
                <w:sz w:val="18"/>
                <w:szCs w:val="18"/>
                <w:color w:val="auto"/>
              </w:rPr>
            </w:pPr>
          </w:p>
        </w:tc>
      </w:tr>
      <w:tr>
        <w:trPr>
          <w:trHeight w:val="216"/>
        </w:trPr>
        <w:tc>
          <w:tcPr>
            <w:tcW w:w="6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20" w:type="dxa"/>
            <w:vAlign w:val="bottom"/>
            <w:shd w:val="clear" w:color="auto" w:fill="CFF0FC"/>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in subsidiaries,VIEs and VIEs’subsidiaries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218,964</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705,268</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100,853</w:t>
            </w:r>
          </w:p>
        </w:tc>
        <w:tc>
          <w:tcPr>
            <w:tcW w:w="12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259,664</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742,936</w:t>
            </w:r>
          </w:p>
        </w:tc>
        <w:tc>
          <w:tcPr>
            <w:tcW w:w="2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106,240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608,108</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953,367</w:t>
            </w:r>
          </w:p>
        </w:tc>
        <w:tc>
          <w:tcPr>
            <w:tcW w:w="2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136,331</w:t>
            </w:r>
          </w:p>
        </w:tc>
        <w:tc>
          <w:tcPr>
            <w:tcW w:w="120" w:type="dxa"/>
            <w:vAlign w:val="bottom"/>
          </w:tcPr>
          <w:p>
            <w:pPr>
              <w:spacing w:after="0"/>
              <w:rPr>
                <w:sz w:val="18"/>
                <w:szCs w:val="18"/>
                <w:color w:val="auto"/>
              </w:rPr>
            </w:pPr>
          </w:p>
        </w:tc>
      </w:tr>
      <w:tr>
        <w:trPr>
          <w:trHeight w:val="209"/>
        </w:trPr>
        <w:tc>
          <w:tcPr>
            <w:tcW w:w="6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shd w:val="clear" w:color="auto" w:fill="CFF0FC"/>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Amounts due to subsidiaries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r>
      <w:tr>
        <w:trPr>
          <w:trHeight w:val="210"/>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2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2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Pr>
          <w:p>
            <w:pPr>
              <w:spacing w:after="0"/>
              <w:rPr>
                <w:sz w:val="18"/>
                <w:szCs w:val="18"/>
                <w:color w:val="auto"/>
              </w:rPr>
            </w:pPr>
          </w:p>
        </w:tc>
      </w:tr>
      <w:tr>
        <w:trPr>
          <w:trHeight w:val="210"/>
        </w:trPr>
        <w:tc>
          <w:tcPr>
            <w:tcW w:w="6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61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of US$0.00005, 796,062,195 shares</w:t>
            </w: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authorized;</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3,131,807 and 3,131,807 shares issued as of December 31, 2024 and 2025,</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respectively; 2,600,779 and 2,538,047 shares outstanding as of December 31,</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2024 and 2025, respectively)</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1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B ordinary shares (par value of US$0.00005, 826,389 shares authorized;</w:t>
            </w: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826,389 and 826,389 shares issued and outstanding as of December 31, 2024</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2025, respectively)</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1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C ordinary shares (par value of US$0.00005, 203,111,416 shares</w:t>
            </w: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authorized;</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3,332,062 and 3,332,062 shares issued and outstanding as of December 31,</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2024 and 2025, respectively)</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2,294,381</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2,287,553</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327,116</w:t>
            </w:r>
          </w:p>
        </w:tc>
        <w:tc>
          <w:tcPr>
            <w:tcW w:w="12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22,440</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2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136,164</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121,570</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12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(1,840,285)</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(1,486,011)</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(212,497)</w:t>
            </w:r>
          </w:p>
        </w:tc>
      </w:tr>
      <w:tr>
        <w:trPr>
          <w:trHeight w:val="209"/>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601,345</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945,554</w:t>
            </w:r>
          </w:p>
        </w:tc>
        <w:tc>
          <w:tcPr>
            <w:tcW w:w="2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135,212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608,108</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953,367</w:t>
            </w:r>
          </w:p>
        </w:tc>
        <w:tc>
          <w:tcPr>
            <w:tcW w:w="2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136,331</w:t>
            </w:r>
          </w:p>
        </w:tc>
        <w:tc>
          <w:tcPr>
            <w:tcW w:w="120" w:type="dxa"/>
            <w:vAlign w:val="bottom"/>
          </w:tcPr>
          <w:p>
            <w:pPr>
              <w:spacing w:after="0"/>
              <w:rPr>
                <w:sz w:val="18"/>
                <w:szCs w:val="18"/>
                <w:color w:val="auto"/>
              </w:rPr>
            </w:pPr>
          </w:p>
        </w:tc>
      </w:tr>
      <w:tr>
        <w:trPr>
          <w:trHeight w:val="544"/>
        </w:trPr>
        <w:tc>
          <w:tcPr>
            <w:tcW w:w="6120" w:type="dxa"/>
            <w:vAlign w:val="bottom"/>
          </w:tcPr>
          <w:p>
            <w:pPr>
              <w:ind w:left="5500"/>
              <w:spacing w:after="0"/>
              <w:rPr>
                <w:sz w:val="20"/>
                <w:szCs w:val="20"/>
                <w:color w:val="auto"/>
              </w:rPr>
            </w:pPr>
            <w:r>
              <w:rPr>
                <w:rFonts w:ascii="Times New Roman" w:cs="Times New Roman" w:eastAsia="Times New Roman" w:hAnsi="Times New Roman"/>
                <w:sz w:val="13"/>
                <w:szCs w:val="13"/>
                <w:color w:val="auto"/>
              </w:rPr>
              <w:t>F-40</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52"/>
        </w:trPr>
        <w:tc>
          <w:tcPr>
            <w:tcW w:w="6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-5862955</wp:posOffset>
            </wp:positionV>
            <wp:extent cx="6858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-5862955</wp:posOffset>
            </wp:positionV>
            <wp:extent cx="6858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-5862955</wp:posOffset>
            </wp:positionV>
            <wp:extent cx="7747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-5022850</wp:posOffset>
            </wp:positionV>
            <wp:extent cx="6858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-5022850</wp:posOffset>
            </wp:positionV>
            <wp:extent cx="6858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-5022850</wp:posOffset>
            </wp:positionV>
            <wp:extent cx="7747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-3899535</wp:posOffset>
            </wp:positionV>
            <wp:extent cx="6858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-3899535</wp:posOffset>
            </wp:positionV>
            <wp:extent cx="6858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-3899535</wp:posOffset>
            </wp:positionV>
            <wp:extent cx="7747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-993775</wp:posOffset>
            </wp:positionV>
            <wp:extent cx="6858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-993775</wp:posOffset>
            </wp:positionV>
            <wp:extent cx="6858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-993775</wp:posOffset>
            </wp:positionV>
            <wp:extent cx="7747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color w:val="181717"/>
        </w:rPr>
        <w:t>ADDITIONAL INFORMATION—FINANCIAL STATEMENT SCHEDULE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81717"/>
        </w:rPr>
        <w:t>CONDENSED FINANCIAL INFORMATION OF PARENT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81717"/>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81717"/>
        </w:rPr>
        <w:t>(Amounts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8"/>
                <w:szCs w:val="18"/>
                <w:color w:val="auto"/>
              </w:rPr>
              <w:t>Years ended December 31,</w:t>
            </w:r>
          </w:p>
        </w:tc>
        <w:tc>
          <w:tcPr>
            <w:tcW w:w="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80" w:type="dxa"/>
            <w:vAlign w:val="bottom"/>
          </w:tcPr>
          <w:p>
            <w:pPr>
              <w:spacing w:after="0"/>
              <w:rPr>
                <w:sz w:val="18"/>
                <w:szCs w:val="18"/>
                <w:color w:val="auto"/>
              </w:rPr>
            </w:pPr>
          </w:p>
        </w:tc>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2023</w:t>
            </w:r>
          </w:p>
        </w:tc>
        <w:tc>
          <w:tcPr>
            <w:tcW w:w="20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2025</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480" w:type="dxa"/>
            <w:vAlign w:val="bottom"/>
          </w:tcPr>
          <w:p>
            <w:pPr>
              <w:spacing w:after="0"/>
              <w:rPr>
                <w:sz w:val="18"/>
                <w:szCs w:val="18"/>
                <w:color w:val="auto"/>
              </w:rPr>
            </w:pPr>
          </w:p>
        </w:tc>
        <w:tc>
          <w:tcPr>
            <w:tcW w:w="110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RMB</w:t>
            </w: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RMB</w:t>
            </w: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RMB</w:t>
            </w:r>
          </w:p>
        </w:tc>
        <w:tc>
          <w:tcPr>
            <w:tcW w:w="6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09"/>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000" w:type="dxa"/>
            <w:vAlign w:val="bottom"/>
            <w:gridSpan w:val="3"/>
          </w:tcPr>
          <w:p>
            <w:pPr>
              <w:jc w:val="right"/>
              <w:ind w:right="1299"/>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(37,407)</w:t>
            </w:r>
          </w:p>
        </w:tc>
        <w:tc>
          <w:tcPr>
            <w:tcW w:w="3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(5,349)</w:t>
            </w:r>
          </w:p>
        </w:tc>
      </w:tr>
      <w:tr>
        <w:trPr>
          <w:trHeight w:val="216"/>
        </w:trPr>
        <w:tc>
          <w:tcPr>
            <w:tcW w:w="3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(34,462)</w:t>
            </w:r>
          </w:p>
        </w:tc>
        <w:tc>
          <w:tcPr>
            <w:tcW w:w="1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(36,499)</w:t>
            </w:r>
          </w:p>
        </w:tc>
        <w:tc>
          <w:tcPr>
            <w:tcW w:w="10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(31,508)</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(4,506)</w:t>
            </w:r>
          </w:p>
        </w:tc>
      </w:tr>
      <w:tr>
        <w:trPr>
          <w:trHeight w:val="20"/>
        </w:trPr>
        <w:tc>
          <w:tcPr>
            <w:tcW w:w="34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(34,462)</w:t>
            </w:r>
          </w:p>
        </w:tc>
        <w:tc>
          <w:tcPr>
            <w:tcW w:w="1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(36,499)</w:t>
            </w:r>
          </w:p>
        </w:tc>
        <w:tc>
          <w:tcPr>
            <w:tcW w:w="10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(68,915)</w:t>
            </w:r>
          </w:p>
        </w:tc>
        <w:tc>
          <w:tcPr>
            <w:tcW w:w="3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(9,855)</w:t>
            </w:r>
          </w:p>
        </w:tc>
      </w:tr>
      <w:tr>
        <w:trPr>
          <w:trHeight w:val="20"/>
        </w:trPr>
        <w:tc>
          <w:tcPr>
            <w:tcW w:w="34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(34,462)</w:t>
            </w:r>
          </w:p>
        </w:tc>
        <w:tc>
          <w:tcPr>
            <w:tcW w:w="1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(36,499)</w:t>
            </w:r>
          </w:p>
        </w:tc>
        <w:tc>
          <w:tcPr>
            <w:tcW w:w="10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(68,915)</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(9,855)</w:t>
            </w:r>
          </w:p>
        </w:tc>
      </w:tr>
      <w:tr>
        <w:trPr>
          <w:trHeight w:val="210"/>
        </w:trPr>
        <w:tc>
          <w:tcPr>
            <w:tcW w:w="3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21,985</w:t>
            </w:r>
          </w:p>
        </w:tc>
        <w:tc>
          <w:tcPr>
            <w:tcW w:w="260" w:type="dxa"/>
            <w:vAlign w:val="bottom"/>
            <w:tcBorders>
              <w:top w:val="single" w:sz="8" w:color="CFF0FC"/>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26,712</w:t>
            </w:r>
          </w:p>
        </w:tc>
        <w:tc>
          <w:tcPr>
            <w:tcW w:w="24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top w:val="single" w:sz="8" w:color="CFF0FC"/>
            </w:tcBorders>
          </w:tcPr>
          <w:p>
            <w:pPr>
              <w:spacing w:after="0"/>
              <w:rPr>
                <w:sz w:val="18"/>
                <w:szCs w:val="18"/>
                <w:color w:val="auto"/>
              </w:rPr>
            </w:pPr>
          </w:p>
        </w:tc>
      </w:tr>
      <w:tr>
        <w:trPr>
          <w:trHeight w:val="216"/>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expenses</w:t>
            </w:r>
          </w:p>
        </w:tc>
        <w:tc>
          <w:tcPr>
            <w:tcW w:w="1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(9,594)</w:t>
            </w:r>
          </w:p>
        </w:tc>
        <w:tc>
          <w:tcPr>
            <w:tcW w:w="1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(9,099)</w:t>
            </w:r>
          </w:p>
        </w:tc>
        <w:tc>
          <w:tcPr>
            <w:tcW w:w="10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(57,204)</w:t>
            </w:r>
          </w:p>
        </w:tc>
        <w:tc>
          <w:tcPr>
            <w:tcW w:w="3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(8,181)</w:t>
            </w: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investment in subsidiaries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650,424</w:t>
            </w:r>
          </w:p>
        </w:tc>
        <w:tc>
          <w:tcPr>
            <w:tcW w:w="2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351,181</w:t>
            </w:r>
          </w:p>
        </w:tc>
        <w:tc>
          <w:tcPr>
            <w:tcW w:w="2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422,835</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60,465</w:t>
            </w:r>
          </w:p>
        </w:tc>
        <w:tc>
          <w:tcPr>
            <w:tcW w:w="100" w:type="dxa"/>
            <w:vAlign w:val="bottom"/>
          </w:tcPr>
          <w:p>
            <w:pPr>
              <w:spacing w:after="0"/>
              <w:rPr>
                <w:sz w:val="18"/>
                <w:szCs w:val="18"/>
                <w:color w:val="auto"/>
              </w:rPr>
            </w:pPr>
          </w:p>
        </w:tc>
      </w:tr>
      <w:tr>
        <w:trPr>
          <w:trHeight w:val="209"/>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640,830</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342,082</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365,631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52,284</w:t>
            </w:r>
          </w:p>
        </w:tc>
        <w:tc>
          <w:tcPr>
            <w:tcW w:w="100" w:type="dxa"/>
            <w:vAlign w:val="bottom"/>
            <w:shd w:val="clear" w:color="auto" w:fill="CFF0FC"/>
          </w:tcPr>
          <w:p>
            <w:pPr>
              <w:spacing w:after="0"/>
              <w:rPr>
                <w:sz w:val="18"/>
                <w:szCs w:val="18"/>
                <w:color w:val="auto"/>
              </w:rPr>
            </w:pPr>
          </w:p>
        </w:tc>
      </w:tr>
      <w:tr>
        <w:trPr>
          <w:trHeight w:val="788"/>
        </w:trPr>
        <w:tc>
          <w:tcPr>
            <w:tcW w:w="348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F-41</w:t>
            </w:r>
          </w:p>
        </w:tc>
        <w:tc>
          <w:tcPr>
            <w:tcW w:w="6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52"/>
        </w:trPr>
        <w:tc>
          <w:tcPr>
            <w:tcW w:w="34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-2142490</wp:posOffset>
            </wp:positionV>
            <wp:extent cx="7683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-2142490</wp:posOffset>
            </wp:positionV>
            <wp:extent cx="685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-2142490</wp:posOffset>
            </wp:positionV>
            <wp:extent cx="6858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-1851025</wp:posOffset>
            </wp:positionV>
            <wp:extent cx="7683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-1851025</wp:posOffset>
            </wp:positionV>
            <wp:extent cx="6858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-1851025</wp:posOffset>
            </wp:positionV>
            <wp:extent cx="6858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-1002665</wp:posOffset>
            </wp:positionV>
            <wp:extent cx="7683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-1002665</wp:posOffset>
            </wp:positionV>
            <wp:extent cx="6858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-1002665</wp:posOffset>
            </wp:positionV>
            <wp:extent cx="685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6" w:name="page167"/>
    <w:bookmarkEnd w:id="166"/>
    <w:p>
      <w:pPr>
        <w:jc w:val="center"/>
        <w:ind w:left="340" w:right="2720"/>
        <w:spacing w:after="0" w:line="261" w:lineRule="auto"/>
        <w:rPr>
          <w:sz w:val="20"/>
          <w:szCs w:val="20"/>
          <w:color w:val="auto"/>
        </w:rPr>
      </w:pPr>
      <w:r>
        <w:rPr>
          <w:rFonts w:ascii="Times New Roman" w:cs="Times New Roman" w:eastAsia="Times New Roman" w:hAnsi="Times New Roman"/>
          <w:sz w:val="18"/>
          <w:szCs w:val="18"/>
          <w:color w:val="181717"/>
        </w:rPr>
        <w:t>ADDITIONAL INFORMATION—FINANCIAL STATEMENT SCHEDULE I CONDENSED FINANCIAL INFORMATION OF PARENT COMPANY STATEMENTS OF COMPREHENSIVE (LOSS)/INCOME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Years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RMB</w:t>
            </w:r>
          </w:p>
        </w:tc>
        <w:tc>
          <w:tcPr>
            <w:tcW w:w="260" w:type="dxa"/>
            <w:vAlign w:val="bottom"/>
          </w:tcPr>
          <w:p>
            <w:pPr>
              <w:spacing w:after="0"/>
              <w:rPr>
                <w:sz w:val="18"/>
                <w:szCs w:val="18"/>
                <w:color w:val="auto"/>
              </w:rPr>
            </w:pPr>
          </w:p>
        </w:tc>
        <w:tc>
          <w:tcPr>
            <w:tcW w:w="10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RMB</w:t>
            </w:r>
          </w:p>
        </w:tc>
        <w:tc>
          <w:tcPr>
            <w:tcW w:w="260" w:type="dxa"/>
            <w:vAlign w:val="bottom"/>
          </w:tcPr>
          <w:p>
            <w:pPr>
              <w:spacing w:after="0"/>
              <w:rPr>
                <w:sz w:val="18"/>
                <w:szCs w:val="18"/>
                <w:color w:val="auto"/>
              </w:rPr>
            </w:pPr>
          </w:p>
        </w:tc>
        <w:tc>
          <w:tcPr>
            <w:tcW w:w="120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RMB</w:t>
            </w:r>
          </w:p>
        </w:tc>
        <w:tc>
          <w:tcPr>
            <w:tcW w:w="8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640,830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342,082</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365,631</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500" w:type="dxa"/>
            <w:vAlign w:val="bottom"/>
            <w:tcBorders>
              <w:top w:val="single" w:sz="8" w:color="CFF0F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cumulative foreign currency translation adjustments</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(26,279)</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(3,758)</w:t>
            </w:r>
          </w:p>
        </w:tc>
        <w:tc>
          <w:tcPr>
            <w:tcW w:w="0" w:type="dxa"/>
            <w:vAlign w:val="bottom"/>
          </w:tcPr>
          <w:p>
            <w:pPr>
              <w:spacing w:after="0"/>
              <w:rPr>
                <w:sz w:val="1"/>
                <w:szCs w:val="1"/>
                <w:color w:val="auto"/>
              </w:rPr>
            </w:pPr>
          </w:p>
        </w:tc>
      </w:tr>
      <w:tr>
        <w:trPr>
          <w:trHeight w:val="198"/>
        </w:trPr>
        <w:tc>
          <w:tcPr>
            <w:tcW w:w="5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available-for-sale investments,</w:t>
            </w:r>
          </w:p>
        </w:tc>
        <w:tc>
          <w:tcPr>
            <w:tcW w:w="15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spacing w:after="0"/>
              <w:rPr>
                <w:sz w:val="17"/>
                <w:szCs w:val="17"/>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(24,083)</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 effect of nil</w:t>
            </w:r>
          </w:p>
        </w:tc>
        <w:tc>
          <w:tcPr>
            <w:tcW w:w="15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5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656,221</w:t>
            </w: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334,970</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351,037</w:t>
            </w: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788"/>
        </w:trPr>
        <w:tc>
          <w:tcPr>
            <w:tcW w:w="5020" w:type="dxa"/>
            <w:vAlign w:val="bottom"/>
          </w:tcPr>
          <w:p>
            <w:pPr>
              <w:spacing w:after="0"/>
              <w:rPr>
                <w:sz w:val="24"/>
                <w:szCs w:val="24"/>
                <w:color w:val="auto"/>
              </w:rPr>
            </w:pPr>
          </w:p>
        </w:tc>
        <w:tc>
          <w:tcPr>
            <w:tcW w:w="2520" w:type="dxa"/>
            <w:vAlign w:val="bottom"/>
            <w:gridSpan w:val="2"/>
          </w:tcPr>
          <w:p>
            <w:pPr>
              <w:jc w:val="right"/>
              <w:ind w:right="1710"/>
              <w:spacing w:after="0"/>
              <w:rPr>
                <w:sz w:val="20"/>
                <w:szCs w:val="20"/>
                <w:color w:val="auto"/>
              </w:rPr>
            </w:pPr>
            <w:r>
              <w:rPr>
                <w:rFonts w:ascii="Times New Roman" w:cs="Times New Roman" w:eastAsia="Times New Roman" w:hAnsi="Times New Roman"/>
                <w:sz w:val="13"/>
                <w:szCs w:val="13"/>
                <w:color w:val="auto"/>
              </w:rPr>
              <w:t>F-42</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50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-1696720</wp:posOffset>
            </wp:positionV>
            <wp:extent cx="7747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-1696720</wp:posOffset>
            </wp:positionV>
            <wp:extent cx="7747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-1696720</wp:posOffset>
            </wp:positionV>
            <wp:extent cx="6858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-1002030</wp:posOffset>
            </wp:positionV>
            <wp:extent cx="7747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-1002030</wp:posOffset>
            </wp:positionV>
            <wp:extent cx="7747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-1002030</wp:posOffset>
            </wp:positionV>
            <wp:extent cx="685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9100" w:type="dxa"/>
            <w:vAlign w:val="bottom"/>
            <w:gridSpan w:val="10"/>
          </w:tcPr>
          <w:p>
            <w:pPr>
              <w:jc w:val="center"/>
              <w:ind w:left="470"/>
              <w:spacing w:after="0"/>
              <w:rPr>
                <w:sz w:val="20"/>
                <w:szCs w:val="20"/>
                <w:color w:val="auto"/>
              </w:rPr>
            </w:pPr>
            <w:r>
              <w:rPr>
                <w:rFonts w:ascii="Times New Roman" w:cs="Times New Roman" w:eastAsia="Times New Roman" w:hAnsi="Times New Roman"/>
                <w:sz w:val="18"/>
                <w:szCs w:val="18"/>
                <w:color w:val="181717"/>
              </w:rPr>
              <w:t>ADDITIONAL INFORMATION—FINANCIAL STATEMENT SCHEDULE I</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520" w:type="dxa"/>
            <w:vAlign w:val="bottom"/>
            <w:gridSpan w:val="7"/>
          </w:tcPr>
          <w:p>
            <w:pPr>
              <w:jc w:val="center"/>
              <w:ind w:left="2050"/>
              <w:spacing w:after="0"/>
              <w:rPr>
                <w:sz w:val="20"/>
                <w:szCs w:val="20"/>
                <w:color w:val="auto"/>
              </w:rPr>
            </w:pPr>
            <w:r>
              <w:rPr>
                <w:rFonts w:ascii="Times New Roman" w:cs="Times New Roman" w:eastAsia="Times New Roman" w:hAnsi="Times New Roman"/>
                <w:sz w:val="18"/>
                <w:szCs w:val="18"/>
                <w:color w:val="181717"/>
              </w:rPr>
              <w:t>CONDENSED FINANCIAL INFORMATION OF PARENT COMPANY</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80" w:type="dxa"/>
            <w:vAlign w:val="bottom"/>
            <w:gridSpan w:val="6"/>
          </w:tcPr>
          <w:p>
            <w:pPr>
              <w:jc w:val="center"/>
              <w:ind w:right="1100"/>
              <w:spacing w:after="0"/>
              <w:rPr>
                <w:sz w:val="20"/>
                <w:szCs w:val="20"/>
                <w:color w:val="auto"/>
              </w:rPr>
            </w:pPr>
            <w:r>
              <w:rPr>
                <w:rFonts w:ascii="Times New Roman" w:cs="Times New Roman" w:eastAsia="Times New Roman" w:hAnsi="Times New Roman"/>
                <w:sz w:val="18"/>
                <w:szCs w:val="18"/>
                <w:color w:val="181717"/>
                <w:w w:val="99"/>
              </w:rPr>
              <w:t>STATEMENTS OF CASH FLOWS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40" w:type="dxa"/>
            <w:vAlign w:val="bottom"/>
            <w:gridSpan w:val="3"/>
          </w:tcPr>
          <w:p>
            <w:pPr>
              <w:jc w:val="center"/>
              <w:ind w:left="631"/>
              <w:spacing w:after="0"/>
              <w:rPr>
                <w:sz w:val="20"/>
                <w:szCs w:val="20"/>
                <w:color w:val="auto"/>
              </w:rPr>
            </w:pPr>
            <w:r>
              <w:rPr>
                <w:rFonts w:ascii="Times New Roman" w:cs="Times New Roman" w:eastAsia="Times New Roman" w:hAnsi="Times New Roman"/>
                <w:sz w:val="18"/>
                <w:szCs w:val="18"/>
                <w:color w:val="181717"/>
                <w:w w:val="99"/>
              </w:rPr>
              <w:t>(Amounts in thousands)</w:t>
            </w:r>
          </w:p>
        </w:tc>
        <w:tc>
          <w:tcPr>
            <w:tcW w:w="3420" w:type="dxa"/>
            <w:vAlign w:val="bottom"/>
            <w:gridSpan w:val="6"/>
            <w:vMerge w:val="restart"/>
          </w:tcPr>
          <w:p>
            <w:pPr>
              <w:jc w:val="right"/>
              <w:ind w:right="1340"/>
              <w:spacing w:after="0"/>
              <w:rPr>
                <w:sz w:val="20"/>
                <w:szCs w:val="20"/>
                <w:color w:val="auto"/>
              </w:rPr>
            </w:pPr>
            <w:r>
              <w:rPr>
                <w:rFonts w:ascii="Times New Roman" w:cs="Times New Roman" w:eastAsia="Times New Roman" w:hAnsi="Times New Roman"/>
                <w:sz w:val="18"/>
                <w:szCs w:val="18"/>
                <w:color w:val="auto"/>
              </w:rPr>
              <w:t>Years ended December 31,</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6"/>
            <w:vMerge w:val="continue"/>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2025</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RMB</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RMB</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w w:val="99"/>
              </w:rPr>
              <w:t>RMB</w:t>
            </w: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(66,321)</w:t>
            </w:r>
          </w:p>
        </w:tc>
        <w:tc>
          <w:tcPr>
            <w:tcW w:w="5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(16,630)</w:t>
            </w:r>
          </w:p>
        </w:tc>
        <w:tc>
          <w:tcPr>
            <w:tcW w:w="5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(50,635)</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(7,241)</w:t>
            </w: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324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CASH FLOWS FROM INVESTING</w:t>
            </w:r>
          </w:p>
        </w:tc>
        <w:tc>
          <w:tcPr>
            <w:tcW w:w="16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ACTIVITIES</w:t>
            </w: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440" w:type="dxa"/>
            <w:vAlign w:val="bottom"/>
            <w:gridSpan w:val="3"/>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(7,299)</w:t>
            </w:r>
          </w:p>
        </w:tc>
        <w:tc>
          <w:tcPr>
            <w:tcW w:w="56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 of long-term investments</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(1,958)</w:t>
            </w:r>
          </w:p>
        </w:tc>
        <w:tc>
          <w:tcPr>
            <w:tcW w:w="5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(1,074)</w:t>
            </w:r>
          </w:p>
        </w:tc>
        <w:tc>
          <w:tcPr>
            <w:tcW w:w="5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Capital contribution to a subsidiary</w:t>
            </w:r>
          </w:p>
        </w:tc>
        <w:tc>
          <w:tcPr>
            <w:tcW w:w="2440" w:type="dxa"/>
            <w:vAlign w:val="bottom"/>
            <w:gridSpan w:val="3"/>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(143,089)</w:t>
            </w:r>
          </w:p>
        </w:tc>
        <w:tc>
          <w:tcPr>
            <w:tcW w:w="5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(62,976)</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(9,005)</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Amounts due from subsidiaries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33,559</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Repayment of employee loans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cash generated from/(used in)</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31,601</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(146,301)</w:t>
            </w:r>
          </w:p>
        </w:tc>
        <w:tc>
          <w:tcPr>
            <w:tcW w:w="560" w:type="dxa"/>
            <w:vAlign w:val="bottom"/>
          </w:tcPr>
          <w:p>
            <w:pPr>
              <w:spacing w:after="0"/>
              <w:rPr>
                <w:sz w:val="16"/>
                <w:szCs w:val="16"/>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(60,255)</w:t>
            </w:r>
          </w:p>
        </w:tc>
        <w:tc>
          <w:tcPr>
            <w:tcW w:w="340" w:type="dxa"/>
            <w:vAlign w:val="bottom"/>
          </w:tcPr>
          <w:p>
            <w:pPr>
              <w:spacing w:after="0"/>
              <w:rPr>
                <w:sz w:val="16"/>
                <w:szCs w:val="16"/>
                <w:color w:val="auto"/>
              </w:rPr>
            </w:pPr>
          </w:p>
        </w:tc>
        <w:tc>
          <w:tcPr>
            <w:tcW w:w="1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(8,616)</w:t>
            </w:r>
          </w:p>
        </w:tc>
        <w:tc>
          <w:tcPr>
            <w:tcW w:w="0" w:type="dxa"/>
            <w:vAlign w:val="bottom"/>
          </w:tcPr>
          <w:p>
            <w:pPr>
              <w:spacing w:after="0"/>
              <w:rPr>
                <w:sz w:val="1"/>
                <w:szCs w:val="1"/>
                <w:color w:val="auto"/>
              </w:rPr>
            </w:pPr>
          </w:p>
        </w:tc>
      </w:tr>
      <w:tr>
        <w:trPr>
          <w:trHeight w:val="221"/>
        </w:trPr>
        <w:tc>
          <w:tcPr>
            <w:tcW w:w="4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investing activities</w:t>
            </w:r>
          </w:p>
        </w:tc>
        <w:tc>
          <w:tcPr>
            <w:tcW w:w="16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32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FLOWS FROM FINANCING</w:t>
            </w:r>
          </w:p>
        </w:tc>
        <w:tc>
          <w:tcPr>
            <w:tcW w:w="16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ACTIVITIES</w:t>
            </w:r>
          </w:p>
        </w:tc>
        <w:tc>
          <w:tcPr>
            <w:tcW w:w="1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 repurchase</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(4,750)</w:t>
            </w:r>
          </w:p>
        </w:tc>
        <w:tc>
          <w:tcPr>
            <w:tcW w:w="5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(10,949)</w:t>
            </w:r>
          </w:p>
        </w:tc>
        <w:tc>
          <w:tcPr>
            <w:tcW w:w="5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(6,168)</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Payment for cash dividend</w:t>
            </w: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(31,254)</w:t>
            </w:r>
          </w:p>
        </w:tc>
        <w:tc>
          <w:tcPr>
            <w:tcW w:w="58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324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(36,004)</w:t>
            </w:r>
          </w:p>
        </w:tc>
        <w:tc>
          <w:tcPr>
            <w:tcW w:w="5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(10,949)</w:t>
            </w:r>
          </w:p>
        </w:tc>
        <w:tc>
          <w:tcPr>
            <w:tcW w:w="5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(6,168)</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vMerge w:val="continue"/>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58,530</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(12,469)</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(12,194)</w:t>
            </w:r>
          </w:p>
        </w:tc>
        <w:tc>
          <w:tcPr>
            <w:tcW w:w="5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(155,530)</w:t>
            </w:r>
          </w:p>
        </w:tc>
        <w:tc>
          <w:tcPr>
            <w:tcW w:w="5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(129,527)</w:t>
            </w: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(18,522)</w:t>
            </w:r>
          </w:p>
        </w:tc>
        <w:tc>
          <w:tcPr>
            <w:tcW w:w="0" w:type="dxa"/>
            <w:vAlign w:val="bottom"/>
          </w:tcPr>
          <w:p>
            <w:pPr>
              <w:spacing w:after="0"/>
              <w:rPr>
                <w:sz w:val="1"/>
                <w:szCs w:val="1"/>
                <w:color w:val="auto"/>
              </w:rPr>
            </w:pPr>
          </w:p>
        </w:tc>
      </w:tr>
      <w:tr>
        <w:trPr>
          <w:trHeight w:val="198"/>
        </w:trPr>
        <w:tc>
          <w:tcPr>
            <w:tcW w:w="800" w:type="dxa"/>
            <w:vAlign w:val="bottom"/>
          </w:tcPr>
          <w:p>
            <w:pPr>
              <w:spacing w:after="0"/>
              <w:rPr>
                <w:sz w:val="17"/>
                <w:szCs w:val="17"/>
                <w:color w:val="auto"/>
              </w:rPr>
            </w:pPr>
          </w:p>
        </w:tc>
        <w:tc>
          <w:tcPr>
            <w:tcW w:w="32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at beginning of</w:t>
            </w:r>
          </w:p>
        </w:tc>
        <w:tc>
          <w:tcPr>
            <w:tcW w:w="1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496,184</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483,990</w:t>
            </w: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328,460</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00" w:type="dxa"/>
            <w:vAlign w:val="bottom"/>
          </w:tcPr>
          <w:p>
            <w:pPr>
              <w:spacing w:after="0"/>
              <w:rPr>
                <w:sz w:val="19"/>
                <w:szCs w:val="19"/>
                <w:color w:val="auto"/>
              </w:rPr>
            </w:pPr>
          </w:p>
        </w:tc>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year</w:t>
            </w:r>
          </w:p>
        </w:tc>
        <w:tc>
          <w:tcPr>
            <w:tcW w:w="160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Cash and cash equivalents at end of the</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483,990</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328,460</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198,933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year</w:t>
            </w:r>
          </w:p>
        </w:tc>
        <w:tc>
          <w:tcPr>
            <w:tcW w:w="160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4"/>
        </w:trPr>
        <w:tc>
          <w:tcPr>
            <w:tcW w:w="8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40" w:type="dxa"/>
            <w:vAlign w:val="bottom"/>
            <w:gridSpan w:val="3"/>
          </w:tcPr>
          <w:p>
            <w:pPr>
              <w:jc w:val="center"/>
              <w:ind w:left="631"/>
              <w:spacing w:after="0"/>
              <w:rPr>
                <w:sz w:val="20"/>
                <w:szCs w:val="20"/>
                <w:color w:val="auto"/>
              </w:rPr>
            </w:pPr>
            <w:r>
              <w:rPr>
                <w:rFonts w:ascii="Times New Roman" w:cs="Times New Roman" w:eastAsia="Times New Roman" w:hAnsi="Times New Roman"/>
                <w:sz w:val="13"/>
                <w:szCs w:val="13"/>
                <w:color w:val="auto"/>
                <w:w w:val="97"/>
              </w:rPr>
              <w:t>F-43</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8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-3616960</wp:posOffset>
            </wp:positionV>
            <wp:extent cx="6858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-3616960</wp:posOffset>
            </wp:positionV>
            <wp:extent cx="6858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-3616960</wp:posOffset>
            </wp:positionV>
            <wp:extent cx="6032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-3616960</wp:posOffset>
            </wp:positionV>
            <wp:extent cx="596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-2647950</wp:posOffset>
            </wp:positionV>
            <wp:extent cx="6858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-2647950</wp:posOffset>
            </wp:positionV>
            <wp:extent cx="6858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-2647950</wp:posOffset>
            </wp:positionV>
            <wp:extent cx="6032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-2647950</wp:posOffset>
            </wp:positionV>
            <wp:extent cx="596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-1816735</wp:posOffset>
            </wp:positionV>
            <wp:extent cx="6858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-1816735</wp:posOffset>
            </wp:positionV>
            <wp:extent cx="6858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-1816735</wp:posOffset>
            </wp:positionV>
            <wp:extent cx="6032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-1816735</wp:posOffset>
            </wp:positionV>
            <wp:extent cx="5969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-1122045</wp:posOffset>
            </wp:positionV>
            <wp:extent cx="6858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-1122045</wp:posOffset>
            </wp:positionV>
            <wp:extent cx="6858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-1122045</wp:posOffset>
            </wp:positionV>
            <wp:extent cx="6032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-1122045</wp:posOffset>
            </wp:positionV>
            <wp:extent cx="596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8" w:name="page169"/>
    <w:bookmarkEnd w:id="168"/>
    <w:p>
      <w:pPr>
        <w:jc w:val="center"/>
        <w:ind w:left="340" w:right="2720"/>
        <w:spacing w:after="0" w:line="261" w:lineRule="auto"/>
        <w:rPr>
          <w:sz w:val="20"/>
          <w:szCs w:val="20"/>
          <w:color w:val="auto"/>
        </w:rPr>
      </w:pPr>
      <w:r>
        <w:rPr>
          <w:rFonts w:ascii="Times New Roman" w:cs="Times New Roman" w:eastAsia="Times New Roman" w:hAnsi="Times New Roman"/>
          <w:sz w:val="18"/>
          <w:szCs w:val="18"/>
          <w:color w:val="181717"/>
        </w:rPr>
        <w:t>ADDITIONAL INFORMATION—FINANCIAL STATEMENT SCHEDULE I CONDENSED FINANCIAL INFORMATION OF PARENT COMPANY NOTES TO FINANCIAL STATEMENTS (Amounts in thousands, except for share and per share data)</w:t>
      </w:r>
    </w:p>
    <w:p>
      <w:pPr>
        <w:spacing w:after="0" w:line="176" w:lineRule="exact"/>
        <w:rPr>
          <w:sz w:val="20"/>
          <w:szCs w:val="20"/>
          <w:color w:val="auto"/>
        </w:rPr>
      </w:pPr>
    </w:p>
    <w:p>
      <w:pPr>
        <w:ind w:left="512" w:hanging="512"/>
        <w:spacing w:after="0"/>
        <w:tabs>
          <w:tab w:leader="none" w:pos="512" w:val="left"/>
        </w:tabs>
        <w:numPr>
          <w:ilvl w:val="0"/>
          <w:numId w:val="101"/>
        </w:numPr>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b w:val="1"/>
          <w:bCs w:val="1"/>
          <w:color w:val="181717"/>
        </w:rPr>
        <w:t>BASIS FOR PREPARATION</w:t>
      </w:r>
    </w:p>
    <w:p>
      <w:pPr>
        <w:spacing w:after="0" w:line="243" w:lineRule="exact"/>
        <w:rPr>
          <w:sz w:val="20"/>
          <w:szCs w:val="20"/>
          <w:color w:val="auto"/>
        </w:rPr>
      </w:pPr>
    </w:p>
    <w:p>
      <w:pPr>
        <w:ind w:left="452" w:right="120"/>
        <w:spacing w:after="0" w:line="266" w:lineRule="auto"/>
        <w:rPr>
          <w:sz w:val="20"/>
          <w:szCs w:val="20"/>
          <w:color w:val="auto"/>
        </w:rPr>
      </w:pPr>
      <w:r>
        <w:rPr>
          <w:rFonts w:ascii="Times New Roman" w:cs="Times New Roman" w:eastAsia="Times New Roman" w:hAnsi="Times New Roman"/>
          <w:sz w:val="18"/>
          <w:szCs w:val="18"/>
          <w:color w:val="181717"/>
        </w:rPr>
        <w:t>The condensed financial information of Sunlands Technology Group has been prepared using the same accounting policies as set out in the accompanying consolidated financial statements except that the equity method has been used to account for investments in its subsidiaries, the VIEs and VIEs' subsidiaries.</w:t>
      </w:r>
    </w:p>
    <w:p>
      <w:pPr>
        <w:spacing w:after="0" w:line="172" w:lineRule="exact"/>
        <w:rPr>
          <w:sz w:val="20"/>
          <w:szCs w:val="20"/>
          <w:color w:val="auto"/>
        </w:rPr>
      </w:pPr>
    </w:p>
    <w:p>
      <w:pPr>
        <w:ind w:left="512" w:hanging="512"/>
        <w:spacing w:after="0"/>
        <w:tabs>
          <w:tab w:leader="none" w:pos="512" w:val="left"/>
        </w:tabs>
        <w:numPr>
          <w:ilvl w:val="0"/>
          <w:numId w:val="102"/>
        </w:numPr>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b w:val="1"/>
          <w:bCs w:val="1"/>
          <w:color w:val="181717"/>
        </w:rPr>
        <w:t>INVESTMENTS IN SUBSIDIARIES AND VIES AND VIES' SUBSIDIARIES</w:t>
      </w:r>
    </w:p>
    <w:p>
      <w:pPr>
        <w:spacing w:after="0" w:line="229" w:lineRule="exact"/>
        <w:rPr>
          <w:rFonts w:ascii="Times New Roman" w:cs="Times New Roman" w:eastAsia="Times New Roman" w:hAnsi="Times New Roman"/>
          <w:sz w:val="18"/>
          <w:szCs w:val="18"/>
          <w:b w:val="1"/>
          <w:bCs w:val="1"/>
          <w:color w:val="181717"/>
        </w:rPr>
      </w:pPr>
    </w:p>
    <w:p>
      <w:pPr>
        <w:ind w:left="512"/>
        <w:spacing w:after="0" w:line="258" w:lineRule="auto"/>
        <w:rPr>
          <w:rFonts w:ascii="Times New Roman" w:cs="Times New Roman" w:eastAsia="Times New Roman" w:hAnsi="Times New Roman"/>
          <w:sz w:val="18"/>
          <w:szCs w:val="18"/>
          <w:b w:val="1"/>
          <w:bCs w:val="1"/>
          <w:color w:val="181717"/>
        </w:rPr>
      </w:pPr>
      <w:r>
        <w:rPr>
          <w:rFonts w:ascii="Times New Roman" w:cs="Times New Roman" w:eastAsia="Times New Roman" w:hAnsi="Times New Roman"/>
          <w:sz w:val="18"/>
          <w:szCs w:val="18"/>
          <w:color w:val="auto"/>
        </w:rPr>
        <w:t>The Company, its subsidiaries, the VIEs and the VIEs’ subsidiaries were included in the consolidated financial statements where the inter-company balances and transactions were eliminated upon consolidation. For purpose of the Company’s stand-alone financial statements, its investments in subsidiaries, the VIEs and the VIEs’ subsidiaries were reported using the equity method of accounting. The Company’s share of loss/income from its subsidiaries, the VIEs and the VIEs’ subsidiaries were reported as equity in earnings of its subsidiaries, the VIEs and the VIEs’ subsidiaries in the condensed statements of operations.</w:t>
      </w:r>
    </w:p>
    <w:p>
      <w:pPr>
        <w:spacing w:after="0" w:line="206" w:lineRule="exact"/>
        <w:rPr>
          <w:rFonts w:ascii="Times New Roman" w:cs="Times New Roman" w:eastAsia="Times New Roman" w:hAnsi="Times New Roman"/>
          <w:sz w:val="18"/>
          <w:szCs w:val="18"/>
          <w:b w:val="1"/>
          <w:bCs w:val="1"/>
          <w:color w:val="181717"/>
        </w:rPr>
      </w:pPr>
    </w:p>
    <w:p>
      <w:pPr>
        <w:ind w:left="512" w:hanging="512"/>
        <w:spacing w:after="0"/>
        <w:tabs>
          <w:tab w:leader="none" w:pos="512"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CONVENIENCE TRANSLATION</w:t>
      </w:r>
    </w:p>
    <w:p>
      <w:pPr>
        <w:spacing w:after="0" w:line="243"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The Group’s business is primarily conducted in China and all of the revenues are denominated in RMB. However, periodic reports made to</w:t>
      </w:r>
    </w:p>
    <w:p>
      <w:pPr>
        <w:spacing w:after="0" w:line="2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shareholders will include current period amounts translated into US dollars using the exchange rate as of balance sheet date, for the convenience of</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the readers. Translations of balances in the balance sheet, and the related statement of operations and cash flows from Renminbi (“RMB”) into US</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dollars as of and for the year ended December 31, 2025 are solely for the convenience of the readers and were calculated at the rate of</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US$1.00=RMB6.9931, representing the noon buying rate set forth in the H.10 statistical release of the U.S. Federal Reserve Board on December 31,</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2025. No representation is made that the RMB amounts could have been, or could be, converted, realized or settled into US$ at that rate on</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December 31, 2025, or at any other rate.</w:t>
      </w:r>
    </w:p>
    <w:p>
      <w:pPr>
        <w:spacing w:after="0" w:line="1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3"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0"/>
          <w:szCs w:val="20"/>
          <w:b w:val="1"/>
          <w:bCs w:val="1"/>
          <w:color w:val="auto"/>
        </w:rPr>
        <w:t>Exhibit 8.1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40" w:type="dxa"/>
            <w:vAlign w:val="bottom"/>
          </w:tcPr>
          <w:p>
            <w:pPr>
              <w:ind w:left="1700"/>
              <w:spacing w:after="0"/>
              <w:rPr>
                <w:sz w:val="20"/>
                <w:szCs w:val="20"/>
                <w:color w:val="auto"/>
              </w:rPr>
            </w:pPr>
            <w:r>
              <w:rPr>
                <w:rFonts w:ascii="Times New Roman" w:cs="Times New Roman" w:eastAsia="Times New Roman" w:hAnsi="Times New Roman"/>
                <w:sz w:val="20"/>
                <w:szCs w:val="20"/>
                <w:b w:val="1"/>
                <w:bCs w:val="1"/>
                <w:color w:val="auto"/>
                <w:w w:val="98"/>
              </w:rPr>
              <w:t>List of principal subsidiaries and VIEs of the Registrant</w:t>
            </w:r>
          </w:p>
        </w:tc>
        <w:tc>
          <w:tcPr>
            <w:tcW w:w="19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615"/>
        </w:trPr>
        <w:tc>
          <w:tcPr>
            <w:tcW w:w="80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Subsidiaries</w:t>
            </w:r>
          </w:p>
        </w:tc>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Place of Incorporation</w:t>
            </w:r>
          </w:p>
        </w:tc>
      </w:tr>
      <w:tr>
        <w:trPr>
          <w:trHeight w:val="20"/>
        </w:trPr>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64"/>
        </w:trPr>
        <w:tc>
          <w:tcPr>
            <w:tcW w:w="8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Sunlands Online Education HK Limited</w:t>
            </w:r>
          </w:p>
        </w:tc>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Hong Kong</w:t>
            </w:r>
          </w:p>
        </w:tc>
      </w:tr>
      <w:tr>
        <w:trPr>
          <w:trHeight w:val="338"/>
        </w:trPr>
        <w:tc>
          <w:tcPr>
            <w:tcW w:w="8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Wuhan Studyvip Online Education Co. Limited</w:t>
            </w:r>
          </w:p>
        </w:tc>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PRC</w:t>
            </w:r>
          </w:p>
        </w:tc>
      </w:tr>
      <w:tr>
        <w:trPr>
          <w:trHeight w:val="309"/>
        </w:trPr>
        <w:tc>
          <w:tcPr>
            <w:tcW w:w="8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Hubei Zhidao Online Education Technology Co., Ltd. (formerly known as Wuhan Shangde Online</w:t>
            </w:r>
          </w:p>
        </w:tc>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PRC</w:t>
            </w:r>
          </w:p>
        </w:tc>
      </w:tr>
      <w:tr>
        <w:trPr>
          <w:trHeight w:val="258"/>
        </w:trPr>
        <w:tc>
          <w:tcPr>
            <w:tcW w:w="8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Education Technology Co., Ltd. and Wuhan Zhidao Online Education Technology Co., Ltd.)</w:t>
            </w:r>
          </w:p>
        </w:tc>
        <w:tc>
          <w:tcPr>
            <w:tcW w:w="19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338"/>
        </w:trPr>
        <w:tc>
          <w:tcPr>
            <w:tcW w:w="8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Beijing Yuanchilaxiang Education Technology Co., Ltd.</w:t>
            </w:r>
          </w:p>
        </w:tc>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PRC</w:t>
            </w:r>
          </w:p>
        </w:tc>
      </w:tr>
      <w:tr>
        <w:trPr>
          <w:trHeight w:val="338"/>
        </w:trPr>
        <w:tc>
          <w:tcPr>
            <w:tcW w:w="8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Beijing Feibian Education Technology Co., Ltd.</w:t>
            </w:r>
          </w:p>
        </w:tc>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PRC</w:t>
            </w:r>
          </w:p>
        </w:tc>
      </w:tr>
      <w:tr>
        <w:trPr>
          <w:trHeight w:val="628"/>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5"/>
              </w:rPr>
              <w:t>VIE</w:t>
            </w:r>
          </w:p>
        </w:tc>
        <w:tc>
          <w:tcPr>
            <w:tcW w:w="7640" w:type="dxa"/>
            <w:vAlign w:val="bottom"/>
            <w:gridSpan w:val="3"/>
          </w:tcPr>
          <w:p>
            <w:pPr>
              <w:spacing w:after="0"/>
              <w:rPr>
                <w:sz w:val="24"/>
                <w:szCs w:val="24"/>
                <w:color w:val="auto"/>
              </w:rPr>
            </w:pP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64"/>
        </w:trPr>
        <w:tc>
          <w:tcPr>
            <w:tcW w:w="8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Beijing Lingding Management Consulting Co., Ltd.</w:t>
            </w:r>
          </w:p>
        </w:tc>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PRC</w:t>
            </w:r>
          </w:p>
        </w:tc>
      </w:tr>
      <w:tr>
        <w:trPr>
          <w:trHeight w:val="628"/>
        </w:trPr>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8"/>
              </w:rPr>
              <w:t>VIE’s subsidiaries</w:t>
            </w:r>
          </w:p>
        </w:tc>
        <w:tc>
          <w:tcPr>
            <w:tcW w:w="6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5"/>
        </w:trPr>
        <w:tc>
          <w:tcPr>
            <w:tcW w:w="8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Hubei Shufan Education Technology Co., Ltd. (formerly known as Shufan Education Technology</w:t>
            </w:r>
          </w:p>
        </w:tc>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PRC</w:t>
            </w:r>
          </w:p>
        </w:tc>
      </w:tr>
      <w:tr>
        <w:trPr>
          <w:trHeight w:val="230"/>
        </w:trPr>
        <w:tc>
          <w:tcPr>
            <w:tcW w:w="8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(Wuhan) Co., Ltd. and Xiangyang Shufan Education Technology Co., Ltd.)</w:t>
            </w:r>
          </w:p>
        </w:tc>
        <w:tc>
          <w:tcPr>
            <w:tcW w:w="19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8"/>
        </w:trPr>
        <w:tc>
          <w:tcPr>
            <w:tcW w:w="8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Hubei Fangtang Technology Co., Ltd. (formerly known as Wuhan Fangtang Technology Co., Ltd.)</w:t>
            </w:r>
          </w:p>
        </w:tc>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PRC</w:t>
            </w:r>
          </w:p>
        </w:tc>
      </w:tr>
      <w:tr>
        <w:trPr>
          <w:trHeight w:val="338"/>
        </w:trPr>
        <w:tc>
          <w:tcPr>
            <w:tcW w:w="8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Hubei Houduan Yuanli Technology Co., Ltd.</w:t>
            </w:r>
          </w:p>
        </w:tc>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PRC</w:t>
            </w:r>
          </w:p>
        </w:tc>
      </w:tr>
      <w:tr>
        <w:trPr>
          <w:trHeight w:val="1729"/>
        </w:trPr>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0"/>
          <w:szCs w:val="20"/>
          <w:b w:val="1"/>
          <w:bCs w:val="1"/>
          <w:color w:val="auto"/>
        </w:rPr>
        <w:t>Exhibit 12.1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by the Principal Executive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Tongbo Liu, certify that:</w:t>
      </w:r>
    </w:p>
    <w:p>
      <w:pPr>
        <w:spacing w:after="0" w:line="216" w:lineRule="exact"/>
        <w:rPr>
          <w:sz w:val="20"/>
          <w:szCs w:val="20"/>
          <w:color w:val="auto"/>
        </w:rPr>
      </w:pPr>
    </w:p>
    <w:p>
      <w:pPr>
        <w:ind w:left="760" w:hanging="752"/>
        <w:spacing w:after="0"/>
        <w:tabs>
          <w:tab w:leader="none" w:pos="7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20-F of Sunlands Technology Group (the “company”);</w:t>
      </w:r>
    </w:p>
    <w:p>
      <w:pPr>
        <w:spacing w:after="0" w:line="215" w:lineRule="exact"/>
        <w:rPr>
          <w:rFonts w:ascii="Times New Roman" w:cs="Times New Roman" w:eastAsia="Times New Roman" w:hAnsi="Times New Roman"/>
          <w:sz w:val="20"/>
          <w:szCs w:val="20"/>
          <w:color w:val="auto"/>
        </w:rPr>
      </w:pPr>
    </w:p>
    <w:p>
      <w:pPr>
        <w:ind w:left="760" w:right="120" w:hanging="752"/>
        <w:spacing w:after="0" w:line="254" w:lineRule="auto"/>
        <w:tabs>
          <w:tab w:leader="none" w:pos="7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760" w:right="40" w:hanging="752"/>
        <w:spacing w:after="0" w:line="254" w:lineRule="auto"/>
        <w:tabs>
          <w:tab w:leader="none" w:pos="7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4" w:lineRule="exact"/>
        <w:rPr>
          <w:rFonts w:ascii="Times New Roman" w:cs="Times New Roman" w:eastAsia="Times New Roman" w:hAnsi="Times New Roman"/>
          <w:sz w:val="20"/>
          <w:szCs w:val="20"/>
          <w:color w:val="auto"/>
        </w:rPr>
      </w:pPr>
    </w:p>
    <w:p>
      <w:pPr>
        <w:ind w:left="760" w:right="100" w:hanging="752"/>
        <w:spacing w:after="0" w:line="254" w:lineRule="auto"/>
        <w:tabs>
          <w:tab w:leader="none" w:pos="7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4" w:lineRule="exact"/>
        <w:rPr>
          <w:rFonts w:ascii="Times New Roman" w:cs="Times New Roman" w:eastAsia="Times New Roman" w:hAnsi="Times New Roman"/>
          <w:sz w:val="20"/>
          <w:szCs w:val="20"/>
          <w:color w:val="auto"/>
        </w:rPr>
      </w:pPr>
    </w:p>
    <w:p>
      <w:pPr>
        <w:ind w:left="1500" w:right="40" w:hanging="743"/>
        <w:spacing w:after="0" w:line="274" w:lineRule="auto"/>
        <w:tabs>
          <w:tab w:leader="none" w:pos="1500"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9"/>
          <w:szCs w:val="19"/>
          <w:color w:val="auto"/>
        </w:rPr>
      </w:pPr>
    </w:p>
    <w:p>
      <w:pPr>
        <w:ind w:left="1500" w:right="360" w:hanging="743"/>
        <w:spacing w:after="0" w:line="274" w:lineRule="auto"/>
        <w:tabs>
          <w:tab w:leader="none" w:pos="1500"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9"/>
          <w:szCs w:val="19"/>
          <w:color w:val="auto"/>
        </w:rPr>
      </w:pPr>
    </w:p>
    <w:p>
      <w:pPr>
        <w:ind w:left="1500" w:right="220" w:hanging="743"/>
        <w:spacing w:after="0" w:line="254" w:lineRule="auto"/>
        <w:tabs>
          <w:tab w:leader="none" w:pos="150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ind w:left="1500" w:right="60" w:hanging="743"/>
        <w:spacing w:after="0" w:line="254" w:lineRule="auto"/>
        <w:tabs>
          <w:tab w:leader="none" w:pos="150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4" w:lineRule="exact"/>
        <w:rPr>
          <w:rFonts w:ascii="Times New Roman" w:cs="Times New Roman" w:eastAsia="Times New Roman" w:hAnsi="Times New Roman"/>
          <w:sz w:val="20"/>
          <w:szCs w:val="20"/>
          <w:color w:val="auto"/>
        </w:rPr>
      </w:pPr>
    </w:p>
    <w:p>
      <w:pPr>
        <w:ind w:left="760" w:right="700" w:hanging="752"/>
        <w:spacing w:after="0" w:line="269" w:lineRule="auto"/>
        <w:tabs>
          <w:tab w:leader="none" w:pos="7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officer(s) and I have disclosed, based on our most recent evaluation of internal control over financial reporting, to the company’s auditors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1" w:name="page172"/>
    <w:bookmarkEnd w:id="171"/>
    <w:p>
      <w:pPr>
        <w:ind w:left="3"/>
        <w:spacing w:after="0"/>
        <w:rPr>
          <w:sz w:val="20"/>
          <w:szCs w:val="20"/>
          <w:color w:val="auto"/>
        </w:rPr>
      </w:pPr>
      <w:r>
        <w:rPr>
          <w:rFonts w:ascii="Times New Roman" w:cs="Times New Roman" w:eastAsia="Times New Roman" w:hAnsi="Times New Roman"/>
          <w:sz w:val="20"/>
          <w:szCs w:val="20"/>
          <w:color w:val="auto"/>
        </w:rPr>
        <w:t>audit committee of the company’s board of directors (or persons performing the equivalent functions):</w:t>
      </w:r>
    </w:p>
    <w:p>
      <w:pPr>
        <w:spacing w:after="0" w:line="216" w:lineRule="exact"/>
        <w:rPr>
          <w:sz w:val="20"/>
          <w:szCs w:val="20"/>
          <w:color w:val="auto"/>
        </w:rPr>
      </w:pPr>
    </w:p>
    <w:p>
      <w:pPr>
        <w:ind w:left="743" w:hanging="743"/>
        <w:spacing w:after="0" w:line="254" w:lineRule="auto"/>
        <w:tabs>
          <w:tab w:leader="none" w:pos="74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743" w:right="400" w:hanging="743"/>
        <w:spacing w:after="0" w:line="269" w:lineRule="auto"/>
        <w:tabs>
          <w:tab w:leader="none" w:pos="74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563"/>
        <w:spacing w:after="0"/>
        <w:tabs>
          <w:tab w:leader="none" w:pos="4323"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April 24, 2026</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563"/>
        <w:spacing w:after="0"/>
        <w:rPr>
          <w:sz w:val="20"/>
          <w:szCs w:val="20"/>
          <w:color w:val="auto"/>
        </w:rPr>
      </w:pPr>
      <w:r>
        <w:rPr>
          <w:rFonts w:ascii="Times New Roman" w:cs="Times New Roman" w:eastAsia="Times New Roman" w:hAnsi="Times New Roman"/>
          <w:sz w:val="20"/>
          <w:szCs w:val="20"/>
          <w:color w:val="auto"/>
        </w:rPr>
        <w:t>By: /s/ Tongbo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-10795</wp:posOffset>
            </wp:positionV>
            <wp:extent cx="78105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5">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88" w:lineRule="exact"/>
        <w:rPr>
          <w:sz w:val="20"/>
          <w:szCs w:val="20"/>
          <w:color w:val="auto"/>
        </w:rPr>
      </w:pPr>
    </w:p>
    <w:p>
      <w:pPr>
        <w:ind w:left="3563"/>
        <w:spacing w:after="0"/>
        <w:tabs>
          <w:tab w:leader="none" w:pos="4323" w:val="left"/>
        </w:tabs>
        <w:rPr>
          <w:sz w:val="20"/>
          <w:szCs w:val="20"/>
          <w:color w:val="auto"/>
        </w:rPr>
      </w:pPr>
      <w:r>
        <w:rPr>
          <w:rFonts w:ascii="Times New Roman" w:cs="Times New Roman" w:eastAsia="Times New Roman" w:hAnsi="Times New Roman"/>
          <w:sz w:val="20"/>
          <w:szCs w:val="20"/>
          <w:color w:val="auto"/>
        </w:rPr>
        <w:t>Name:</w:t>
        <w:tab/>
        <w:t>Tongbo Liu</w:t>
      </w:r>
    </w:p>
    <w:p>
      <w:pPr>
        <w:spacing w:after="0" w:line="108" w:lineRule="exact"/>
        <w:rPr>
          <w:sz w:val="20"/>
          <w:szCs w:val="20"/>
          <w:color w:val="auto"/>
        </w:rPr>
      </w:pPr>
    </w:p>
    <w:p>
      <w:pPr>
        <w:ind w:left="3563"/>
        <w:spacing w:after="0"/>
        <w:tabs>
          <w:tab w:leader="none" w:pos="4323"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Executive Officer (principal executive officer)</w:t>
      </w:r>
    </w:p>
    <w:p>
      <w:pPr>
        <w:spacing w:after="0" w:line="200" w:lineRule="exact"/>
        <w:rPr>
          <w:sz w:val="20"/>
          <w:szCs w:val="20"/>
          <w:color w:val="auto"/>
        </w:rPr>
      </w:pPr>
    </w:p>
    <w:p>
      <w:pPr>
        <w:spacing w:after="0" w:line="308"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3"/>
          </w:cols>
          <w:pgMar w:left="1077" w:top="1413" w:right="47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0"/>
          <w:szCs w:val="20"/>
          <w:b w:val="1"/>
          <w:bCs w:val="1"/>
          <w:color w:val="auto"/>
        </w:rPr>
        <w:t>Exhibit 12.2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by the Principal Financial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Hangyu Li, certify that:</w:t>
      </w:r>
    </w:p>
    <w:p>
      <w:pPr>
        <w:spacing w:after="0" w:line="216" w:lineRule="exact"/>
        <w:rPr>
          <w:sz w:val="20"/>
          <w:szCs w:val="20"/>
          <w:color w:val="auto"/>
        </w:rPr>
      </w:pPr>
    </w:p>
    <w:p>
      <w:pPr>
        <w:ind w:left="760" w:hanging="752"/>
        <w:spacing w:after="0"/>
        <w:tabs>
          <w:tab w:leader="none" w:pos="7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20-F of Sunlands Technology Group (the “company”);</w:t>
      </w:r>
    </w:p>
    <w:p>
      <w:pPr>
        <w:spacing w:after="0" w:line="215" w:lineRule="exact"/>
        <w:rPr>
          <w:rFonts w:ascii="Times New Roman" w:cs="Times New Roman" w:eastAsia="Times New Roman" w:hAnsi="Times New Roman"/>
          <w:sz w:val="20"/>
          <w:szCs w:val="20"/>
          <w:color w:val="auto"/>
        </w:rPr>
      </w:pPr>
    </w:p>
    <w:p>
      <w:pPr>
        <w:ind w:left="760" w:right="120" w:hanging="752"/>
        <w:spacing w:after="0" w:line="254" w:lineRule="auto"/>
        <w:tabs>
          <w:tab w:leader="none" w:pos="7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760" w:right="40" w:hanging="752"/>
        <w:spacing w:after="0" w:line="254" w:lineRule="auto"/>
        <w:tabs>
          <w:tab w:leader="none" w:pos="7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4" w:lineRule="exact"/>
        <w:rPr>
          <w:rFonts w:ascii="Times New Roman" w:cs="Times New Roman" w:eastAsia="Times New Roman" w:hAnsi="Times New Roman"/>
          <w:sz w:val="20"/>
          <w:szCs w:val="20"/>
          <w:color w:val="auto"/>
        </w:rPr>
      </w:pPr>
    </w:p>
    <w:p>
      <w:pPr>
        <w:ind w:left="760" w:right="100" w:hanging="752"/>
        <w:spacing w:after="0" w:line="254" w:lineRule="auto"/>
        <w:tabs>
          <w:tab w:leader="none" w:pos="7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4" w:lineRule="exact"/>
        <w:rPr>
          <w:rFonts w:ascii="Times New Roman" w:cs="Times New Roman" w:eastAsia="Times New Roman" w:hAnsi="Times New Roman"/>
          <w:sz w:val="20"/>
          <w:szCs w:val="20"/>
          <w:color w:val="auto"/>
        </w:rPr>
      </w:pPr>
    </w:p>
    <w:p>
      <w:pPr>
        <w:ind w:left="1500" w:right="40" w:hanging="743"/>
        <w:spacing w:after="0" w:line="274" w:lineRule="auto"/>
        <w:tabs>
          <w:tab w:leader="none" w:pos="1500"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9"/>
          <w:szCs w:val="19"/>
          <w:color w:val="auto"/>
        </w:rPr>
      </w:pPr>
    </w:p>
    <w:p>
      <w:pPr>
        <w:ind w:left="1500" w:right="360" w:hanging="743"/>
        <w:spacing w:after="0" w:line="274" w:lineRule="auto"/>
        <w:tabs>
          <w:tab w:leader="none" w:pos="1500"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9"/>
          <w:szCs w:val="19"/>
          <w:color w:val="auto"/>
        </w:rPr>
      </w:pPr>
    </w:p>
    <w:p>
      <w:pPr>
        <w:ind w:left="1500" w:right="220" w:hanging="743"/>
        <w:spacing w:after="0" w:line="254" w:lineRule="auto"/>
        <w:tabs>
          <w:tab w:leader="none" w:pos="150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ind w:left="1500" w:right="60" w:hanging="743"/>
        <w:spacing w:after="0" w:line="254" w:lineRule="auto"/>
        <w:tabs>
          <w:tab w:leader="none" w:pos="150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4" w:lineRule="exact"/>
        <w:rPr>
          <w:rFonts w:ascii="Times New Roman" w:cs="Times New Roman" w:eastAsia="Times New Roman" w:hAnsi="Times New Roman"/>
          <w:sz w:val="20"/>
          <w:szCs w:val="20"/>
          <w:color w:val="auto"/>
        </w:rPr>
      </w:pPr>
    </w:p>
    <w:p>
      <w:pPr>
        <w:ind w:left="760" w:right="700" w:hanging="752"/>
        <w:spacing w:after="0" w:line="269" w:lineRule="auto"/>
        <w:tabs>
          <w:tab w:leader="none" w:pos="7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officer(s) and I have disclosed, based on our most recent evaluation of internal control over financial reporting, to the company’s auditors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3" w:name="page174"/>
    <w:bookmarkEnd w:id="173"/>
    <w:p>
      <w:pPr>
        <w:ind w:left="3"/>
        <w:spacing w:after="0"/>
        <w:rPr>
          <w:sz w:val="20"/>
          <w:szCs w:val="20"/>
          <w:color w:val="auto"/>
        </w:rPr>
      </w:pPr>
      <w:r>
        <w:rPr>
          <w:rFonts w:ascii="Times New Roman" w:cs="Times New Roman" w:eastAsia="Times New Roman" w:hAnsi="Times New Roman"/>
          <w:sz w:val="20"/>
          <w:szCs w:val="20"/>
          <w:color w:val="auto"/>
        </w:rPr>
        <w:t>audit committee of the company’s board of directors (or persons performing the equivalent functions):</w:t>
      </w:r>
    </w:p>
    <w:p>
      <w:pPr>
        <w:spacing w:after="0" w:line="216" w:lineRule="exact"/>
        <w:rPr>
          <w:sz w:val="20"/>
          <w:szCs w:val="20"/>
          <w:color w:val="auto"/>
        </w:rPr>
      </w:pPr>
    </w:p>
    <w:p>
      <w:pPr>
        <w:ind w:left="743" w:hanging="743"/>
        <w:spacing w:after="0" w:line="254" w:lineRule="auto"/>
        <w:tabs>
          <w:tab w:leader="none" w:pos="74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743" w:right="400" w:hanging="743"/>
        <w:spacing w:after="0" w:line="269" w:lineRule="auto"/>
        <w:tabs>
          <w:tab w:leader="none" w:pos="74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563"/>
        <w:spacing w:after="0"/>
        <w:tabs>
          <w:tab w:leader="none" w:pos="4323"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April 24, 2026</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563"/>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Hangyu Li</w:t>
      </w:r>
    </w:p>
    <w:p>
      <w:pPr>
        <w:spacing w:after="0" w:line="108" w:lineRule="exact"/>
        <w:rPr>
          <w:sz w:val="20"/>
          <w:szCs w:val="20"/>
          <w:color w:val="auto"/>
        </w:rPr>
      </w:pPr>
    </w:p>
    <w:p>
      <w:pPr>
        <w:ind w:left="3563"/>
        <w:spacing w:after="0"/>
        <w:tabs>
          <w:tab w:leader="none" w:pos="4323" w:val="left"/>
        </w:tabs>
        <w:rPr>
          <w:sz w:val="20"/>
          <w:szCs w:val="20"/>
          <w:color w:val="auto"/>
        </w:rPr>
      </w:pPr>
      <w:r>
        <w:rPr>
          <w:rFonts w:ascii="Times New Roman" w:cs="Times New Roman" w:eastAsia="Times New Roman" w:hAnsi="Times New Roman"/>
          <w:sz w:val="20"/>
          <w:szCs w:val="20"/>
          <w:color w:val="auto"/>
        </w:rPr>
        <w:t>Name:</w:t>
        <w:tab/>
        <w:t>Hangyu Li</w:t>
      </w:r>
    </w:p>
    <w:p>
      <w:pPr>
        <w:spacing w:after="0" w:line="108" w:lineRule="exact"/>
        <w:rPr>
          <w:sz w:val="20"/>
          <w:szCs w:val="20"/>
          <w:color w:val="auto"/>
        </w:rPr>
      </w:pPr>
    </w:p>
    <w:p>
      <w:pPr>
        <w:ind w:left="3563"/>
        <w:spacing w:after="0"/>
        <w:tabs>
          <w:tab w:leader="none" w:pos="4323"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Finance Director (principal financial and accounting officer)</w:t>
      </w:r>
    </w:p>
    <w:p>
      <w:pPr>
        <w:spacing w:after="0" w:line="200" w:lineRule="exact"/>
        <w:rPr>
          <w:sz w:val="20"/>
          <w:szCs w:val="20"/>
          <w:color w:val="auto"/>
        </w:rPr>
      </w:pPr>
    </w:p>
    <w:p>
      <w:pPr>
        <w:spacing w:after="0" w:line="308"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3"/>
          </w:cols>
          <w:pgMar w:left="1077" w:top="1413" w:right="47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0"/>
          <w:szCs w:val="20"/>
          <w:b w:val="1"/>
          <w:bCs w:val="1"/>
          <w:color w:val="auto"/>
        </w:rPr>
        <w:t>Exhibit 13.1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by the Principal Executive Officer</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200" w:lineRule="exact"/>
        <w:rPr>
          <w:sz w:val="20"/>
          <w:szCs w:val="20"/>
          <w:color w:val="auto"/>
        </w:rPr>
      </w:pPr>
    </w:p>
    <w:p>
      <w:pPr>
        <w:spacing w:after="0" w:line="236" w:lineRule="exact"/>
        <w:rPr>
          <w:sz w:val="20"/>
          <w:szCs w:val="20"/>
          <w:color w:val="auto"/>
        </w:rPr>
      </w:pPr>
    </w:p>
    <w:p>
      <w:pPr>
        <w:jc w:val="both"/>
        <w:ind w:right="100" w:firstLine="396"/>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Sunlands Technology Group (the “Company”) on Form 20-F for the year ended December 31, 2025 as filed with the Securities and Exchange Commission on the date hereof (the “Report”), I, Tongbo Liu,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760" w:hanging="752"/>
        <w:spacing w:after="0"/>
        <w:tabs>
          <w:tab w:leader="none" w:pos="7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760" w:right="140" w:hanging="752"/>
        <w:spacing w:after="0" w:line="269" w:lineRule="auto"/>
        <w:tabs>
          <w:tab w:leader="none" w:pos="7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320"/>
        <w:spacing w:after="0"/>
        <w:tabs>
          <w:tab w:leader="none" w:pos="50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April 24, 2026</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By: /s/ Tongbo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-10795</wp:posOffset>
            </wp:positionV>
            <wp:extent cx="78105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9">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88" w:lineRule="exact"/>
        <w:rPr>
          <w:sz w:val="20"/>
          <w:szCs w:val="20"/>
          <w:color w:val="auto"/>
        </w:rPr>
      </w:pPr>
    </w:p>
    <w:p>
      <w:pPr>
        <w:ind w:left="4320"/>
        <w:spacing w:after="0"/>
        <w:tabs>
          <w:tab w:leader="none" w:pos="5080" w:val="left"/>
        </w:tabs>
        <w:rPr>
          <w:sz w:val="20"/>
          <w:szCs w:val="20"/>
          <w:color w:val="auto"/>
        </w:rPr>
      </w:pPr>
      <w:r>
        <w:rPr>
          <w:rFonts w:ascii="Times New Roman" w:cs="Times New Roman" w:eastAsia="Times New Roman" w:hAnsi="Times New Roman"/>
          <w:sz w:val="20"/>
          <w:szCs w:val="20"/>
          <w:color w:val="auto"/>
        </w:rPr>
        <w:t>Name:</w:t>
        <w:tab/>
        <w:t>Tongbo Liu</w:t>
      </w:r>
    </w:p>
    <w:p>
      <w:pPr>
        <w:spacing w:after="0" w:line="108" w:lineRule="exact"/>
        <w:rPr>
          <w:sz w:val="20"/>
          <w:szCs w:val="20"/>
          <w:color w:val="auto"/>
        </w:rPr>
      </w:pPr>
    </w:p>
    <w:p>
      <w:pPr>
        <w:ind w:left="4320"/>
        <w:spacing w:after="0"/>
        <w:tabs>
          <w:tab w:leader="none" w:pos="50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0"/>
          <w:szCs w:val="20"/>
          <w:b w:val="1"/>
          <w:bCs w:val="1"/>
          <w:color w:val="auto"/>
        </w:rPr>
        <w:t>Exhibit 13.2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by the Principal Financial Officer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200" w:lineRule="exact"/>
        <w:rPr>
          <w:sz w:val="20"/>
          <w:szCs w:val="20"/>
          <w:color w:val="auto"/>
        </w:rPr>
      </w:pP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In connection with the Annual Report of Sunlands Technology Group (the “Company”) on Form 20-F for the year ended December 31,</w:t>
      </w:r>
    </w:p>
    <w:p>
      <w:pPr>
        <w:spacing w:after="0" w:line="33" w:lineRule="exact"/>
        <w:rPr>
          <w:sz w:val="20"/>
          <w:szCs w:val="20"/>
          <w:color w:val="auto"/>
        </w:rPr>
      </w:pPr>
    </w:p>
    <w:p>
      <w:pPr>
        <w:ind w:right="360"/>
        <w:spacing w:after="0" w:line="242" w:lineRule="auto"/>
        <w:rPr>
          <w:sz w:val="20"/>
          <w:szCs w:val="20"/>
          <w:color w:val="auto"/>
        </w:rPr>
      </w:pPr>
      <w:r>
        <w:rPr>
          <w:rFonts w:ascii="Times New Roman" w:cs="Times New Roman" w:eastAsia="Times New Roman" w:hAnsi="Times New Roman"/>
          <w:sz w:val="20"/>
          <w:szCs w:val="20"/>
          <w:color w:val="auto"/>
        </w:rPr>
        <w:t>2025 as filed with the Securities and Exchange Commission on the date hereof (the “Report”), I, Hangyu Li, Financial Controller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760" w:hanging="752"/>
        <w:spacing w:after="0"/>
        <w:tabs>
          <w:tab w:leader="none" w:pos="7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760" w:right="140" w:hanging="752"/>
        <w:spacing w:after="0" w:line="269" w:lineRule="auto"/>
        <w:tabs>
          <w:tab w:leader="none" w:pos="7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320"/>
        <w:spacing w:after="0"/>
        <w:tabs>
          <w:tab w:leader="none" w:pos="50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April 24, 2026</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By: /s/ Hangyu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-10795</wp:posOffset>
            </wp:positionV>
            <wp:extent cx="72263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1">
                      <a:extLst>
                        <a:ext uri="{28A0092B-C50C-407E-A947-70E740481C1C}"/>
                      </a:extLst>
                    </a:blip>
                    <a:srcRect/>
                    <a:stretch>
                      <a:fillRect/>
                    </a:stretch>
                  </pic:blipFill>
                  <pic:spPr bwMode="auto">
                    <a:xfrm>
                      <a:off x="0" y="0"/>
                      <a:ext cx="722630" cy="8890"/>
                    </a:xfrm>
                    <a:prstGeom prst="rect">
                      <a:avLst/>
                    </a:prstGeom>
                    <a:noFill/>
                  </pic:spPr>
                </pic:pic>
              </a:graphicData>
            </a:graphic>
          </wp:anchor>
        </w:drawing>
      </w:r>
    </w:p>
    <w:p>
      <w:pPr>
        <w:spacing w:after="0" w:line="88" w:lineRule="exact"/>
        <w:rPr>
          <w:sz w:val="20"/>
          <w:szCs w:val="20"/>
          <w:color w:val="auto"/>
        </w:rPr>
      </w:pPr>
    </w:p>
    <w:p>
      <w:pPr>
        <w:ind w:left="4320"/>
        <w:spacing w:after="0"/>
        <w:tabs>
          <w:tab w:leader="none" w:pos="5080" w:val="left"/>
        </w:tabs>
        <w:rPr>
          <w:sz w:val="20"/>
          <w:szCs w:val="20"/>
          <w:color w:val="auto"/>
        </w:rPr>
      </w:pPr>
      <w:r>
        <w:rPr>
          <w:rFonts w:ascii="Times New Roman" w:cs="Times New Roman" w:eastAsia="Times New Roman" w:hAnsi="Times New Roman"/>
          <w:sz w:val="20"/>
          <w:szCs w:val="20"/>
          <w:color w:val="auto"/>
        </w:rPr>
        <w:t>Name:</w:t>
        <w:tab/>
        <w:t>Hangyu Li</w:t>
      </w:r>
    </w:p>
    <w:p>
      <w:pPr>
        <w:spacing w:after="0" w:line="108" w:lineRule="exact"/>
        <w:rPr>
          <w:sz w:val="20"/>
          <w:szCs w:val="20"/>
          <w:color w:val="auto"/>
        </w:rPr>
      </w:pPr>
    </w:p>
    <w:p>
      <w:pPr>
        <w:ind w:left="4320"/>
        <w:spacing w:after="0"/>
        <w:tabs>
          <w:tab w:leader="none" w:pos="50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Finance Director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6" w:name="page177"/>
    <w:bookmarkEnd w:id="176"/>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156845</wp:posOffset>
            </wp:positionV>
            <wp:extent cx="2597150" cy="44577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3">
                      <a:extLst>
                        <a:ext uri="{28A0092B-C50C-407E-A947-70E740481C1C}"/>
                      </a:extLst>
                    </a:blip>
                    <a:srcRect/>
                    <a:stretch>
                      <a:fillRect/>
                    </a:stretch>
                  </pic:blipFill>
                  <pic:spPr bwMode="auto">
                    <a:xfrm>
                      <a:off x="0" y="0"/>
                      <a:ext cx="25971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TIAN YUAN LAW FIRM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5/F, Tower A, Corporate Square, 35 Financial Street, Xicheng District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Beijing 100033, P. R. China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(8610) 5776-3888; Fax: (8610) 5776-3777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April 24,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Sunlands Technology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Building 6, Chaolai Science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36 Chuangyuan Road, Chaoyang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100012, the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hereby consent to the reference to our firm in “Item 3. Key Information—Contractual Arrangements with Consolidated VIEs and Their Shareholders,” “Item 3. Key Information—Licenses and Approvals,” “Item 3. Key Information—Recent Regulatory Development,” “Item 3. Key Information—Transfer of Funds and Other Assets,” “Item 3. Key Information—3.D. Risk Factors,” “Item 4. Information on the Company—4.B. Business Overview— Regulation,” “Item 5. Operating and Financial Review and Prospects—5.B. Liquidity and Capital Resources—Transfer of Funds and Other Assets” and “Item 10. Additional Information—10.E. Taxation” in the annual report on Form 20-F for the fiscal year ended December 31, 2024, which will be filed by Sunlands Technology Group on April 24, 2026 with the Securities and Exchange Commission under the Securities Exchange Act of 1934, as amended. We also consent to the filing with the Securities and Exchange Commission of this consent letter as an exhibit to the annual report on Form 20-F for the fiscal year ended December 31, 2025.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9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0" w:lineRule="exact"/>
        <w:rPr>
          <w:sz w:val="20"/>
          <w:szCs w:val="20"/>
          <w:color w:val="auto"/>
        </w:rPr>
      </w:pPr>
    </w:p>
    <w:p>
      <w:pPr>
        <w:spacing w:after="0" w:line="2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u w:val="single" w:color="auto"/>
          <w:color w:val="auto"/>
        </w:rPr>
        <w:t>/s/ Tian Yuan Law Firm</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Tian Yuan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22960" cy="77978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5">
                      <a:extLst>
                        <a:ext uri="{28A0092B-C50C-407E-A947-70E740481C1C}"/>
                      </a:extLst>
                    </a:blip>
                    <a:srcRect/>
                    <a:stretch>
                      <a:fillRect/>
                    </a:stretch>
                  </pic:blipFill>
                  <pic:spPr bwMode="auto">
                    <a:xfrm>
                      <a:off x="0" y="0"/>
                      <a:ext cx="8229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880" w:val="left"/>
        </w:tabs>
        <w:rPr>
          <w:sz w:val="20"/>
          <w:szCs w:val="20"/>
          <w:color w:val="auto"/>
        </w:rPr>
      </w:pPr>
      <w:r>
        <w:rPr>
          <w:rFonts w:ascii="Arial" w:cs="Arial" w:eastAsia="Arial" w:hAnsi="Arial"/>
          <w:sz w:val="19"/>
          <w:szCs w:val="19"/>
          <w:b w:val="1"/>
          <w:bCs w:val="1"/>
          <w:color w:val="auto"/>
        </w:rPr>
        <w:t>Our ref</w:t>
      </w:r>
      <w:r>
        <w:rPr>
          <w:sz w:val="20"/>
          <w:szCs w:val="20"/>
          <w:color w:val="auto"/>
        </w:rPr>
        <w:tab/>
      </w:r>
      <w:r>
        <w:rPr>
          <w:rFonts w:ascii="Arial" w:cs="Arial" w:eastAsia="Arial" w:hAnsi="Arial"/>
          <w:sz w:val="19"/>
          <w:szCs w:val="19"/>
          <w:color w:val="auto"/>
        </w:rPr>
        <w:t>DOCPROPERTY DocXDocID SQG/734829-000001/86213089v1</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Sunlands Technology Group</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Building 6, Chaolai Science Park,</w:t>
      </w:r>
    </w:p>
    <w:p>
      <w:pPr>
        <w:spacing w:after="0" w:line="237" w:lineRule="auto"/>
        <w:rPr>
          <w:sz w:val="20"/>
          <w:szCs w:val="20"/>
          <w:color w:val="auto"/>
        </w:rPr>
      </w:pPr>
      <w:r>
        <w:rPr>
          <w:rFonts w:ascii="Arial" w:cs="Arial" w:eastAsia="Arial" w:hAnsi="Arial"/>
          <w:sz w:val="19"/>
          <w:szCs w:val="19"/>
          <w:color w:val="auto"/>
        </w:rPr>
        <w:t>No. 36 Chuangyuan Road, Chaoyang District,</w:t>
      </w:r>
    </w:p>
    <w:p>
      <w:pPr>
        <w:spacing w:after="0" w:line="237" w:lineRule="auto"/>
        <w:rPr>
          <w:sz w:val="20"/>
          <w:szCs w:val="20"/>
          <w:color w:val="auto"/>
        </w:rPr>
      </w:pPr>
      <w:r>
        <w:rPr>
          <w:rFonts w:ascii="Arial" w:cs="Arial" w:eastAsia="Arial" w:hAnsi="Arial"/>
          <w:sz w:val="19"/>
          <w:szCs w:val="19"/>
          <w:color w:val="auto"/>
        </w:rPr>
        <w:t>Beijing, 1000012</w:t>
      </w:r>
    </w:p>
    <w:p>
      <w:pPr>
        <w:spacing w:after="0"/>
        <w:rPr>
          <w:sz w:val="20"/>
          <w:szCs w:val="20"/>
          <w:color w:val="auto"/>
        </w:rPr>
      </w:pPr>
      <w:r>
        <w:rPr>
          <w:rFonts w:ascii="Arial" w:cs="Arial" w:eastAsia="Arial" w:hAnsi="Arial"/>
          <w:sz w:val="19"/>
          <w:szCs w:val="19"/>
          <w:color w:val="auto"/>
        </w:rPr>
        <w:t>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color w:val="auto"/>
        </w:rPr>
        <w:t>24 April 2026</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Sunlands Technology Group</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We have acted as legal advisers as to the laws of the Cayman Islands to Sunlands Technology Group, an exempted company with limited liability incorporated in the Cayman Islands (the “</w:t>
      </w:r>
      <w:r>
        <w:rPr>
          <w:rFonts w:ascii="Arial" w:cs="Arial" w:eastAsia="Arial" w:hAnsi="Arial"/>
          <w:sz w:val="19"/>
          <w:szCs w:val="19"/>
          <w:b w:val="1"/>
          <w:bCs w:val="1"/>
          <w:color w:val="auto"/>
        </w:rPr>
        <w:t>Company</w:t>
      </w:r>
      <w:r>
        <w:rPr>
          <w:rFonts w:ascii="Arial" w:cs="Arial" w:eastAsia="Arial" w:hAnsi="Arial"/>
          <w:sz w:val="19"/>
          <w:szCs w:val="19"/>
          <w:color w:val="auto"/>
        </w:rPr>
        <w:t>”), in connection with the filing by the Company with the United States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of an annual report on Form 20-F for the year ended 31 December 2025 (the “</w:t>
      </w:r>
      <w:r>
        <w:rPr>
          <w:rFonts w:ascii="Arial" w:cs="Arial" w:eastAsia="Arial" w:hAnsi="Arial"/>
          <w:sz w:val="19"/>
          <w:szCs w:val="19"/>
          <w:b w:val="1"/>
          <w:bCs w:val="1"/>
          <w:color w:val="auto"/>
        </w:rPr>
        <w:t>Annual Report</w:t>
      </w:r>
      <w:r>
        <w:rPr>
          <w:rFonts w:ascii="Arial" w:cs="Arial" w:eastAsia="Arial" w:hAnsi="Arial"/>
          <w:sz w:val="19"/>
          <w:szCs w:val="19"/>
          <w:color w:val="auto"/>
        </w:rPr>
        <w:t>”).</w:t>
      </w:r>
    </w:p>
    <w:p>
      <w:pPr>
        <w:spacing w:after="0" w:line="5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hereby consent to the reference to our firm under the heading “Item 10. Additional Information—E. Taxation—Cayman Islands Taxation” in the Annual Report, and we further consent to the incorporation by reference of the summary of our opinions under these headings into the Company’s registration statement on Form S-8 (File No. 333-224890) that was filed on 11 May 2018, pertaining to the Company’s 2017 Share Incentive Plan.</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Yours faithfully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/s/ Maples and Calder (Hong Kong) LLP</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1100455</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consent to the incorporation by reference in Registration Statement No. 333-224890 on Form S-8 of our report dated April 24, 2026, relating to the financial statements of Sunlands Technology Group appearing in this Annual Report on Form 20-F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Deloitte Touche Tohmatsu Certified Public Accountants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Beijing, the People’s Republic of China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emdash \e"/>
      <w:numFmt w:val="bullet"/>
      <w:start w:val="1"/>
    </w:lvl>
  </w:abstractNum>
  <w:abstractNum w:abstractNumId="9">
    <w:nsid w:val="354FE9F9"/>
    <w:multiLevelType w:val="hybridMultilevel"/>
    <w:lvl w:ilvl="0">
      <w:lvlJc w:val="left"/>
      <w:lvlText w:val="(%1)"/>
      <w:numFmt w:val="lowerRoman"/>
      <w:start w:val="1"/>
    </w:lvl>
  </w:abstractNum>
  <w:abstractNum w:abstractNumId="10">
    <w:nsid w:val="15B5AF5C"/>
    <w:multiLevelType w:val="hybridMultilevel"/>
    <w:lvl w:ilvl="0">
      <w:lvlJc w:val="left"/>
      <w:lvlText w:val="(%1)"/>
      <w:numFmt w:val="decimal"/>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1)"/>
      <w:numFmt w:val="lowerRoman"/>
      <w:start w:val="4"/>
    </w:lvl>
  </w:abstractNum>
  <w:abstractNum w:abstractNumId="18">
    <w:nsid w:val="579BE4F1"/>
    <w:multiLevelType w:val="hybridMultilevel"/>
    <w:lvl w:ilvl="0">
      <w:lvlJc w:val="left"/>
      <w:lvlText w:val="%1."/>
      <w:numFmt w:val="decimal"/>
      <w:start w:val="15"/>
    </w:lvl>
  </w:abstractNum>
  <w:abstractNum w:abstractNumId="19">
    <w:nsid w:val="310C50B3"/>
    <w:multiLevelType w:val="hybridMultilevel"/>
    <w:lvl w:ilvl="0">
      <w:lvlJc w:val="left"/>
      <w:lvlText w:val="%1."/>
      <w:numFmt w:val="decimal"/>
      <w:start w:val="404"/>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1)"/>
      <w:numFmt w:val="lowerRoman"/>
      <w:start w:val="2"/>
    </w:lvl>
  </w:abstractNum>
  <w:abstractNum w:abstractNumId="24">
    <w:nsid w:val="4AD084E9"/>
    <w:multiLevelType w:val="hybridMultilevel"/>
    <w:lvl w:ilvl="0">
      <w:lvlJc w:val="left"/>
      <w:lvlText w:val="(%1)"/>
      <w:numFmt w:val="decimal"/>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1)"/>
      <w:numFmt w:val="decimal"/>
      <w:start w:val="2"/>
    </w:lvl>
  </w:abstractNum>
  <w:abstractNum w:abstractNumId="31">
    <w:nsid w:val="5F5E7FD0"/>
    <w:multiLevelType w:val="hybridMultilevel"/>
    <w:lvl w:ilvl="0">
      <w:lvlJc w:val="left"/>
      <w:lvlText w:val="(%1)"/>
      <w:numFmt w:val="decimal"/>
      <w:start w:val="3"/>
    </w:lvl>
  </w:abstractNum>
  <w:abstractNum w:abstractNumId="32">
    <w:nsid w:val="98A3148"/>
    <w:multiLevelType w:val="hybridMultilevel"/>
    <w:lvl w:ilvl="0">
      <w:lvlJc w:val="left"/>
      <w:lvlText w:val="(%1)"/>
      <w:numFmt w:val="lowerRoman"/>
      <w:start w:val="2"/>
    </w:lvl>
  </w:abstractNum>
  <w:abstractNum w:abstractNumId="33">
    <w:nsid w:val="799D0247"/>
    <w:multiLevelType w:val="hybridMultilevel"/>
    <w:lvl w:ilvl="0">
      <w:lvlJc w:val="left"/>
      <w:lvlText w:val="(%1)"/>
      <w:numFmt w:val="lowerRoman"/>
      <w:start w:val="2"/>
    </w:lvl>
  </w:abstractNum>
  <w:abstractNum w:abstractNumId="34">
    <w:nsid w:val="6B94764"/>
    <w:multiLevelType w:val="hybridMultilevel"/>
    <w:lvl w:ilvl="0">
      <w:lvlJc w:val="left"/>
      <w:lvlText w:val="\emdash \e"/>
      <w:numFmt w:val="bullet"/>
      <w:start w:val="1"/>
    </w:lvl>
  </w:abstractNum>
  <w:abstractNum w:abstractNumId="35">
    <w:nsid w:val="42C296BD"/>
    <w:multiLevelType w:val="hybridMultilevel"/>
    <w:lvl w:ilvl="0">
      <w:lvlJc w:val="left"/>
      <w:lvlText w:val="(%1)"/>
      <w:numFmt w:val="decimal"/>
      <w:start w:val="1"/>
    </w:lvl>
  </w:abstractNum>
  <w:abstractNum w:abstractNumId="36">
    <w:nsid w:val="168E121F"/>
    <w:multiLevelType w:val="hybridMultilevel"/>
    <w:lvl w:ilvl="0">
      <w:lvlJc w:val="left"/>
      <w:lvlText w:val="(%1)"/>
      <w:numFmt w:val="decimal"/>
      <w:start w:val="1"/>
    </w:lvl>
  </w:abstractNum>
  <w:abstractNum w:abstractNumId="37">
    <w:nsid w:val="1EBA5D23"/>
    <w:multiLevelType w:val="hybridMultilevel"/>
    <w:lvl w:ilvl="0">
      <w:lvlJc w:val="left"/>
      <w:lvlText w:val="(%1)"/>
      <w:numFmt w:val="decimal"/>
      <w:start w:val="1"/>
    </w:lvl>
  </w:abstractNum>
  <w:abstractNum w:abstractNumId="38">
    <w:nsid w:val="661E3F1E"/>
    <w:multiLevelType w:val="hybridMultilevel"/>
    <w:lvl w:ilvl="0">
      <w:lvlJc w:val="left"/>
      <w:lvlText w:val="(%1)"/>
      <w:numFmt w:val="decimal"/>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1)"/>
      <w:numFmt w:val="decimal"/>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1)"/>
      <w:numFmt w:val="decimal"/>
      <w:start w:val="1"/>
    </w:lvl>
  </w:abstractNum>
  <w:abstractNum w:abstractNumId="49">
    <w:nsid w:val="1A32234B"/>
    <w:multiLevelType w:val="hybridMultilevel"/>
    <w:lvl w:ilvl="0">
      <w:lvlJc w:val="left"/>
      <w:lvlText w:val="(%1)"/>
      <w:numFmt w:val="lowerRoman"/>
      <w:start w:val="3"/>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1)"/>
      <w:numFmt w:val="decimal"/>
      <w:start w:val="1"/>
    </w:lvl>
  </w:abstractNum>
  <w:abstractNum w:abstractNumId="57">
    <w:nsid w:val="1A27709E"/>
    <w:multiLevelType w:val="hybridMultilevel"/>
    <w:lvl w:ilvl="0">
      <w:lvlJc w:val="left"/>
      <w:lvlText w:val="(%1)"/>
      <w:numFmt w:val="decimal"/>
      <w:start w:val="1"/>
    </w:lvl>
  </w:abstractNum>
  <w:abstractNum w:abstractNumId="58">
    <w:nsid w:val="71EA1109"/>
    <w:multiLevelType w:val="hybridMultilevel"/>
    <w:lvl w:ilvl="0">
      <w:lvlJc w:val="left"/>
      <w:lvlText w:val="*"/>
      <w:numFmt w:val="bullet"/>
      <w:start w:val="1"/>
    </w:lvl>
    <w:lvl w:ilvl="1">
      <w:lvlJc w:val="left"/>
      <w:lvlText w:val="(%2)"/>
      <w:numFmt w:val="decimal"/>
      <w:start w:val="1"/>
    </w:lvl>
  </w:abstractNum>
  <w:abstractNum w:abstractNumId="59">
    <w:nsid w:val="100F59DC"/>
    <w:multiLevelType w:val="hybridMultilevel"/>
    <w:lvl w:ilvl="0">
      <w:lvlJc w:val="left"/>
      <w:lvlText w:val="**"/>
      <w:numFmt w:val="bullet"/>
      <w:start w:val="1"/>
    </w:lvl>
    <w:lvl w:ilvl="1">
      <w:lvlJc w:val="left"/>
      <w:lvlText w:val="%2"/>
      <w:numFmt w:val="decimal"/>
      <w:start w:val="1"/>
    </w:lvl>
  </w:abstractNum>
  <w:abstractNum w:abstractNumId="60">
    <w:nsid w:val="7FB7E0AA"/>
    <w:multiLevelType w:val="hybridMultilevel"/>
    <w:lvl w:ilvl="0">
      <w:lvlJc w:val="left"/>
      <w:lvlText w:val="•"/>
      <w:numFmt w:val="bullet"/>
      <w:start w:val="1"/>
    </w:lvl>
    <w:lvl w:ilvl="1">
      <w:lvlJc w:val="left"/>
      <w:lvlText w:val="•"/>
      <w:numFmt w:val="bullet"/>
      <w:start w:val="1"/>
    </w:lvl>
  </w:abstractNum>
  <w:abstractNum w:abstractNumId="61">
    <w:nsid w:val="6EB5BD4"/>
    <w:multiLevelType w:val="hybridMultilevel"/>
    <w:lvl w:ilvl="0">
      <w:lvlJc w:val="left"/>
      <w:lvlText w:val="(%1)"/>
      <w:numFmt w:val="decimal"/>
      <w:start w:val="1"/>
    </w:lvl>
  </w:abstractNum>
  <w:abstractNum w:abstractNumId="62">
    <w:nsid w:val="6F6DD9AC"/>
    <w:multiLevelType w:val="hybridMultilevel"/>
    <w:lvl w:ilvl="0">
      <w:lvlJc w:val="left"/>
      <w:lvlText w:val="%1."/>
      <w:numFmt w:val="decimal"/>
      <w:start w:val="1"/>
    </w:lvl>
  </w:abstractNum>
  <w:abstractNum w:abstractNumId="63">
    <w:nsid w:val="94211F2"/>
    <w:multiLevelType w:val="hybridMultilevel"/>
    <w:lvl w:ilvl="0">
      <w:lvlJc w:val="left"/>
      <w:lvlText w:val="(%1)"/>
      <w:numFmt w:val="decimal"/>
      <w:start w:val="1"/>
    </w:lvl>
  </w:abstractNum>
  <w:abstractNum w:abstractNumId="64">
    <w:nsid w:val="885E1B"/>
    <w:multiLevelType w:val="hybridMultilevel"/>
    <w:lvl w:ilvl="0">
      <w:lvlJc w:val="left"/>
      <w:lvlText w:val="%1."/>
      <w:numFmt w:val="decimal"/>
      <w:start w:val="2"/>
    </w:lvl>
  </w:abstractNum>
  <w:abstractNum w:abstractNumId="65">
    <w:nsid w:val="76272110"/>
    <w:multiLevelType w:val="hybridMultilevel"/>
    <w:lvl w:ilvl="0">
      <w:lvlJc w:val="left"/>
      <w:lvlText w:val="%1."/>
      <w:numFmt w:val="decimal"/>
      <w:start w:val="2"/>
    </w:lvl>
  </w:abstractNum>
  <w:abstractNum w:abstractNumId="66">
    <w:nsid w:val="4C04A8AF"/>
    <w:multiLevelType w:val="hybridMultilevel"/>
    <w:lvl w:ilvl="0">
      <w:lvlJc w:val="left"/>
      <w:lvlText w:val="%1."/>
      <w:numFmt w:val="decimal"/>
      <w:start w:val="2"/>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1."/>
      <w:numFmt w:val="decimal"/>
      <w:start w:val="2"/>
    </w:lvl>
  </w:abstractNum>
  <w:abstractNum w:abstractNumId="69">
    <w:nsid w:val="3222E7CD"/>
    <w:multiLevelType w:val="hybridMultilevel"/>
    <w:lvl w:ilvl="0">
      <w:lvlJc w:val="left"/>
      <w:lvlText w:val="%1."/>
      <w:numFmt w:val="decimal"/>
      <w:start w:val="2"/>
    </w:lvl>
  </w:abstractNum>
  <w:abstractNum w:abstractNumId="70">
    <w:nsid w:val="74DE0EE3"/>
    <w:multiLevelType w:val="hybridMultilevel"/>
    <w:lvl w:ilvl="0">
      <w:lvlJc w:val="left"/>
      <w:lvlText w:val="%1."/>
      <w:numFmt w:val="decimal"/>
      <w:start w:val="2"/>
    </w:lvl>
  </w:abstractNum>
  <w:abstractNum w:abstractNumId="71">
    <w:nsid w:val="68EBC550"/>
    <w:multiLevelType w:val="hybridMultilevel"/>
    <w:lvl w:ilvl="0">
      <w:lvlJc w:val="left"/>
      <w:lvlText w:val="%1."/>
      <w:numFmt w:val="decimal"/>
      <w:start w:val="2"/>
    </w:lvl>
  </w:abstractNum>
  <w:abstractNum w:abstractNumId="72">
    <w:nsid w:val="2DF6D648"/>
    <w:multiLevelType w:val="hybridMultilevel"/>
    <w:lvl w:ilvl="0">
      <w:lvlJc w:val="left"/>
      <w:lvlText w:val="%1."/>
      <w:numFmt w:val="decimal"/>
      <w:start w:val="2"/>
    </w:lvl>
  </w:abstractNum>
  <w:abstractNum w:abstractNumId="73">
    <w:nsid w:val="46B7D447"/>
    <w:multiLevelType w:val="hybridMultilevel"/>
    <w:lvl w:ilvl="0">
      <w:lvlJc w:val="left"/>
      <w:lvlText w:val="%1."/>
      <w:numFmt w:val="decimal"/>
      <w:start w:val="2"/>
    </w:lvl>
  </w:abstractNum>
  <w:abstractNum w:abstractNumId="74">
    <w:nsid w:val="4A2AC315"/>
    <w:multiLevelType w:val="hybridMultilevel"/>
    <w:lvl w:ilvl="0">
      <w:lvlJc w:val="left"/>
      <w:lvlText w:val="%1."/>
      <w:numFmt w:val="decimal"/>
      <w:start w:val="2"/>
    </w:lvl>
  </w:abstractNum>
  <w:abstractNum w:abstractNumId="75">
    <w:nsid w:val="39EE015C"/>
    <w:multiLevelType w:val="hybridMultilevel"/>
    <w:lvl w:ilvl="0">
      <w:lvlJc w:val="left"/>
      <w:lvlText w:val="%1."/>
      <w:numFmt w:val="decimal"/>
      <w:start w:val="2"/>
    </w:lvl>
  </w:abstractNum>
  <w:abstractNum w:abstractNumId="76">
    <w:nsid w:val="57FC4FBB"/>
    <w:multiLevelType w:val="hybridMultilevel"/>
    <w:lvl w:ilvl="0">
      <w:lvlJc w:val="left"/>
      <w:lvlText w:val="%1."/>
      <w:numFmt w:val="decimal"/>
      <w:start w:val="2"/>
    </w:lvl>
  </w:abstractNum>
  <w:abstractNum w:abstractNumId="77">
    <w:nsid w:val="CC1016F"/>
    <w:multiLevelType w:val="hybridMultilevel"/>
    <w:lvl w:ilvl="0">
      <w:lvlJc w:val="left"/>
      <w:lvlText w:val="%1."/>
      <w:numFmt w:val="decimal"/>
      <w:start w:val="4"/>
    </w:lvl>
  </w:abstractNum>
  <w:abstractNum w:abstractNumId="78">
    <w:nsid w:val="43F18422"/>
    <w:multiLevelType w:val="hybridMultilevel"/>
    <w:lvl w:ilvl="0">
      <w:lvlJc w:val="left"/>
      <w:lvlText w:val="(%1)"/>
      <w:numFmt w:val="decimal"/>
      <w:start w:val="1"/>
    </w:lvl>
  </w:abstractNum>
  <w:abstractNum w:abstractNumId="79">
    <w:nsid w:val="60EF0119"/>
    <w:multiLevelType w:val="hybridMultilevel"/>
    <w:lvl w:ilvl="0">
      <w:lvlJc w:val="left"/>
      <w:lvlText w:val="%1."/>
      <w:numFmt w:val="decimal"/>
      <w:start w:val="5"/>
    </w:lvl>
  </w:abstractNum>
  <w:abstractNum w:abstractNumId="80">
    <w:nsid w:val="26F324BA"/>
    <w:multiLevelType w:val="hybridMultilevel"/>
    <w:lvl w:ilvl="0">
      <w:lvlJc w:val="left"/>
      <w:lvlText w:val="(%1)"/>
      <w:numFmt w:val="decimal"/>
      <w:start w:val="1"/>
    </w:lvl>
  </w:abstractNum>
  <w:abstractNum w:abstractNumId="81">
    <w:nsid w:val="7F01579B"/>
    <w:multiLevelType w:val="hybridMultilevel"/>
    <w:lvl w:ilvl="0">
      <w:lvlJc w:val="left"/>
      <w:lvlText w:val="(%1)"/>
      <w:numFmt w:val="decimal"/>
      <w:start w:val="1"/>
    </w:lvl>
  </w:abstractNum>
  <w:abstractNum w:abstractNumId="82">
    <w:nsid w:val="49DA307D"/>
    <w:multiLevelType w:val="hybridMultilevel"/>
    <w:lvl w:ilvl="0">
      <w:lvlJc w:val="left"/>
      <w:lvlText w:val="%1"/>
      <w:numFmt w:val="decimal"/>
      <w:start w:val="1"/>
    </w:lvl>
    <w:lvl w:ilvl="1">
      <w:lvlJc w:val="left"/>
      <w:lvlText w:val="(%2)"/>
      <w:numFmt w:val="decimal"/>
      <w:start w:val="1"/>
    </w:lvl>
  </w:abstractNum>
  <w:abstractNum w:abstractNumId="83">
    <w:nsid w:val="7055A5F5"/>
    <w:multiLevelType w:val="hybridMultilevel"/>
    <w:lvl w:ilvl="0">
      <w:lvlJc w:val="left"/>
      <w:lvlText w:val="%1."/>
      <w:numFmt w:val="decimal"/>
      <w:start w:val="10"/>
    </w:lvl>
    <w:lvl w:ilvl="1">
      <w:lvlJc w:val="left"/>
      <w:lvlText w:val="%2"/>
      <w:numFmt w:val="decimal"/>
      <w:start w:val="1"/>
    </w:lvl>
  </w:abstractNum>
  <w:abstractNum w:abstractNumId="84">
    <w:nsid w:val="5FB8370B"/>
    <w:multiLevelType w:val="hybridMultilevel"/>
    <w:lvl w:ilvl="0">
      <w:lvlJc w:val="left"/>
      <w:lvlText w:val="(%1)"/>
      <w:numFmt w:val="decimal"/>
      <w:start w:val="1"/>
    </w:lvl>
  </w:abstractNum>
  <w:abstractNum w:abstractNumId="85">
    <w:nsid w:val="50801EE1"/>
    <w:multiLevelType w:val="hybridMultilevel"/>
    <w:lvl w:ilvl="0">
      <w:lvlJc w:val="left"/>
      <w:lvlText w:val="%1."/>
      <w:numFmt w:val="decimal"/>
      <w:start w:val="11"/>
    </w:lvl>
  </w:abstractNum>
  <w:abstractNum w:abstractNumId="86">
    <w:nsid w:val="488AC1A"/>
    <w:multiLevelType w:val="hybridMultilevel"/>
    <w:lvl w:ilvl="0">
      <w:lvlJc w:val="left"/>
      <w:lvlText w:val="(%1)"/>
      <w:numFmt w:val="decimal"/>
      <w:start w:val="1"/>
    </w:lvl>
  </w:abstractNum>
  <w:abstractNum w:abstractNumId="87">
    <w:nsid w:val="5FB8011C"/>
    <w:multiLevelType w:val="hybridMultilevel"/>
    <w:lvl w:ilvl="0">
      <w:lvlJc w:val="left"/>
      <w:lvlText w:val="(%1)"/>
      <w:numFmt w:val="decimal"/>
      <w:start w:val="1"/>
    </w:lvl>
  </w:abstractNum>
  <w:abstractNum w:abstractNumId="88">
    <w:nsid w:val="6AA78F7F"/>
    <w:multiLevelType w:val="hybridMultilevel"/>
    <w:lvl w:ilvl="0">
      <w:lvlJc w:val="left"/>
      <w:lvlText w:val="%1."/>
      <w:numFmt w:val="decimal"/>
      <w:start w:val="12"/>
    </w:lvl>
  </w:abstractNum>
  <w:abstractNum w:abstractNumId="89">
    <w:nsid w:val="7672BD23"/>
    <w:multiLevelType w:val="hybridMultilevel"/>
    <w:lvl w:ilvl="0">
      <w:lvlJc w:val="left"/>
      <w:lvlText w:val="%1."/>
      <w:numFmt w:val="decimal"/>
      <w:start w:val="14"/>
    </w:lvl>
  </w:abstractNum>
  <w:abstractNum w:abstractNumId="90">
    <w:nsid w:val="6FC75AF8"/>
    <w:multiLevelType w:val="hybridMultilevel"/>
    <w:lvl w:ilvl="0">
      <w:lvlJc w:val="left"/>
      <w:lvlText w:val="%1."/>
      <w:numFmt w:val="decimal"/>
      <w:start w:val="15"/>
    </w:lvl>
  </w:abstractNum>
  <w:abstractNum w:abstractNumId="91">
    <w:nsid w:val="6A5F7029"/>
    <w:multiLevelType w:val="hybridMultilevel"/>
    <w:lvl w:ilvl="0">
      <w:lvlJc w:val="left"/>
      <w:lvlText w:val="%1."/>
      <w:numFmt w:val="decimal"/>
      <w:start w:val="17"/>
    </w:lvl>
  </w:abstractNum>
  <w:abstractNum w:abstractNumId="92">
    <w:nsid w:val="7D5E18F8"/>
    <w:multiLevelType w:val="hybridMultilevel"/>
    <w:lvl w:ilvl="0">
      <w:lvlJc w:val="left"/>
      <w:lvlText w:val="%1."/>
      <w:numFmt w:val="decimal"/>
      <w:start w:val="18"/>
    </w:lvl>
  </w:abstractNum>
  <w:abstractNum w:abstractNumId="93">
    <w:nsid w:val="5F3534A4"/>
    <w:multiLevelType w:val="hybridMultilevel"/>
    <w:lvl w:ilvl="0">
      <w:lvlJc w:val="left"/>
      <w:lvlText w:val="%1."/>
      <w:numFmt w:val="decimal"/>
      <w:start w:val="18"/>
    </w:lvl>
  </w:abstractNum>
  <w:abstractNum w:abstractNumId="94">
    <w:nsid w:val="73A1821B"/>
    <w:multiLevelType w:val="hybridMultilevel"/>
    <w:lvl w:ilvl="0">
      <w:lvlJc w:val="left"/>
      <w:lvlText w:val="%1."/>
      <w:numFmt w:val="decimal"/>
      <w:start w:val="18"/>
    </w:lvl>
  </w:abstractNum>
  <w:abstractNum w:abstractNumId="95">
    <w:nsid w:val="7DE67713"/>
    <w:multiLevelType w:val="hybridMultilevel"/>
    <w:lvl w:ilvl="0">
      <w:lvlJc w:val="left"/>
      <w:lvlText w:val="%1."/>
      <w:numFmt w:val="decimal"/>
      <w:start w:val="18"/>
    </w:lvl>
  </w:abstractNum>
  <w:abstractNum w:abstractNumId="96">
    <w:nsid w:val="555C55B5"/>
    <w:multiLevelType w:val="hybridMultilevel"/>
    <w:lvl w:ilvl="0">
      <w:lvlJc w:val="left"/>
      <w:lvlText w:val="%1."/>
      <w:numFmt w:val="decimal"/>
      <w:start w:val="20"/>
    </w:lvl>
  </w:abstractNum>
  <w:abstractNum w:abstractNumId="97">
    <w:nsid w:val="3FA62ACA"/>
    <w:multiLevelType w:val="hybridMultilevel"/>
    <w:lvl w:ilvl="0">
      <w:lvlJc w:val="left"/>
      <w:lvlText w:val="%1."/>
      <w:numFmt w:val="decimal"/>
      <w:start w:val="21"/>
    </w:lvl>
  </w:abstractNum>
  <w:abstractNum w:abstractNumId="98">
    <w:nsid w:val="14FCE74E"/>
    <w:multiLevelType w:val="hybridMultilevel"/>
    <w:lvl w:ilvl="0">
      <w:lvlJc w:val="left"/>
      <w:lvlText w:val="%1."/>
      <w:numFmt w:val="decimal"/>
      <w:start w:val="23"/>
    </w:lvl>
  </w:abstractNum>
  <w:abstractNum w:abstractNumId="99">
    <w:nsid w:val="6A3DD3E8"/>
    <w:multiLevelType w:val="hybridMultilevel"/>
    <w:lvl w:ilvl="0">
      <w:lvlJc w:val="left"/>
      <w:lvlText w:val="%1."/>
      <w:numFmt w:val="decimal"/>
      <w:start w:val="24"/>
    </w:lvl>
  </w:abstractNum>
  <w:abstractNum w:abstractNumId="100">
    <w:nsid w:val="71C91298"/>
    <w:multiLevelType w:val="hybridMultilevel"/>
    <w:lvl w:ilvl="0">
      <w:lvlJc w:val="left"/>
      <w:lvlText w:val="%1."/>
      <w:numFmt w:val="decimal"/>
      <w:start w:val="1"/>
    </w:lvl>
  </w:abstractNum>
  <w:abstractNum w:abstractNumId="101">
    <w:nsid w:val="9DAF632"/>
    <w:multiLevelType w:val="hybridMultilevel"/>
    <w:lvl w:ilvl="0">
      <w:lvlJc w:val="left"/>
      <w:lvlText w:val="%1."/>
      <w:numFmt w:val="decimal"/>
      <w:start w:val="2"/>
    </w:lvl>
  </w:abstractNum>
  <w:abstractNum w:abstractNumId="102">
    <w:nsid w:val="53299938"/>
    <w:multiLevelType w:val="hybridMultilevel"/>
    <w:lvl w:ilvl="0">
      <w:lvlJc w:val="left"/>
      <w:lvlText w:val="%1."/>
      <w:numFmt w:val="decimal"/>
      <w:start w:val="1"/>
    </w:lvl>
    <w:lvl w:ilvl="1">
      <w:lvlJc w:val="left"/>
      <w:lvlText w:val="(%2)"/>
      <w:numFmt w:val="lowerLetter"/>
      <w:start w:val="1"/>
    </w:lvl>
  </w:abstractNum>
  <w:abstractNum w:abstractNumId="103">
    <w:nsid w:val="1FBFE8E0"/>
    <w:multiLevelType w:val="hybridMultilevel"/>
    <w:lvl w:ilvl="0">
      <w:lvlJc w:val="left"/>
      <w:lvlText w:val="(%1)"/>
      <w:numFmt w:val="lowerLetter"/>
      <w:start w:val="1"/>
    </w:lvl>
  </w:abstractNum>
  <w:abstractNum w:abstractNumId="104">
    <w:nsid w:val="5092CA79"/>
    <w:multiLevelType w:val="hybridMultilevel"/>
    <w:lvl w:ilvl="0">
      <w:lvlJc w:val="left"/>
      <w:lvlText w:val="%1."/>
      <w:numFmt w:val="decimal"/>
      <w:start w:val="1"/>
    </w:lvl>
    <w:lvl w:ilvl="1">
      <w:lvlJc w:val="left"/>
      <w:lvlText w:val="(%2)"/>
      <w:numFmt w:val="lowerLetter"/>
      <w:start w:val="1"/>
    </w:lvl>
  </w:abstractNum>
  <w:abstractNum w:abstractNumId="105">
    <w:nsid w:val="1D545C4D"/>
    <w:multiLevelType w:val="hybridMultilevel"/>
    <w:lvl w:ilvl="0">
      <w:lvlJc w:val="left"/>
      <w:lvlText w:val="(%1)"/>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40" Type="http://schemas.openxmlformats.org/officeDocument/2006/relationships/image" Target="media/image423.png"/><Relationship Id="rId441" Type="http://schemas.openxmlformats.org/officeDocument/2006/relationships/image" Target="media/image424.png"/><Relationship Id="rId442" Type="http://schemas.openxmlformats.org/officeDocument/2006/relationships/image" Target="media/image425.png"/><Relationship Id="rId443" Type="http://schemas.openxmlformats.org/officeDocument/2006/relationships/image" Target="media/image426.png"/><Relationship Id="rId444" Type="http://schemas.openxmlformats.org/officeDocument/2006/relationships/image" Target="media/image427.png"/><Relationship Id="rId445" Type="http://schemas.openxmlformats.org/officeDocument/2006/relationships/image" Target="media/image428.png"/><Relationship Id="rId446" Type="http://schemas.openxmlformats.org/officeDocument/2006/relationships/image" Target="media/image429.png"/><Relationship Id="rId447" Type="http://schemas.openxmlformats.org/officeDocument/2006/relationships/image" Target="media/image430.png"/><Relationship Id="rId448" Type="http://schemas.openxmlformats.org/officeDocument/2006/relationships/image" Target="media/image431.png"/><Relationship Id="rId449" Type="http://schemas.openxmlformats.org/officeDocument/2006/relationships/image" Target="media/image432.png"/><Relationship Id="rId450" Type="http://schemas.openxmlformats.org/officeDocument/2006/relationships/image" Target="media/image433.png"/><Relationship Id="rId451" Type="http://schemas.openxmlformats.org/officeDocument/2006/relationships/image" Target="media/image434.png"/><Relationship Id="rId452" Type="http://schemas.openxmlformats.org/officeDocument/2006/relationships/image" Target="media/image435.png"/><Relationship Id="rId453" Type="http://schemas.openxmlformats.org/officeDocument/2006/relationships/image" Target="media/image436.png"/><Relationship Id="rId454" Type="http://schemas.openxmlformats.org/officeDocument/2006/relationships/image" Target="media/image437.png"/><Relationship Id="rId455" Type="http://schemas.openxmlformats.org/officeDocument/2006/relationships/image" Target="media/image438.png"/><Relationship Id="rId456" Type="http://schemas.openxmlformats.org/officeDocument/2006/relationships/image" Target="media/image439.png"/><Relationship Id="rId457" Type="http://schemas.openxmlformats.org/officeDocument/2006/relationships/image" Target="media/image440.png"/><Relationship Id="rId458" Type="http://schemas.openxmlformats.org/officeDocument/2006/relationships/image" Target="media/image441.png"/><Relationship Id="rId459" Type="http://schemas.openxmlformats.org/officeDocument/2006/relationships/image" Target="media/image442.png"/><Relationship Id="rId460" Type="http://schemas.openxmlformats.org/officeDocument/2006/relationships/image" Target="media/image443.png"/><Relationship Id="rId461" Type="http://schemas.openxmlformats.org/officeDocument/2006/relationships/image" Target="media/image444.png"/><Relationship Id="rId462" Type="http://schemas.openxmlformats.org/officeDocument/2006/relationships/image" Target="media/image445.png"/><Relationship Id="rId463" Type="http://schemas.openxmlformats.org/officeDocument/2006/relationships/image" Target="media/image446.png"/><Relationship Id="rId464" Type="http://schemas.openxmlformats.org/officeDocument/2006/relationships/image" Target="media/image447.png"/><Relationship Id="rId465" Type="http://schemas.openxmlformats.org/officeDocument/2006/relationships/image" Target="media/image448.png"/><Relationship Id="rId466" Type="http://schemas.openxmlformats.org/officeDocument/2006/relationships/image" Target="media/image449.png"/><Relationship Id="rId467" Type="http://schemas.openxmlformats.org/officeDocument/2006/relationships/image" Target="media/image450.png"/><Relationship Id="rId468" Type="http://schemas.openxmlformats.org/officeDocument/2006/relationships/image" Target="media/image451.png"/><Relationship Id="rId469" Type="http://schemas.openxmlformats.org/officeDocument/2006/relationships/image" Target="media/image452.png"/><Relationship Id="rId470" Type="http://schemas.openxmlformats.org/officeDocument/2006/relationships/image" Target="media/image453.png"/><Relationship Id="rId471" Type="http://schemas.openxmlformats.org/officeDocument/2006/relationships/image" Target="media/image454.png"/><Relationship Id="rId472" Type="http://schemas.openxmlformats.org/officeDocument/2006/relationships/image" Target="media/image455.png"/><Relationship Id="rId473" Type="http://schemas.openxmlformats.org/officeDocument/2006/relationships/image" Target="media/image456.png"/><Relationship Id="rId474" Type="http://schemas.openxmlformats.org/officeDocument/2006/relationships/image" Target="media/image457.png"/><Relationship Id="rId475" Type="http://schemas.openxmlformats.org/officeDocument/2006/relationships/image" Target="media/image458.png"/><Relationship Id="rId476" Type="http://schemas.openxmlformats.org/officeDocument/2006/relationships/image" Target="media/image459.png"/><Relationship Id="rId477" Type="http://schemas.openxmlformats.org/officeDocument/2006/relationships/image" Target="media/image460.png"/><Relationship Id="rId478" Type="http://schemas.openxmlformats.org/officeDocument/2006/relationships/image" Target="media/image461.png"/><Relationship Id="rId479" Type="http://schemas.openxmlformats.org/officeDocument/2006/relationships/image" Target="media/image462.png"/><Relationship Id="rId480" Type="http://schemas.openxmlformats.org/officeDocument/2006/relationships/image" Target="media/image463.png"/><Relationship Id="rId481" Type="http://schemas.openxmlformats.org/officeDocument/2006/relationships/image" Target="media/image464.png"/><Relationship Id="rId482" Type="http://schemas.openxmlformats.org/officeDocument/2006/relationships/image" Target="media/image465.png"/><Relationship Id="rId483" Type="http://schemas.openxmlformats.org/officeDocument/2006/relationships/image" Target="media/image466.png"/><Relationship Id="rId484" Type="http://schemas.openxmlformats.org/officeDocument/2006/relationships/image" Target="media/image467.png"/><Relationship Id="rId485" Type="http://schemas.openxmlformats.org/officeDocument/2006/relationships/image" Target="media/image468.png"/><Relationship Id="rId486" Type="http://schemas.openxmlformats.org/officeDocument/2006/relationships/image" Target="media/image469.png"/><Relationship Id="rId487" Type="http://schemas.openxmlformats.org/officeDocument/2006/relationships/image" Target="media/image470.png"/><Relationship Id="rId488" Type="http://schemas.openxmlformats.org/officeDocument/2006/relationships/image" Target="media/image471.png"/><Relationship Id="rId489" Type="http://schemas.openxmlformats.org/officeDocument/2006/relationships/image" Target="media/image472.png"/><Relationship Id="rId490" Type="http://schemas.openxmlformats.org/officeDocument/2006/relationships/image" Target="media/image473.png"/><Relationship Id="rId491" Type="http://schemas.openxmlformats.org/officeDocument/2006/relationships/image" Target="media/image474.png"/><Relationship Id="rId492" Type="http://schemas.openxmlformats.org/officeDocument/2006/relationships/image" Target="media/image475.png"/><Relationship Id="rId493" Type="http://schemas.openxmlformats.org/officeDocument/2006/relationships/image" Target="media/image476.png"/><Relationship Id="rId494" Type="http://schemas.openxmlformats.org/officeDocument/2006/relationships/image" Target="media/image477.png"/><Relationship Id="rId495" Type="http://schemas.openxmlformats.org/officeDocument/2006/relationships/image" Target="media/image478.png"/><Relationship Id="rId496" Type="http://schemas.openxmlformats.org/officeDocument/2006/relationships/image" Target="media/image479.png"/><Relationship Id="rId497" Type="http://schemas.openxmlformats.org/officeDocument/2006/relationships/image" Target="media/image480.png"/><Relationship Id="rId498" Type="http://schemas.openxmlformats.org/officeDocument/2006/relationships/image" Target="media/image481.png"/><Relationship Id="rId499" Type="http://schemas.openxmlformats.org/officeDocument/2006/relationships/image" Target="media/image482.png"/><Relationship Id="rId500" Type="http://schemas.openxmlformats.org/officeDocument/2006/relationships/image" Target="media/image483.png"/><Relationship Id="rId501" Type="http://schemas.openxmlformats.org/officeDocument/2006/relationships/image" Target="media/image484.png"/><Relationship Id="rId502" Type="http://schemas.openxmlformats.org/officeDocument/2006/relationships/image" Target="media/image485.png"/><Relationship Id="rId503" Type="http://schemas.openxmlformats.org/officeDocument/2006/relationships/image" Target="media/image486.png"/><Relationship Id="rId504" Type="http://schemas.openxmlformats.org/officeDocument/2006/relationships/image" Target="media/image487.png"/><Relationship Id="rId505" Type="http://schemas.openxmlformats.org/officeDocument/2006/relationships/image" Target="media/image488.png"/><Relationship Id="rId506" Type="http://schemas.openxmlformats.org/officeDocument/2006/relationships/image" Target="media/image489.png"/><Relationship Id="rId507" Type="http://schemas.openxmlformats.org/officeDocument/2006/relationships/image" Target="media/image490.png"/><Relationship Id="rId508" Type="http://schemas.openxmlformats.org/officeDocument/2006/relationships/image" Target="media/image491.png"/><Relationship Id="rId509" Type="http://schemas.openxmlformats.org/officeDocument/2006/relationships/image" Target="media/image492.png"/><Relationship Id="rId510" Type="http://schemas.openxmlformats.org/officeDocument/2006/relationships/image" Target="media/image493.png"/><Relationship Id="rId511" Type="http://schemas.openxmlformats.org/officeDocument/2006/relationships/image" Target="media/image494.png"/><Relationship Id="rId512" Type="http://schemas.openxmlformats.org/officeDocument/2006/relationships/image" Target="media/image495.png"/><Relationship Id="rId513" Type="http://schemas.openxmlformats.org/officeDocument/2006/relationships/image" Target="media/image496.png"/><Relationship Id="rId514" Type="http://schemas.openxmlformats.org/officeDocument/2006/relationships/image" Target="media/image497.png"/><Relationship Id="rId515" Type="http://schemas.openxmlformats.org/officeDocument/2006/relationships/image" Target="media/image498.png"/><Relationship Id="rId516" Type="http://schemas.openxmlformats.org/officeDocument/2006/relationships/image" Target="media/image499.png"/><Relationship Id="rId517" Type="http://schemas.openxmlformats.org/officeDocument/2006/relationships/image" Target="media/image500.png"/><Relationship Id="rId518" Type="http://schemas.openxmlformats.org/officeDocument/2006/relationships/image" Target="media/image501.png"/><Relationship Id="rId519" Type="http://schemas.openxmlformats.org/officeDocument/2006/relationships/image" Target="media/image502.png"/><Relationship Id="rId520" Type="http://schemas.openxmlformats.org/officeDocument/2006/relationships/image" Target="media/image503.png"/><Relationship Id="rId521" Type="http://schemas.openxmlformats.org/officeDocument/2006/relationships/image" Target="media/image504.png"/><Relationship Id="rId522" Type="http://schemas.openxmlformats.org/officeDocument/2006/relationships/image" Target="media/image505.png"/><Relationship Id="rId523" Type="http://schemas.openxmlformats.org/officeDocument/2006/relationships/image" Target="media/image506.png"/><Relationship Id="rId524" Type="http://schemas.openxmlformats.org/officeDocument/2006/relationships/image" Target="media/image507.png"/><Relationship Id="rId525" Type="http://schemas.openxmlformats.org/officeDocument/2006/relationships/image" Target="media/image508.png"/><Relationship Id="rId526" Type="http://schemas.openxmlformats.org/officeDocument/2006/relationships/image" Target="media/image509.png"/><Relationship Id="rId527" Type="http://schemas.openxmlformats.org/officeDocument/2006/relationships/image" Target="media/image510.png"/><Relationship Id="rId528" Type="http://schemas.openxmlformats.org/officeDocument/2006/relationships/image" Target="media/image511.png"/><Relationship Id="rId529" Type="http://schemas.openxmlformats.org/officeDocument/2006/relationships/image" Target="media/image512.png"/><Relationship Id="rId530" Type="http://schemas.openxmlformats.org/officeDocument/2006/relationships/image" Target="media/image513.png"/><Relationship Id="rId531" Type="http://schemas.openxmlformats.org/officeDocument/2006/relationships/image" Target="media/image514.png"/><Relationship Id="rId532" Type="http://schemas.openxmlformats.org/officeDocument/2006/relationships/image" Target="media/image515.png"/><Relationship Id="rId533" Type="http://schemas.openxmlformats.org/officeDocument/2006/relationships/image" Target="media/image516.png"/><Relationship Id="rId534" Type="http://schemas.openxmlformats.org/officeDocument/2006/relationships/image" Target="media/image517.png"/><Relationship Id="rId535" Type="http://schemas.openxmlformats.org/officeDocument/2006/relationships/image" Target="media/image518.png"/><Relationship Id="rId536" Type="http://schemas.openxmlformats.org/officeDocument/2006/relationships/image" Target="media/image519.png"/><Relationship Id="rId537" Type="http://schemas.openxmlformats.org/officeDocument/2006/relationships/image" Target="media/image520.png"/><Relationship Id="rId538" Type="http://schemas.openxmlformats.org/officeDocument/2006/relationships/image" Target="media/image521.png"/><Relationship Id="rId539" Type="http://schemas.openxmlformats.org/officeDocument/2006/relationships/image" Target="media/image522.png"/><Relationship Id="rId540" Type="http://schemas.openxmlformats.org/officeDocument/2006/relationships/image" Target="media/image523.png"/><Relationship Id="rId541" Type="http://schemas.openxmlformats.org/officeDocument/2006/relationships/image" Target="media/image524.png"/><Relationship Id="rId542" Type="http://schemas.openxmlformats.org/officeDocument/2006/relationships/image" Target="media/image525.png"/><Relationship Id="rId543" Type="http://schemas.openxmlformats.org/officeDocument/2006/relationships/image" Target="media/image526.png"/><Relationship Id="rId544" Type="http://schemas.openxmlformats.org/officeDocument/2006/relationships/image" Target="media/image527.png"/><Relationship Id="rId545" Type="http://schemas.openxmlformats.org/officeDocument/2006/relationships/image" Target="media/image528.png"/><Relationship Id="rId546" Type="http://schemas.openxmlformats.org/officeDocument/2006/relationships/image" Target="media/image529.png"/><Relationship Id="rId547" Type="http://schemas.openxmlformats.org/officeDocument/2006/relationships/image" Target="media/image530.png"/><Relationship Id="rId548" Type="http://schemas.openxmlformats.org/officeDocument/2006/relationships/image" Target="media/image531.png"/><Relationship Id="rId549" Type="http://schemas.openxmlformats.org/officeDocument/2006/relationships/image" Target="media/image532.png"/><Relationship Id="rId550" Type="http://schemas.openxmlformats.org/officeDocument/2006/relationships/image" Target="media/image533.png"/><Relationship Id="rId551" Type="http://schemas.openxmlformats.org/officeDocument/2006/relationships/image" Target="media/image534.png"/><Relationship Id="rId552" Type="http://schemas.openxmlformats.org/officeDocument/2006/relationships/image" Target="media/image535.png"/><Relationship Id="rId553" Type="http://schemas.openxmlformats.org/officeDocument/2006/relationships/image" Target="media/image536.png"/><Relationship Id="rId554" Type="http://schemas.openxmlformats.org/officeDocument/2006/relationships/image" Target="media/image537.png"/><Relationship Id="rId555" Type="http://schemas.openxmlformats.org/officeDocument/2006/relationships/image" Target="media/image538.png"/><Relationship Id="rId556" Type="http://schemas.openxmlformats.org/officeDocument/2006/relationships/image" Target="media/image539.png"/><Relationship Id="rId557" Type="http://schemas.openxmlformats.org/officeDocument/2006/relationships/image" Target="media/image540.png"/><Relationship Id="rId558" Type="http://schemas.openxmlformats.org/officeDocument/2006/relationships/image" Target="media/image541.png"/><Relationship Id="rId559" Type="http://schemas.openxmlformats.org/officeDocument/2006/relationships/image" Target="media/image542.png"/><Relationship Id="rId560" Type="http://schemas.openxmlformats.org/officeDocument/2006/relationships/image" Target="media/image543.png"/><Relationship Id="rId561" Type="http://schemas.openxmlformats.org/officeDocument/2006/relationships/image" Target="media/image544.png"/><Relationship Id="rId562" Type="http://schemas.openxmlformats.org/officeDocument/2006/relationships/image" Target="media/image545.png"/><Relationship Id="rId563" Type="http://schemas.openxmlformats.org/officeDocument/2006/relationships/image" Target="media/image546.png"/><Relationship Id="rId564" Type="http://schemas.openxmlformats.org/officeDocument/2006/relationships/image" Target="media/image547.png"/><Relationship Id="rId565" Type="http://schemas.openxmlformats.org/officeDocument/2006/relationships/image" Target="media/image548.png"/><Relationship Id="rId566" Type="http://schemas.openxmlformats.org/officeDocument/2006/relationships/image" Target="media/image549.png"/><Relationship Id="rId567" Type="http://schemas.openxmlformats.org/officeDocument/2006/relationships/image" Target="media/image550.png"/><Relationship Id="rId568" Type="http://schemas.openxmlformats.org/officeDocument/2006/relationships/image" Target="media/image551.png"/><Relationship Id="rId569" Type="http://schemas.openxmlformats.org/officeDocument/2006/relationships/image" Target="media/image552.png"/><Relationship Id="rId570" Type="http://schemas.openxmlformats.org/officeDocument/2006/relationships/image" Target="media/image553.png"/><Relationship Id="rId571" Type="http://schemas.openxmlformats.org/officeDocument/2006/relationships/image" Target="media/image554.png"/><Relationship Id="rId572" Type="http://schemas.openxmlformats.org/officeDocument/2006/relationships/image" Target="media/image555.png"/><Relationship Id="rId573" Type="http://schemas.openxmlformats.org/officeDocument/2006/relationships/image" Target="media/image556.png"/><Relationship Id="rId574" Type="http://schemas.openxmlformats.org/officeDocument/2006/relationships/image" Target="media/image557.png"/><Relationship Id="rId575" Type="http://schemas.openxmlformats.org/officeDocument/2006/relationships/image" Target="media/image558.png"/><Relationship Id="rId576" Type="http://schemas.openxmlformats.org/officeDocument/2006/relationships/image" Target="media/image559.png"/><Relationship Id="rId577" Type="http://schemas.openxmlformats.org/officeDocument/2006/relationships/image" Target="media/image560.png"/><Relationship Id="rId578" Type="http://schemas.openxmlformats.org/officeDocument/2006/relationships/image" Target="media/image561.png"/><Relationship Id="rId579" Type="http://schemas.openxmlformats.org/officeDocument/2006/relationships/image" Target="media/image562.png"/><Relationship Id="rId580" Type="http://schemas.openxmlformats.org/officeDocument/2006/relationships/image" Target="media/image563.png"/><Relationship Id="rId581" Type="http://schemas.openxmlformats.org/officeDocument/2006/relationships/image" Target="media/image564.png"/><Relationship Id="rId582" Type="http://schemas.openxmlformats.org/officeDocument/2006/relationships/image" Target="media/image565.png"/><Relationship Id="rId583" Type="http://schemas.openxmlformats.org/officeDocument/2006/relationships/image" Target="media/image566.png"/><Relationship Id="rId584" Type="http://schemas.openxmlformats.org/officeDocument/2006/relationships/image" Target="media/image567.png"/><Relationship Id="rId585" Type="http://schemas.openxmlformats.org/officeDocument/2006/relationships/image" Target="media/image568.png"/><Relationship Id="rId586" Type="http://schemas.openxmlformats.org/officeDocument/2006/relationships/image" Target="media/image569.png"/><Relationship Id="rId587" Type="http://schemas.openxmlformats.org/officeDocument/2006/relationships/image" Target="media/image570.png"/><Relationship Id="rId588" Type="http://schemas.openxmlformats.org/officeDocument/2006/relationships/image" Target="media/image571.png"/><Relationship Id="rId589" Type="http://schemas.openxmlformats.org/officeDocument/2006/relationships/image" Target="media/image572.png"/><Relationship Id="rId590" Type="http://schemas.openxmlformats.org/officeDocument/2006/relationships/image" Target="media/image573.png"/><Relationship Id="rId591" Type="http://schemas.openxmlformats.org/officeDocument/2006/relationships/image" Target="media/image574.png"/><Relationship Id="rId592" Type="http://schemas.openxmlformats.org/officeDocument/2006/relationships/image" Target="media/image575.png"/><Relationship Id="rId593" Type="http://schemas.openxmlformats.org/officeDocument/2006/relationships/image" Target="media/image576.png"/><Relationship Id="rId594" Type="http://schemas.openxmlformats.org/officeDocument/2006/relationships/image" Target="media/image577.png"/><Relationship Id="rId595" Type="http://schemas.openxmlformats.org/officeDocument/2006/relationships/image" Target="media/image578.png"/><Relationship Id="rId596" Type="http://schemas.openxmlformats.org/officeDocument/2006/relationships/image" Target="media/image579.png"/><Relationship Id="rId597" Type="http://schemas.openxmlformats.org/officeDocument/2006/relationships/image" Target="media/image580.png"/><Relationship Id="rId598" Type="http://schemas.openxmlformats.org/officeDocument/2006/relationships/image" Target="media/image581.png"/><Relationship Id="rId599" Type="http://schemas.openxmlformats.org/officeDocument/2006/relationships/image" Target="media/image582.png"/><Relationship Id="rId600" Type="http://schemas.openxmlformats.org/officeDocument/2006/relationships/image" Target="media/image583.png"/><Relationship Id="rId601" Type="http://schemas.openxmlformats.org/officeDocument/2006/relationships/image" Target="media/image584.png"/><Relationship Id="rId602" Type="http://schemas.openxmlformats.org/officeDocument/2006/relationships/image" Target="media/image585.png"/><Relationship Id="rId603" Type="http://schemas.openxmlformats.org/officeDocument/2006/relationships/image" Target="media/image586.png"/><Relationship Id="rId604" Type="http://schemas.openxmlformats.org/officeDocument/2006/relationships/image" Target="media/image587.png"/><Relationship Id="rId605" Type="http://schemas.openxmlformats.org/officeDocument/2006/relationships/image" Target="media/image588.png"/><Relationship Id="rId606" Type="http://schemas.openxmlformats.org/officeDocument/2006/relationships/image" Target="media/image589.png"/><Relationship Id="rId607" Type="http://schemas.openxmlformats.org/officeDocument/2006/relationships/image" Target="media/image590.png"/><Relationship Id="rId608" Type="http://schemas.openxmlformats.org/officeDocument/2006/relationships/image" Target="media/image591.png"/><Relationship Id="rId609" Type="http://schemas.openxmlformats.org/officeDocument/2006/relationships/image" Target="media/image592.png"/><Relationship Id="rId610" Type="http://schemas.openxmlformats.org/officeDocument/2006/relationships/image" Target="media/image593.png"/><Relationship Id="rId611" Type="http://schemas.openxmlformats.org/officeDocument/2006/relationships/image" Target="media/image594.png"/><Relationship Id="rId612" Type="http://schemas.openxmlformats.org/officeDocument/2006/relationships/image" Target="media/image595.png"/><Relationship Id="rId613" Type="http://schemas.openxmlformats.org/officeDocument/2006/relationships/image" Target="media/image596.png"/><Relationship Id="rId614" Type="http://schemas.openxmlformats.org/officeDocument/2006/relationships/image" Target="media/image597.png"/><Relationship Id="rId615" Type="http://schemas.openxmlformats.org/officeDocument/2006/relationships/image" Target="media/image598.png"/><Relationship Id="rId616" Type="http://schemas.openxmlformats.org/officeDocument/2006/relationships/image" Target="media/image599.png"/><Relationship Id="rId617" Type="http://schemas.openxmlformats.org/officeDocument/2006/relationships/image" Target="media/image600.png"/><Relationship Id="rId618" Type="http://schemas.openxmlformats.org/officeDocument/2006/relationships/image" Target="media/image601.png"/><Relationship Id="rId619" Type="http://schemas.openxmlformats.org/officeDocument/2006/relationships/image" Target="media/image602.png"/><Relationship Id="rId620" Type="http://schemas.openxmlformats.org/officeDocument/2006/relationships/image" Target="media/image603.png"/><Relationship Id="rId621" Type="http://schemas.openxmlformats.org/officeDocument/2006/relationships/image" Target="media/image604.png"/><Relationship Id="rId622" Type="http://schemas.openxmlformats.org/officeDocument/2006/relationships/image" Target="media/image605.png"/><Relationship Id="rId623" Type="http://schemas.openxmlformats.org/officeDocument/2006/relationships/image" Target="media/image606.png"/><Relationship Id="rId624" Type="http://schemas.openxmlformats.org/officeDocument/2006/relationships/image" Target="media/image607.png"/><Relationship Id="rId625" Type="http://schemas.openxmlformats.org/officeDocument/2006/relationships/image" Target="media/image608.png"/><Relationship Id="rId626" Type="http://schemas.openxmlformats.org/officeDocument/2006/relationships/image" Target="media/image609.png"/><Relationship Id="rId627" Type="http://schemas.openxmlformats.org/officeDocument/2006/relationships/image" Target="media/image610.png"/><Relationship Id="rId628" Type="http://schemas.openxmlformats.org/officeDocument/2006/relationships/image" Target="media/image611.png"/><Relationship Id="rId629" Type="http://schemas.openxmlformats.org/officeDocument/2006/relationships/image" Target="media/image612.png"/><Relationship Id="rId630" Type="http://schemas.openxmlformats.org/officeDocument/2006/relationships/image" Target="media/image613.png"/><Relationship Id="rId631" Type="http://schemas.openxmlformats.org/officeDocument/2006/relationships/image" Target="media/image614.png"/><Relationship Id="rId632" Type="http://schemas.openxmlformats.org/officeDocument/2006/relationships/image" Target="media/image615.png"/><Relationship Id="rId633" Type="http://schemas.openxmlformats.org/officeDocument/2006/relationships/image" Target="media/image616.png"/><Relationship Id="rId634" Type="http://schemas.openxmlformats.org/officeDocument/2006/relationships/image" Target="media/image617.png"/><Relationship Id="rId635" Type="http://schemas.openxmlformats.org/officeDocument/2006/relationships/image" Target="media/image618.png"/><Relationship Id="rId636" Type="http://schemas.openxmlformats.org/officeDocument/2006/relationships/image" Target="media/image619.png"/><Relationship Id="rId637" Type="http://schemas.openxmlformats.org/officeDocument/2006/relationships/image" Target="media/image620.png"/><Relationship Id="rId638" Type="http://schemas.openxmlformats.org/officeDocument/2006/relationships/image" Target="media/image621.png"/><Relationship Id="rId639" Type="http://schemas.openxmlformats.org/officeDocument/2006/relationships/image" Target="media/image622.png"/><Relationship Id="rId640" Type="http://schemas.openxmlformats.org/officeDocument/2006/relationships/image" Target="media/image623.png"/><Relationship Id="rId641" Type="http://schemas.openxmlformats.org/officeDocument/2006/relationships/image" Target="media/image624.png"/><Relationship Id="rId642" Type="http://schemas.openxmlformats.org/officeDocument/2006/relationships/image" Target="media/image625.png"/><Relationship Id="rId643" Type="http://schemas.openxmlformats.org/officeDocument/2006/relationships/image" Target="media/image626.png"/><Relationship Id="rId644" Type="http://schemas.openxmlformats.org/officeDocument/2006/relationships/image" Target="media/image627.png"/><Relationship Id="rId645" Type="http://schemas.openxmlformats.org/officeDocument/2006/relationships/image" Target="media/image628.png"/><Relationship Id="rId646" Type="http://schemas.openxmlformats.org/officeDocument/2006/relationships/image" Target="media/image629.png"/><Relationship Id="rId647" Type="http://schemas.openxmlformats.org/officeDocument/2006/relationships/image" Target="media/image630.png"/><Relationship Id="rId648" Type="http://schemas.openxmlformats.org/officeDocument/2006/relationships/image" Target="media/image631.png"/><Relationship Id="rId649" Type="http://schemas.openxmlformats.org/officeDocument/2006/relationships/image" Target="media/image632.png"/><Relationship Id="rId650" Type="http://schemas.openxmlformats.org/officeDocument/2006/relationships/image" Target="media/image633.png"/><Relationship Id="rId651" Type="http://schemas.openxmlformats.org/officeDocument/2006/relationships/image" Target="media/image634.png"/><Relationship Id="rId652" Type="http://schemas.openxmlformats.org/officeDocument/2006/relationships/image" Target="media/image635.png"/><Relationship Id="rId653" Type="http://schemas.openxmlformats.org/officeDocument/2006/relationships/image" Target="media/image636.png"/><Relationship Id="rId654" Type="http://schemas.openxmlformats.org/officeDocument/2006/relationships/image" Target="media/image637.png"/><Relationship Id="rId655" Type="http://schemas.openxmlformats.org/officeDocument/2006/relationships/image" Target="media/image638.png"/><Relationship Id="rId656" Type="http://schemas.openxmlformats.org/officeDocument/2006/relationships/image" Target="media/image639.png"/><Relationship Id="rId657" Type="http://schemas.openxmlformats.org/officeDocument/2006/relationships/image" Target="media/image640.png"/><Relationship Id="rId658" Type="http://schemas.openxmlformats.org/officeDocument/2006/relationships/image" Target="media/image641.png"/><Relationship Id="rId659" Type="http://schemas.openxmlformats.org/officeDocument/2006/relationships/image" Target="media/image642.png"/><Relationship Id="rId660" Type="http://schemas.openxmlformats.org/officeDocument/2006/relationships/image" Target="media/image643.png"/><Relationship Id="rId661" Type="http://schemas.openxmlformats.org/officeDocument/2006/relationships/image" Target="media/image644.png"/><Relationship Id="rId662" Type="http://schemas.openxmlformats.org/officeDocument/2006/relationships/image" Target="media/image645.png"/><Relationship Id="rId663" Type="http://schemas.openxmlformats.org/officeDocument/2006/relationships/image" Target="media/image646.png"/><Relationship Id="rId664" Type="http://schemas.openxmlformats.org/officeDocument/2006/relationships/image" Target="media/image647.png"/><Relationship Id="rId665" Type="http://schemas.openxmlformats.org/officeDocument/2006/relationships/image" Target="media/image648.png"/><Relationship Id="rId666" Type="http://schemas.openxmlformats.org/officeDocument/2006/relationships/image" Target="media/image649.png"/><Relationship Id="rId667" Type="http://schemas.openxmlformats.org/officeDocument/2006/relationships/image" Target="media/image650.png"/><Relationship Id="rId668" Type="http://schemas.openxmlformats.org/officeDocument/2006/relationships/image" Target="media/image651.png"/><Relationship Id="rId669" Type="http://schemas.openxmlformats.org/officeDocument/2006/relationships/image" Target="media/image652.png"/><Relationship Id="rId670" Type="http://schemas.openxmlformats.org/officeDocument/2006/relationships/image" Target="media/image653.png"/><Relationship Id="rId671" Type="http://schemas.openxmlformats.org/officeDocument/2006/relationships/image" Target="media/image654.png"/><Relationship Id="rId672" Type="http://schemas.openxmlformats.org/officeDocument/2006/relationships/image" Target="media/image655.png"/><Relationship Id="rId673" Type="http://schemas.openxmlformats.org/officeDocument/2006/relationships/image" Target="media/image656.png"/><Relationship Id="rId674" Type="http://schemas.openxmlformats.org/officeDocument/2006/relationships/image" Target="media/image657.png"/><Relationship Id="rId675" Type="http://schemas.openxmlformats.org/officeDocument/2006/relationships/image" Target="media/image658.png"/><Relationship Id="rId676" Type="http://schemas.openxmlformats.org/officeDocument/2006/relationships/image" Target="media/image659.png"/><Relationship Id="rId677" Type="http://schemas.openxmlformats.org/officeDocument/2006/relationships/image" Target="media/image660.png"/><Relationship Id="rId678" Type="http://schemas.openxmlformats.org/officeDocument/2006/relationships/image" Target="media/image661.png"/><Relationship Id="rId679" Type="http://schemas.openxmlformats.org/officeDocument/2006/relationships/image" Target="media/image662.png"/><Relationship Id="rId680" Type="http://schemas.openxmlformats.org/officeDocument/2006/relationships/image" Target="media/image663.png"/><Relationship Id="rId681" Type="http://schemas.openxmlformats.org/officeDocument/2006/relationships/image" Target="media/image664.png"/><Relationship Id="rId682" Type="http://schemas.openxmlformats.org/officeDocument/2006/relationships/image" Target="media/image665.png"/><Relationship Id="rId683" Type="http://schemas.openxmlformats.org/officeDocument/2006/relationships/image" Target="media/image666.png"/><Relationship Id="rId684" Type="http://schemas.openxmlformats.org/officeDocument/2006/relationships/image" Target="media/image667.png"/><Relationship Id="rId685" Type="http://schemas.openxmlformats.org/officeDocument/2006/relationships/image" Target="media/image668.png"/><Relationship Id="rId686" Type="http://schemas.openxmlformats.org/officeDocument/2006/relationships/image" Target="media/image669.png"/><Relationship Id="rId687" Type="http://schemas.openxmlformats.org/officeDocument/2006/relationships/image" Target="media/image670.png"/><Relationship Id="rId688" Type="http://schemas.openxmlformats.org/officeDocument/2006/relationships/image" Target="media/image671.png"/><Relationship Id="rId689" Type="http://schemas.openxmlformats.org/officeDocument/2006/relationships/image" Target="media/image672.png"/><Relationship Id="rId690" Type="http://schemas.openxmlformats.org/officeDocument/2006/relationships/image" Target="media/image673.png"/><Relationship Id="rId691" Type="http://schemas.openxmlformats.org/officeDocument/2006/relationships/image" Target="media/image674.png"/><Relationship Id="rId692" Type="http://schemas.openxmlformats.org/officeDocument/2006/relationships/image" Target="media/image675.png"/><Relationship Id="rId693" Type="http://schemas.openxmlformats.org/officeDocument/2006/relationships/image" Target="media/image676.png"/><Relationship Id="rId694" Type="http://schemas.openxmlformats.org/officeDocument/2006/relationships/image" Target="media/image677.png"/><Relationship Id="rId695" Type="http://schemas.openxmlformats.org/officeDocument/2006/relationships/image" Target="media/image678.png"/><Relationship Id="rId696" Type="http://schemas.openxmlformats.org/officeDocument/2006/relationships/image" Target="media/image679.png"/><Relationship Id="rId697" Type="http://schemas.openxmlformats.org/officeDocument/2006/relationships/image" Target="media/image680.png"/><Relationship Id="rId698" Type="http://schemas.openxmlformats.org/officeDocument/2006/relationships/image" Target="media/image681.png"/><Relationship Id="rId699" Type="http://schemas.openxmlformats.org/officeDocument/2006/relationships/image" Target="media/image682.png"/><Relationship Id="rId700" Type="http://schemas.openxmlformats.org/officeDocument/2006/relationships/image" Target="media/image683.png"/><Relationship Id="rId701" Type="http://schemas.openxmlformats.org/officeDocument/2006/relationships/image" Target="media/image684.png"/><Relationship Id="rId702" Type="http://schemas.openxmlformats.org/officeDocument/2006/relationships/image" Target="media/image685.png"/><Relationship Id="rId703" Type="http://schemas.openxmlformats.org/officeDocument/2006/relationships/image" Target="media/image686.png"/><Relationship Id="rId704" Type="http://schemas.openxmlformats.org/officeDocument/2006/relationships/image" Target="media/image687.png"/><Relationship Id="rId705" Type="http://schemas.openxmlformats.org/officeDocument/2006/relationships/image" Target="media/image688.png"/><Relationship Id="rId706" Type="http://schemas.openxmlformats.org/officeDocument/2006/relationships/image" Target="media/image689.png"/><Relationship Id="rId707" Type="http://schemas.openxmlformats.org/officeDocument/2006/relationships/image" Target="media/image690.png"/><Relationship Id="rId708" Type="http://schemas.openxmlformats.org/officeDocument/2006/relationships/image" Target="media/image691.png"/><Relationship Id="rId709" Type="http://schemas.openxmlformats.org/officeDocument/2006/relationships/image" Target="media/image692.png"/><Relationship Id="rId710" Type="http://schemas.openxmlformats.org/officeDocument/2006/relationships/image" Target="media/image693.png"/><Relationship Id="rId711" Type="http://schemas.openxmlformats.org/officeDocument/2006/relationships/image" Target="media/image694.png"/><Relationship Id="rId712" Type="http://schemas.openxmlformats.org/officeDocument/2006/relationships/image" Target="media/image695.png"/><Relationship Id="rId713" Type="http://schemas.openxmlformats.org/officeDocument/2006/relationships/image" Target="media/image696.png"/><Relationship Id="rId714" Type="http://schemas.openxmlformats.org/officeDocument/2006/relationships/image" Target="media/image697.png"/><Relationship Id="rId715" Type="http://schemas.openxmlformats.org/officeDocument/2006/relationships/image" Target="media/image698.png"/><Relationship Id="rId716" Type="http://schemas.openxmlformats.org/officeDocument/2006/relationships/image" Target="media/image699.png"/><Relationship Id="rId717" Type="http://schemas.openxmlformats.org/officeDocument/2006/relationships/image" Target="media/image700.png"/><Relationship Id="rId718" Type="http://schemas.openxmlformats.org/officeDocument/2006/relationships/image" Target="media/image701.png"/><Relationship Id="rId719" Type="http://schemas.openxmlformats.org/officeDocument/2006/relationships/image" Target="media/image702.png"/><Relationship Id="rId720" Type="http://schemas.openxmlformats.org/officeDocument/2006/relationships/image" Target="media/image703.png"/><Relationship Id="rId721" Type="http://schemas.openxmlformats.org/officeDocument/2006/relationships/image" Target="media/image704.png"/><Relationship Id="rId722" Type="http://schemas.openxmlformats.org/officeDocument/2006/relationships/image" Target="media/image705.png"/><Relationship Id="rId723" Type="http://schemas.openxmlformats.org/officeDocument/2006/relationships/image" Target="media/image706.png"/><Relationship Id="rId724" Type="http://schemas.openxmlformats.org/officeDocument/2006/relationships/image" Target="media/image707.png"/><Relationship Id="rId725" Type="http://schemas.openxmlformats.org/officeDocument/2006/relationships/image" Target="media/image708.png"/><Relationship Id="rId726" Type="http://schemas.openxmlformats.org/officeDocument/2006/relationships/image" Target="media/image709.png"/><Relationship Id="rId727" Type="http://schemas.openxmlformats.org/officeDocument/2006/relationships/image" Target="media/image710.png"/><Relationship Id="rId728" Type="http://schemas.openxmlformats.org/officeDocument/2006/relationships/image" Target="media/image711.png"/><Relationship Id="rId729" Type="http://schemas.openxmlformats.org/officeDocument/2006/relationships/image" Target="media/image712.png"/><Relationship Id="rId730" Type="http://schemas.openxmlformats.org/officeDocument/2006/relationships/image" Target="media/image713.png"/><Relationship Id="rId731" Type="http://schemas.openxmlformats.org/officeDocument/2006/relationships/image" Target="media/image714.png"/><Relationship Id="rId732" Type="http://schemas.openxmlformats.org/officeDocument/2006/relationships/image" Target="media/image715.png"/><Relationship Id="rId733" Type="http://schemas.openxmlformats.org/officeDocument/2006/relationships/image" Target="media/image716.png"/><Relationship Id="rId734" Type="http://schemas.openxmlformats.org/officeDocument/2006/relationships/image" Target="media/image717.png"/><Relationship Id="rId735" Type="http://schemas.openxmlformats.org/officeDocument/2006/relationships/image" Target="media/image718.png"/><Relationship Id="rId736" Type="http://schemas.openxmlformats.org/officeDocument/2006/relationships/image" Target="media/image719.png"/><Relationship Id="rId737" Type="http://schemas.openxmlformats.org/officeDocument/2006/relationships/image" Target="media/image720.png"/><Relationship Id="rId738" Type="http://schemas.openxmlformats.org/officeDocument/2006/relationships/image" Target="media/image721.png"/><Relationship Id="rId739" Type="http://schemas.openxmlformats.org/officeDocument/2006/relationships/image" Target="media/image722.png"/><Relationship Id="rId740" Type="http://schemas.openxmlformats.org/officeDocument/2006/relationships/image" Target="media/image723.png"/><Relationship Id="rId741" Type="http://schemas.openxmlformats.org/officeDocument/2006/relationships/image" Target="media/image724.png"/><Relationship Id="rId742" Type="http://schemas.openxmlformats.org/officeDocument/2006/relationships/image" Target="media/image725.png"/><Relationship Id="rId743" Type="http://schemas.openxmlformats.org/officeDocument/2006/relationships/image" Target="media/image726.png"/><Relationship Id="rId744" Type="http://schemas.openxmlformats.org/officeDocument/2006/relationships/image" Target="media/image727.png"/><Relationship Id="rId745" Type="http://schemas.openxmlformats.org/officeDocument/2006/relationships/image" Target="media/image728.png"/><Relationship Id="rId746" Type="http://schemas.openxmlformats.org/officeDocument/2006/relationships/image" Target="media/image729.png"/><Relationship Id="rId747" Type="http://schemas.openxmlformats.org/officeDocument/2006/relationships/image" Target="media/image730.png"/><Relationship Id="rId748" Type="http://schemas.openxmlformats.org/officeDocument/2006/relationships/image" Target="media/image731.png"/><Relationship Id="rId749" Type="http://schemas.openxmlformats.org/officeDocument/2006/relationships/image" Target="media/image732.png"/><Relationship Id="rId750" Type="http://schemas.openxmlformats.org/officeDocument/2006/relationships/image" Target="media/image733.png"/><Relationship Id="rId751" Type="http://schemas.openxmlformats.org/officeDocument/2006/relationships/image" Target="media/image734.png"/><Relationship Id="rId752" Type="http://schemas.openxmlformats.org/officeDocument/2006/relationships/image" Target="media/image735.png"/><Relationship Id="rId753" Type="http://schemas.openxmlformats.org/officeDocument/2006/relationships/image" Target="media/image736.png"/><Relationship Id="rId754" Type="http://schemas.openxmlformats.org/officeDocument/2006/relationships/image" Target="media/image737.png"/><Relationship Id="rId755" Type="http://schemas.openxmlformats.org/officeDocument/2006/relationships/image" Target="media/image738.png"/><Relationship Id="rId756" Type="http://schemas.openxmlformats.org/officeDocument/2006/relationships/image" Target="media/image739.png"/><Relationship Id="rId757" Type="http://schemas.openxmlformats.org/officeDocument/2006/relationships/image" Target="media/image740.png"/><Relationship Id="rId758" Type="http://schemas.openxmlformats.org/officeDocument/2006/relationships/image" Target="media/image741.png"/><Relationship Id="rId759" Type="http://schemas.openxmlformats.org/officeDocument/2006/relationships/image" Target="media/image742.png"/><Relationship Id="rId760" Type="http://schemas.openxmlformats.org/officeDocument/2006/relationships/image" Target="media/image743.png"/><Relationship Id="rId761" Type="http://schemas.openxmlformats.org/officeDocument/2006/relationships/image" Target="media/image744.png"/><Relationship Id="rId762" Type="http://schemas.openxmlformats.org/officeDocument/2006/relationships/image" Target="media/image745.png"/><Relationship Id="rId763" Type="http://schemas.openxmlformats.org/officeDocument/2006/relationships/image" Target="media/image746.png"/><Relationship Id="rId764" Type="http://schemas.openxmlformats.org/officeDocument/2006/relationships/image" Target="media/image747.png"/><Relationship Id="rId765" Type="http://schemas.openxmlformats.org/officeDocument/2006/relationships/image" Target="media/image748.png"/><Relationship Id="rId766" Type="http://schemas.openxmlformats.org/officeDocument/2006/relationships/image" Target="media/image749.png"/><Relationship Id="rId767" Type="http://schemas.openxmlformats.org/officeDocument/2006/relationships/image" Target="media/image750.png"/><Relationship Id="rId768" Type="http://schemas.openxmlformats.org/officeDocument/2006/relationships/image" Target="media/image751.png"/><Relationship Id="rId769" Type="http://schemas.openxmlformats.org/officeDocument/2006/relationships/image" Target="media/image752.png"/><Relationship Id="rId770" Type="http://schemas.openxmlformats.org/officeDocument/2006/relationships/image" Target="media/image753.png"/><Relationship Id="rId771" Type="http://schemas.openxmlformats.org/officeDocument/2006/relationships/image" Target="media/image754.png"/><Relationship Id="rId772" Type="http://schemas.openxmlformats.org/officeDocument/2006/relationships/image" Target="media/image755.png"/><Relationship Id="rId773" Type="http://schemas.openxmlformats.org/officeDocument/2006/relationships/image" Target="media/image756.jpeg"/><Relationship Id="rId774" Type="http://schemas.openxmlformats.org/officeDocument/2006/relationships/image" Target="media/image757.png"/><Relationship Id="rId775" Type="http://schemas.openxmlformats.org/officeDocument/2006/relationships/image" Target="media/image758.jpeg"/><Relationship Id="rId776" Type="http://schemas.openxmlformats.org/officeDocument/2006/relationships/image" Target="media/image759.png"/><Relationship Id="rId777" Type="http://schemas.openxmlformats.org/officeDocument/2006/relationships/image" Target="media/image760.png"/><Relationship Id="rId430" Type="http://schemas.openxmlformats.org/officeDocument/2006/relationships/hyperlink" Target="https://www.sec.gov/Archives/edgar/data/1723935/000095017023014218/stg-ex1_1.htm" TargetMode="External"/><Relationship Id="rId431" Type="http://schemas.openxmlformats.org/officeDocument/2006/relationships/hyperlink" Target="https://www.sec.gov/Archives/edgar/data/1723935/000119312518073654/d494072dex43.htm" TargetMode="External"/><Relationship Id="rId432" Type="http://schemas.openxmlformats.org/officeDocument/2006/relationships/hyperlink" Target="https://www.sec.gov/Archives/edgar/data/1723935/000119312518073654/d494072dex42.htm" TargetMode="External"/><Relationship Id="rId433" Type="http://schemas.openxmlformats.org/officeDocument/2006/relationships/hyperlink" Target="https://www.sec.gov/Archives/edgar/data/1723935/000156459020018336/stg-ex24_725.htm" TargetMode="External"/><Relationship Id="rId434" Type="http://schemas.openxmlformats.org/officeDocument/2006/relationships/hyperlink" Target="https://www.sec.gov/Archives/edgar/data/1723935/000119312518056029/d494072dex101.htm" TargetMode="External"/><Relationship Id="rId435" Type="http://schemas.openxmlformats.org/officeDocument/2006/relationships/hyperlink" Target="https://www.sec.gov/Archives/edgar/data/1723935/000119312518056029/d494072dex102.htm" TargetMode="External"/><Relationship Id="rId436" Type="http://schemas.openxmlformats.org/officeDocument/2006/relationships/hyperlink" Target="https://www.sec.gov/Archives/edgar/data/1723935/000119312518056029/d494072dex103.htm" TargetMode="External"/><Relationship Id="rId437" Type="http://schemas.openxmlformats.org/officeDocument/2006/relationships/hyperlink" Target="https://www.sec.gov/Archives/edgar/data/1723935/000119312518056029/d494072dex991.htm" TargetMode="External"/><Relationship Id="rId438" Type="http://schemas.openxmlformats.org/officeDocument/2006/relationships/hyperlink" Target="https://www.sec.gov/Archives/edgar/data/1723935/000095017025058319/stg-ex11_2.pdf" TargetMode="External"/><Relationship Id="rId439" Type="http://schemas.openxmlformats.org/officeDocument/2006/relationships/hyperlink" Target="https://www.sec.gov/Archives/edgar/data/1723935/000095017024047906/stg-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2026-04-24T08:08:02Z</dcterms:created>
  <dcterms:modified xsi:type="dcterms:W3CDTF">2026-04-24T08:08:02Z</dcterms:modified>
</cp:coreProperties>
</file>